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656"/>
        </w:rPr>
        <w:t>Finance Module — Post-Phase D Delta Report</w:t>
      </w:r>
    </w:p>
    <w:p>
      <w:r>
        <w:rPr>
          <w:i/>
        </w:rPr>
        <w:t>Reversing-entry migration, Trial Balance cleanup, Tenant Bootstrap Wizard, and data-integrity work</w:t>
      </w:r>
    </w:p>
    <w:p>
      <w:r>
        <w:rPr>
          <w:i/>
        </w:rPr>
        <w:t>Author: Viet Anh   ·   Period: post-Phase D session   ·   Date: 2026-05-21</w:t>
      </w:r>
    </w:p>
    <w:p/>
    <w:p>
      <w:pPr>
        <w:pStyle w:val="Heading1"/>
      </w:pPr>
      <w:r>
        <w:rPr>
          <w:color w:val="1F3656"/>
        </w:rPr>
        <w:t>Executive Summary</w:t>
      </w:r>
    </w:p>
    <w:p>
      <w:r>
        <w:rPr>
          <w:b w:val="0"/>
          <w:i w:val="0"/>
        </w:rPr>
        <w:t>This report continues from FINANCE_PM_REPORT_PHASE_C_D.docx. It covers the work completed in the session immediately following the Phase C+D delivery. Four distinct streams of work landed:</w:t>
      </w:r>
    </w:p>
    <w:p>
      <w:pPr>
        <w:pStyle w:val="ListBullet"/>
        <w:ind w:left="425"/>
      </w:pPr>
      <w:r>
        <w:t>Reversing-entry pattern migration — the JE reverse action was rebuilt to follow the GAAP/IFRS standard used by SAP, NetSuite, and QuickBooks. Two underlying bugs were surfaced and fixed in the process (a sub-ledger orphan and a double-cancellation in the reports).</w:t>
      </w:r>
    </w:p>
    <w:p>
      <w:pPr>
        <w:pStyle w:val="ListBullet"/>
        <w:ind w:left="425"/>
      </w:pPr>
      <w:r>
        <w:t>Trial Balance UX simplification — the redundant Balance column was removed; the page now reads cleanly as a pure debit/credit check. Behavioural note on gross totals under reversing entries documented for accountants.</w:t>
      </w:r>
    </w:p>
    <w:p>
      <w:pPr>
        <w:pStyle w:val="ListBullet"/>
        <w:ind w:left="425"/>
      </w:pPr>
      <w:r>
        <w:t>Tenant Bootstrap Wizard — a new 6-step UI flow that walks a super_admin through organisation creation, self-assignment, finance company creation (which auto-seeds 230 GL accounts + 5 tax codes + approval rules), and first fiscal period. Solves the "deployed to a fresh server, finance won't load" problem.</w:t>
      </w:r>
    </w:p>
    <w:p>
      <w:pPr>
        <w:pStyle w:val="ListBullet"/>
        <w:ind w:left="425"/>
      </w:pPr>
      <w:r>
        <w:t>Data-integrity work — two real production-grade issues were diagnosed via live data: an orphaned credit on the Vendor Sub-Ledger, and a phantom Trial Balance figure after a JE reversal. Both root-caused and fixed; existing wrong rows corrected in place via transactional DB patches.</w:t>
      </w:r>
    </w:p>
    <w:p>
      <w:r>
        <w:rPr>
          <w:b w:val="0"/>
          <w:i w:val="0"/>
        </w:rPr>
        <w:t>The cumulative effect is that the finance module is now safe to ship to a clean server: a new tenant can be brought to a working state through the UI alone, with no SQL or seed scripts. The reversing-entry pattern brings the accounting behaviour to parity with mid-market ERPs.</w:t>
      </w:r>
    </w:p>
    <w:p>
      <w:pPr>
        <w:pStyle w:val="Heading1"/>
      </w:pPr>
      <w:r>
        <w:rPr>
          <w:color w:val="1F3656"/>
        </w:rPr>
        <w:t>Stream 1 — Reversing-Entry Pattern Migration</w:t>
      </w:r>
    </w:p>
    <w:p>
      <w:pPr>
        <w:pStyle w:val="Heading2"/>
      </w:pPr>
      <w:r>
        <w:rPr>
          <w:color w:val="1F3656"/>
        </w:rPr>
        <w:t>What was wrong</w:t>
      </w:r>
    </w:p>
    <w:p>
      <w:r>
        <w:rPr>
          <w:b w:val="0"/>
          <w:i w:val="0"/>
        </w:rPr>
        <w:t>When a user reversed a vendor payment, the implementation was doing two opposing things at once: it set the original journal entry to status='void' AND posted a separate reversal JE that swapped debit and credit. Reports filter out voided JEs by default, so the original was excluded while the reversal was counted — producing a net effect that double-cancelled the transaction.</w:t>
      </w:r>
    </w:p>
    <w:p>
      <w:r>
        <w:rPr>
          <w:b w:val="0"/>
          <w:i w:val="0"/>
        </w:rPr>
        <w:t>A second, subtler bug compounded the problem: the reversal lines were overwriting referenceLineId (the sub-ledger key — vendorId on AP lines) with the original line's primary key, intended for traceability. The Vendor Sub-Ledger groups on referenceLineId, so the reversal's credit landed under a UUID that no vendor owned — appearing as a phantom 35,000 AED outstanding balance against "nobody".</w:t>
      </w:r>
    </w:p>
    <w:p>
      <w:pPr>
        <w:pStyle w:val="Heading2"/>
      </w:pPr>
      <w:r>
        <w:rPr>
          <w:color w:val="1F3656"/>
        </w:rPr>
        <w:t>What was changed</w:t>
      </w:r>
    </w:p>
    <w:p>
      <w:pPr>
        <w:pStyle w:val="ListBullet"/>
        <w:ind w:left="425"/>
      </w:pPr>
      <w:r>
        <w:t>JE reverse now follows the standard reversing-entry pattern: the original stays posted; the reversal is its own posted JE; both live on the books and mathematically net to zero. "Void" is reserved for genuine posting errors (never created by the reverse action).</w:t>
      </w:r>
    </w:p>
    <w:p>
      <w:pPr>
        <w:pStyle w:val="ListBullet"/>
        <w:ind w:left="425"/>
      </w:pPr>
      <w:r>
        <w:t>Reversal lines now preserve the original referenceLineId, so the Vendor Sub-Ledger and any other sub-ledger correctly nets the entry against the same vendor.</w:t>
      </w:r>
    </w:p>
    <w:p>
      <w:pPr>
        <w:pStyle w:val="ListBullet"/>
        <w:ind w:left="425"/>
      </w:pPr>
      <w:r>
        <w:t>A guard was added: an attempt to reverse a JE that already has a reversal JE returns 400 with a clear message naming the existing reversal.</w:t>
      </w:r>
    </w:p>
    <w:p>
      <w:pPr>
        <w:pStyle w:val="ListBullet"/>
        <w:ind w:left="425"/>
      </w:pPr>
      <w:r>
        <w:t>API responses (Journal Entries list/detail, Vendor Payments list/detail) now carry a reversedByJeNumber field, populated by a single batched lookup per request. Frontend uses this to decide whether to render the Reversed badge — no extra round trips per row.</w:t>
      </w:r>
    </w:p>
    <w:p>
      <w:pPr>
        <w:pStyle w:val="ListBullet"/>
        <w:ind w:left="425"/>
      </w:pPr>
      <w:r>
        <w:t>Frontend UI: the Vendor Payments list shows a red Reversed pill with a struck-through amount; the Payment Detail page shows a full banner naming the reversal JE; the Journal Entries list shows a Reversed status badge with the reverser's JE# in the tooltip and disables the Reverse Entry button on already-reversed rows.</w:t>
      </w:r>
    </w:p>
    <w:p>
      <w:pPr>
        <w:pStyle w:val="ListBullet"/>
        <w:ind w:left="425"/>
      </w:pPr>
      <w:r>
        <w:t>The reverse mutation invalidates downstream caches (payments, ap-totals-paid, vendor sub-ledger, AP aging, trial balance) so all balances refresh without a manual reload.</w:t>
      </w:r>
    </w:p>
    <w:p>
      <w:pPr>
        <w:pStyle w:val="Heading2"/>
      </w:pPr>
      <w:r>
        <w:rPr>
          <w:color w:val="1F3656"/>
        </w:rPr>
        <w:t>Data migration</w:t>
      </w:r>
    </w:p>
    <w:p>
      <w:r>
        <w:rPr>
          <w:b w:val="0"/>
          <w:i w:val="0"/>
        </w:rPr>
        <w:t>Two transactional patches ran against the live finance database:</w:t>
      </w:r>
    </w:p>
    <w:p>
      <w:pPr>
        <w:pStyle w:val="ListBullet"/>
        <w:ind w:left="425"/>
      </w:pPr>
      <w:r>
        <w:t>Un-voided every JE that had been voided by a prior reverse action while also having a corresponding reversal JE — one row matched in this environment.</w:t>
      </w:r>
    </w:p>
    <w:p>
      <w:pPr>
        <w:pStyle w:val="ListBullet"/>
        <w:ind w:left="425"/>
      </w:pPr>
      <w:r>
        <w:t>Patched the referenceLineId on the orphan reversal lines to match the original lines' vendorId — two lines corrected.</w:t>
      </w:r>
    </w:p>
    <w:p>
      <w:r>
        <w:rPr>
          <w:b w:val="0"/>
          <w:i w:val="0"/>
        </w:rPr>
        <w:t>After migration, the Vendor Sub-Ledger total outstanding balance dropped from 35,000 to 0 for the affected vendor, matching the real-world position.</w:t>
      </w:r>
    </w:p>
    <w:p>
      <w:pPr>
        <w:pStyle w:val="Heading2"/>
      </w:pPr>
      <w:r>
        <w:rPr>
          <w:color w:val="1F3656"/>
        </w:rPr>
        <w:t>Why this matters</w:t>
      </w:r>
    </w:p>
    <w:p>
      <w:r>
        <w:rPr>
          <w:b w:val="0"/>
          <w:i w:val="0"/>
        </w:rPr>
        <w:t>The reversing-entry pattern is what SAP, NetSuite, Oracle, and QuickBooks all implement. An auditor expecting GAAP/IFRS-compliant behaviour will see a complete history: original entry, reversal entry, both visible, both posted, net zero. Voids should be rare and require an explicit reason. The previous behaviour would have been a finding in any audit.</w:t>
      </w:r>
    </w:p>
    <w:p>
      <w:pPr>
        <w:pStyle w:val="Heading1"/>
      </w:pPr>
      <w:r>
        <w:rPr>
          <w:color w:val="1F3656"/>
        </w:rPr>
        <w:t>Stream 2 — Trial Balance UX Simplification</w:t>
      </w:r>
    </w:p>
    <w:p>
      <w:pPr>
        <w:pStyle w:val="Heading2"/>
      </w:pPr>
      <w:r>
        <w:rPr>
          <w:color w:val="1F3656"/>
        </w:rPr>
        <w:t>Change</w:t>
      </w:r>
    </w:p>
    <w:p>
      <w:pPr>
        <w:pStyle w:val="ListBullet"/>
        <w:ind w:left="425"/>
      </w:pPr>
      <w:r>
        <w:t>Removed the Balance column from the per-account table and the totals footer. The page now shows Account Number, Account Name, Drawer, Total Debit, Total Credit — the canonical Trial Balance layout.</w:t>
      </w:r>
    </w:p>
    <w:p>
      <w:pPr>
        <w:pStyle w:val="ListBullet"/>
        <w:ind w:left="425"/>
      </w:pPr>
      <w:r>
        <w:t>Drawer-section colSpan adjusted; footer placeholder cell removed; export contract unchanged (Balance was never in any export).</w:t>
      </w:r>
    </w:p>
    <w:p>
      <w:pPr>
        <w:pStyle w:val="Heading2"/>
      </w:pPr>
      <w:r>
        <w:rPr>
          <w:color w:val="1F3656"/>
        </w:rPr>
        <w:t>Behavioural note on gross totals</w:t>
      </w:r>
    </w:p>
    <w:p>
      <w:r>
        <w:rPr>
          <w:b w:val="0"/>
          <w:i w:val="0"/>
        </w:rPr>
        <w:t>Under the new reversing-entry pattern, the Trial Balance's GROSS debit and credit totals will grow by 2× the reversed amount each time a JE is reversed (the original's debit + the reversal's matching debit, same for credit). NET per-account balances remain correct — the two entries cancel. This is the same behaviour as in SAP, NetSuite, and QuickBooks, and is the expected GAAP/IFRS view. The accountant should not be alarmed to see totals tick up after a reversal; they should verify that net per-account balances on Trial Balance still tie to Vendor Sub-Ledger / AP Aging.</w:t>
      </w:r>
    </w:p>
    <w:p>
      <w:pPr>
        <w:pStyle w:val="Heading1"/>
      </w:pPr>
      <w:r>
        <w:rPr>
          <w:color w:val="1F3656"/>
        </w:rPr>
        <w:t>Stream 3 — Tenant Bootstrap Wizard (new operational feature)</w:t>
      </w:r>
    </w:p>
    <w:p>
      <w:pPr>
        <w:pStyle w:val="Heading2"/>
      </w:pPr>
      <w:r>
        <w:rPr>
          <w:color w:val="1F3656"/>
        </w:rPr>
        <w:t>The problem</w:t>
      </w:r>
    </w:p>
    <w:p>
      <w:r>
        <w:rPr>
          <w:b w:val="0"/>
          <w:i w:val="0"/>
        </w:rPr>
        <w:t>When deploying to a clean server, the bootstrap super_admin account is created without an organizationId. Every finance page is gated on a non-null organizationId, so the entire module silently fails to load. There was no UI path to create an organisation, assign the user, or seed the per-org finance master data — only direct API calls or SQL.</w:t>
      </w:r>
    </w:p>
    <w:p>
      <w:pPr>
        <w:pStyle w:val="Heading2"/>
      </w:pPr>
      <w:r>
        <w:rPr>
          <w:color w:val="1F3656"/>
        </w:rPr>
        <w:t>The solution</w:t>
      </w:r>
    </w:p>
    <w:p>
      <w:r>
        <w:rPr>
          <w:b w:val="0"/>
          <w:i w:val="0"/>
        </w:rPr>
        <w:t>A 6-step wizard at /admin/tenant-setup, accessible without an organizationId, walks the super_admin through: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What happens</w:t>
            </w:r>
          </w:p>
        </w:tc>
        <w:tc>
          <w:tcPr>
            <w:tcW w:type="dxa" w:w="2880"/>
          </w:tcPr>
          <w:p>
            <w:r>
              <w:rPr>
                <w:b/>
              </w:rPr>
              <w:t>Backend</w:t>
            </w:r>
          </w:p>
        </w:tc>
      </w:tr>
      <w:tr>
        <w:tc>
          <w:tcPr>
            <w:tcW w:type="dxa" w:w="2880"/>
          </w:tcPr>
          <w:p>
            <w:pPr>
              <w:spacing w:after="40"/>
            </w:pPr>
            <w:r>
              <w:t>0  Welcome</w:t>
            </w:r>
          </w:p>
        </w:tc>
        <w:tc>
          <w:tcPr>
            <w:tcW w:type="dxa" w:w="2880"/>
          </w:tcPr>
          <w:p>
            <w:pPr>
              <w:spacing w:after="40"/>
            </w:pPr>
            <w:r>
              <w:t>Detects current state, decides which steps to skip.</w:t>
            </w:r>
          </w:p>
        </w:tc>
        <w:tc>
          <w:tcPr>
            <w:tcW w:type="dxa" w:w="2880"/>
          </w:tcPr>
          <w:p>
            <w:pPr>
              <w:spacing w:after="40"/>
            </w:pPr>
            <w:r>
              <w:t>GET /organizations, GET /finance/companies</w:t>
            </w:r>
          </w:p>
        </w:tc>
      </w:tr>
      <w:tr>
        <w:tc>
          <w:tcPr>
            <w:tcW w:type="dxa" w:w="2880"/>
          </w:tcPr>
          <w:p>
            <w:pPr>
              <w:spacing w:after="40"/>
            </w:pPr>
            <w:r>
              <w:t>1  Organisation</w:t>
            </w:r>
          </w:p>
        </w:tc>
        <w:tc>
          <w:tcPr>
            <w:tcW w:type="dxa" w:w="2880"/>
          </w:tcPr>
          <w:p>
            <w:pPr>
              <w:spacing w:after="40"/>
            </w:pPr>
            <w:r>
              <w:t>Pick existing or create new (name, slug, industries, logoUrl).</w:t>
            </w:r>
          </w:p>
        </w:tc>
        <w:tc>
          <w:tcPr>
            <w:tcW w:type="dxa" w:w="2880"/>
          </w:tcPr>
          <w:p>
            <w:pPr>
              <w:spacing w:after="40"/>
            </w:pPr>
            <w:r>
              <w:t>POST /organizations/ (super_admin)</w:t>
            </w:r>
          </w:p>
        </w:tc>
      </w:tr>
      <w:tr>
        <w:tc>
          <w:tcPr>
            <w:tcW w:type="dxa" w:w="2880"/>
          </w:tcPr>
          <w:p>
            <w:pPr>
              <w:spacing w:after="40"/>
            </w:pPr>
            <w:r>
              <w:t>2  Self-assign</w:t>
            </w:r>
          </w:p>
        </w:tc>
        <w:tc>
          <w:tcPr>
            <w:tcW w:type="dxa" w:w="2880"/>
          </w:tcPr>
          <w:p>
            <w:pPr>
              <w:spacing w:after="40"/>
            </w:pPr>
            <w:r>
              <w:t>Assigns the chosen org to the current user; session refreshes silently.</w:t>
            </w:r>
          </w:p>
        </w:tc>
        <w:tc>
          <w:tcPr>
            <w:tcW w:type="dxa" w:w="2880"/>
          </w:tcPr>
          <w:p>
            <w:pPr>
              <w:spacing w:after="40"/>
            </w:pPr>
            <w:r>
              <w:t>PATCH /admin/users/{id}/organization (new endpoint, super_admin)</w:t>
            </w:r>
          </w:p>
        </w:tc>
      </w:tr>
      <w:tr>
        <w:tc>
          <w:tcPr>
            <w:tcW w:type="dxa" w:w="2880"/>
          </w:tcPr>
          <w:p>
            <w:pPr>
              <w:spacing w:after="40"/>
            </w:pPr>
            <w:r>
              <w:t>3  Company code</w:t>
            </w:r>
          </w:p>
        </w:tc>
        <w:tc>
          <w:tcPr>
            <w:tcW w:type="dxa" w:w="2880"/>
          </w:tcPr>
          <w:p>
            <w:pPr>
              <w:spacing w:after="40"/>
            </w:pPr>
            <w:r>
              <w:t>Creates the finance company; auto-seeds 230 GL accounts + 5 tax codes + approval rules.</w:t>
            </w:r>
          </w:p>
        </w:tc>
        <w:tc>
          <w:tcPr>
            <w:tcW w:type="dxa" w:w="2880"/>
          </w:tcPr>
          <w:p>
            <w:pPr>
              <w:spacing w:after="40"/>
            </w:pPr>
            <w:r>
              <w:t>POST /finance/companies</w:t>
            </w:r>
          </w:p>
        </w:tc>
      </w:tr>
      <w:tr>
        <w:tc>
          <w:tcPr>
            <w:tcW w:type="dxa" w:w="2880"/>
          </w:tcPr>
          <w:p>
            <w:pPr>
              <w:spacing w:after="40"/>
            </w:pPr>
            <w:r>
              <w:t>4  Fiscal period</w:t>
            </w:r>
          </w:p>
        </w:tc>
        <w:tc>
          <w:tcPr>
            <w:tcW w:type="dxa" w:w="2880"/>
          </w:tcPr>
          <w:p>
            <w:pPr>
              <w:spacing w:after="40"/>
            </w:pPr>
            <w:r>
              <w:t>Creates the first open period (defaults to current month). Picker if multiple companies exist.</w:t>
            </w:r>
          </w:p>
        </w:tc>
        <w:tc>
          <w:tcPr>
            <w:tcW w:type="dxa" w:w="2880"/>
          </w:tcPr>
          <w:p>
            <w:pPr>
              <w:spacing w:after="40"/>
            </w:pPr>
            <w:r>
              <w:t>POST /finance/periods</w:t>
            </w:r>
          </w:p>
        </w:tc>
      </w:tr>
      <w:tr>
        <w:tc>
          <w:tcPr>
            <w:tcW w:type="dxa" w:w="2880"/>
          </w:tcPr>
          <w:p>
            <w:pPr>
              <w:spacing w:after="40"/>
            </w:pPr>
            <w:r>
              <w:t>5  Done</w:t>
            </w:r>
          </w:p>
        </w:tc>
        <w:tc>
          <w:tcPr>
            <w:tcW w:type="dxa" w:w="2880"/>
          </w:tcPr>
          <w:p>
            <w:pPr>
              <w:spacing w:after="40"/>
            </w:pPr>
            <w:r>
              <w:t>Summary of what was created; CTA to dashboard.</w:t>
            </w:r>
          </w:p>
        </w:tc>
        <w:tc>
          <w:tcPr>
            <w:tcW w:type="dxa" w:w="2880"/>
          </w:tcPr>
          <w:p>
            <w:pPr>
              <w:spacing w:after="40"/>
            </w:pPr>
            <w:r>
              <w:t>—</w:t>
            </w:r>
          </w:p>
        </w:tc>
      </w:tr>
    </w:tbl>
    <w:p/>
    <w:p>
      <w:pPr>
        <w:pStyle w:val="Heading2"/>
      </w:pPr>
      <w:r>
        <w:rPr>
          <w:color w:val="1F3656"/>
        </w:rPr>
        <w:t>Design properties</w:t>
      </w:r>
    </w:p>
    <w:p>
      <w:pPr>
        <w:pStyle w:val="ListBullet"/>
        <w:ind w:left="425"/>
      </w:pPr>
      <w:r>
        <w:t>Auto-skip: a returning super_admin who already has an org lands on the first incomplete step (e.g. company code missing → step 3). Completed steps are shown with green checks.</w:t>
      </w:r>
    </w:p>
    <w:p>
      <w:pPr>
        <w:pStyle w:val="ListBullet"/>
        <w:ind w:left="425"/>
      </w:pPr>
      <w:r>
        <w:t>Auto-redirect: an org-less super_admin who visits any other page is redirected to the wizard. Non-super-admins without an org get a clear message asking them to contact a super_admin — they cannot self-fix.</w:t>
      </w:r>
    </w:p>
    <w:p>
      <w:pPr>
        <w:pStyle w:val="ListBullet"/>
        <w:ind w:left="425"/>
      </w:pPr>
      <w:r>
        <w:t>Session refresh without logout: after assignment, the auth store calls GET /auth/me and silently updates the user object. No re-login required.</w:t>
      </w:r>
    </w:p>
    <w:p>
      <w:pPr>
        <w:pStyle w:val="ListBullet"/>
        <w:ind w:left="425"/>
      </w:pPr>
      <w:r>
        <w:t>Permission tightening: POST /organizations/ was previously open to admin OR super_admin; it is now super_admin only. Regular admins operate inside an org but cannot create new tenants. The new PATCH /admin/users/{id}/organization is also super_admin only.</w:t>
      </w:r>
    </w:p>
    <w:p>
      <w:pPr>
        <w:pStyle w:val="ListBullet"/>
        <w:ind w:left="425"/>
      </w:pPr>
      <w:r>
        <w:t>Smart defaults on the company step: companyCode "1000", currency AED, valuation MovingAverage. Pre-filled but editable.</w:t>
      </w:r>
    </w:p>
    <w:p>
      <w:pPr>
        <w:pStyle w:val="ListBullet"/>
        <w:ind w:left="425"/>
      </w:pPr>
      <w:r>
        <w:t>Multi-company picker on the fiscal-period step when multiple companies exist; default selection prefers the just-created code, then "1000", then first sorted — so the user is never silently dropped into an unexpected company.</w:t>
      </w:r>
    </w:p>
    <w:p>
      <w:pPr>
        <w:pStyle w:val="Heading2"/>
      </w:pPr>
      <w:r>
        <w:rPr>
          <w:color w:val="1F3656"/>
        </w:rPr>
        <w:t>Tenant Bootstrap — verified outcomes</w:t>
      </w:r>
    </w:p>
    <w:p>
      <w:pPr>
        <w:pStyle w:val="ListBullet"/>
        <w:ind w:left="425"/>
      </w:pPr>
      <w:r>
        <w:t>Org creation returns 201 with the new organisation row.</w:t>
      </w:r>
    </w:p>
    <w:p>
      <w:pPr>
        <w:pStyle w:val="ListBullet"/>
        <w:ind w:left="425"/>
      </w:pPr>
      <w:r>
        <w:t>User assignment returns the updated user including organizationId.</w:t>
      </w:r>
    </w:p>
    <w:p>
      <w:pPr>
        <w:pStyle w:val="ListBullet"/>
        <w:ind w:left="425"/>
      </w:pPr>
      <w:r>
        <w:t>GET /auth/me reflects the new orgId on the next request — no re-login.</w:t>
      </w:r>
    </w:p>
    <w:p>
      <w:pPr>
        <w:pStyle w:val="ListBullet"/>
        <w:ind w:left="425"/>
      </w:pPr>
      <w:r>
        <w:t>POST /finance/companies on a fresh org seeds 230 GL accounts and 5 tax codes, confirmed via direct DB queries.</w:t>
      </w:r>
    </w:p>
    <w:p>
      <w:pPr>
        <w:pStyle w:val="ListBullet"/>
        <w:ind w:left="425"/>
      </w:pPr>
      <w:r>
        <w:t>POST /finance/periods creates the first period in status=Open.</w:t>
      </w:r>
    </w:p>
    <w:p>
      <w:pPr>
        <w:pStyle w:val="ListBullet"/>
        <w:ind w:left="425"/>
      </w:pPr>
      <w:r>
        <w:t>Chart of Accounts page loads correctly with the seeded accounts.</w:t>
      </w:r>
    </w:p>
    <w:p>
      <w:pPr>
        <w:pStyle w:val="Heading1"/>
      </w:pPr>
      <w:r>
        <w:rPr>
          <w:color w:val="1F3656"/>
        </w:rPr>
        <w:t>Stream 4 — Data-Integrity Post-Mortems</w:t>
      </w:r>
    </w:p>
    <w:p>
      <w:pPr>
        <w:pStyle w:val="Heading2"/>
      </w:pPr>
      <w:r>
        <w:rPr>
          <w:color w:val="1F3656"/>
        </w:rPr>
        <w:t>Phantom Vendor Sub-Ledger balance</w:t>
      </w:r>
    </w:p>
    <w:p>
      <w:r>
        <w:rPr>
          <w:b w:val="0"/>
          <w:i w:val="0"/>
        </w:rPr>
        <w:t>Symptom: Vendor Sub-Ledger showed a 35,000 AED balance owed to a vendor whose UUID matched no entity. Root cause: the JE reversal code was overwriting referenceLineId (the vendor sub-ledger key) with the original line's jeLineId. Fixed in code and patched in the live DB. Documented in Stream 1.</w:t>
      </w:r>
    </w:p>
    <w:p>
      <w:pPr>
        <w:pStyle w:val="Heading2"/>
      </w:pPr>
      <w:r>
        <w:rPr>
          <w:color w:val="1F3656"/>
        </w:rPr>
        <w:t>Trial Balance jumped after reversal</w:t>
      </w:r>
    </w:p>
    <w:p>
      <w:r>
        <w:rPr>
          <w:b w:val="0"/>
          <w:i w:val="0"/>
        </w:rPr>
        <w:t>Symptom: After data migration to the reversing-entry pattern, the Trial Balance gross totals moved from 140,000 to 175,000 while net balances stayed correct. Root cause: not a bug — this is the expected effect of un-voiding the original JE (so it is once again counted in gross totals) while keeping the reversal posted. Explained to the user and documented in Stream 2's behavioural note for future accountants.</w:t>
      </w:r>
    </w:p>
    <w:p>
      <w:pPr>
        <w:pStyle w:val="Heading2"/>
      </w:pPr>
      <w:r>
        <w:rPr>
          <w:color w:val="1F3656"/>
        </w:rPr>
        <w:t>Dev-environment data pollution</w:t>
      </w:r>
    </w:p>
    <w:p>
      <w:r>
        <w:rPr>
          <w:b w:val="0"/>
          <w:i w:val="0"/>
        </w:rPr>
        <w:t>During end-to-end verification of the Tenant Bootstrap Wizard, an automated test agent ran the wizard against the live development tenant. The user's super_admin account was reassigned to a test organisation, hiding their real data from the finance UI. Resolved via transactional cleanup:</w:t>
      </w:r>
    </w:p>
    <w:p>
      <w:pPr>
        <w:pStyle w:val="ListBullet"/>
        <w:ind w:left="425"/>
      </w:pPr>
      <w:r>
        <w:t>User org reassignment reverted in Mongo (one super_admin restored).</w:t>
      </w:r>
    </w:p>
    <w:p>
      <w:pPr>
        <w:pStyle w:val="ListBullet"/>
        <w:ind w:left="425"/>
      </w:pPr>
      <w:r>
        <w:t>Two test organisations deleted from Mongo.</w:t>
      </w:r>
    </w:p>
    <w:p>
      <w:pPr>
        <w:pStyle w:val="ListBullet"/>
        <w:ind w:left="425"/>
      </w:pPr>
      <w:r>
        <w:t>Two test company codes deleted from MySQL along with their seeded data (460 GL accounts, 10 tax codes, 8 approval rules, 2 fiscal periods).</w:t>
      </w:r>
    </w:p>
    <w:p>
      <w:r>
        <w:rPr>
          <w:b w:val="0"/>
          <w:i w:val="0"/>
        </w:rPr>
        <w:t>Process note: future automated UI tests should run against an isolated worktree + ephemeral DB, or limit themselves to read-only verification with the live test reserved for the user. Adjusting agent invocation patterns accordingly.</w:t>
      </w:r>
    </w:p>
    <w:p>
      <w:pPr>
        <w:pStyle w:val="Heading1"/>
      </w:pPr>
      <w:r>
        <w:rPr>
          <w:color w:val="1F3656"/>
        </w:rPr>
        <w:t>What still remains for v1</w:t>
      </w:r>
    </w:p>
    <w:p>
      <w:r>
        <w:rPr>
          <w:b w:val="0"/>
          <w:i/>
        </w:rPr>
        <w:t>Deferred from Phase E and unchanged by this delta:</w:t>
      </w:r>
    </w:p>
    <w:p>
      <w:pPr>
        <w:pStyle w:val="ListBullet"/>
        <w:ind w:left="425"/>
      </w:pPr>
      <w:r>
        <w:t>Accounts Receivable (sales-side) — the major remaining functional area.</w:t>
      </w:r>
    </w:p>
    <w:p>
      <w:pPr>
        <w:pStyle w:val="ListBullet"/>
        <w:ind w:left="425"/>
      </w:pPr>
      <w:r>
        <w:t>MFA/TOTP and SSO/OAuth — login factors still pending; super_admin is currently single-factor.</w:t>
      </w:r>
    </w:p>
    <w:p>
      <w:pPr>
        <w:pStyle w:val="ListBullet"/>
        <w:ind w:left="425"/>
      </w:pPr>
      <w:r>
        <w:t>Field-level encryption for sensitive PII (emiratesId, salary) — currently stored in cleartext at rest.</w:t>
      </w:r>
    </w:p>
    <w:p>
      <w:pPr>
        <w:pStyle w:val="ListBullet"/>
        <w:ind w:left="425"/>
      </w:pPr>
      <w:r>
        <w:t>WAF, MongoDB replica set, SIEM, penetration testing.</w:t>
      </w:r>
    </w:p>
    <w:p>
      <w:pPr>
        <w:pStyle w:val="ListBullet"/>
        <w:ind w:left="425"/>
      </w:pPr>
      <w:r>
        <w:t>Item GL Mapping bulk-edit and richer error messages — known small ergonomics items.</w:t>
      </w:r>
    </w:p>
    <w:p>
      <w:pPr>
        <w:pStyle w:val="ListBullet"/>
        <w:ind w:left="425"/>
      </w:pPr>
      <w:r>
        <w:t>P&amp;L Statement and additional management reports beyond Trial Balance / Vendor Sub-Ledger / AP Aging.</w:t>
      </w:r>
    </w:p>
    <w:p>
      <w:pPr>
        <w:pStyle w:val="Heading2"/>
      </w:pPr>
      <w:r>
        <w:rPr>
          <w:color w:val="1F3656"/>
        </w:rPr>
        <w:t>New items surfaced by this session</w:t>
      </w:r>
    </w:p>
    <w:p>
      <w:pPr>
        <w:pStyle w:val="ListBullet"/>
        <w:ind w:left="425"/>
      </w:pPr>
      <w:r>
        <w:t>Division-aware org assignment: the new PATCH /admin/users/{id}/organization accepts optional divisionAccess and defaultDivisionId, but the wizard does not yet surface them. A division-management UI is a natural next step once the first tenant has more than one operational unit.</w:t>
      </w:r>
    </w:p>
    <w:p>
      <w:pPr>
        <w:pStyle w:val="ListBullet"/>
        <w:ind w:left="425"/>
      </w:pPr>
      <w:r>
        <w:t>Bulk org assignment: a super_admin can only assign users one at a time. A bulk-assign affordance in User Management would speed up onboarding for larger tenants.</w:t>
      </w:r>
    </w:p>
    <w:p>
      <w:pPr>
        <w:pStyle w:val="ListBullet"/>
        <w:ind w:left="425"/>
      </w:pPr>
      <w:r>
        <w:t>Reverse-action audit log: the reversal JE's description carries the reason text, but no structured audit table records who reversed what and when in a queryable form. The audit_log table exists but the reverse endpoint does not yet write to it.</w:t>
      </w:r>
    </w:p>
    <w:p>
      <w:pPr>
        <w:pStyle w:val="Heading1"/>
      </w:pPr>
      <w:r>
        <w:rPr>
          <w:color w:val="1F3656"/>
        </w:rPr>
        <w:t>Conclusion</w:t>
      </w:r>
    </w:p>
    <w:p>
      <w:r>
        <w:rPr>
          <w:b w:val="0"/>
          <w:i w:val="0"/>
        </w:rPr>
        <w:t>The finance module is now (a) accounting-correct under the industry-standard reversing-entry pattern, (b) deployable to a clean server through the UI alone, and (c) safe against the two specific data-integrity bugs that surfaced this session. The Phase A → D.5 functional scope is unchanged; what landed in this delta is robustness, correctness, and operational readiness for new tenants.</w:t>
      </w:r>
    </w:p>
    <w:p>
      <w:pPr>
        <w:pStyle w:val="Heading1"/>
      </w:pPr>
      <w:r>
        <w:rPr>
          <w:color w:val="1F3656"/>
        </w:rPr>
        <w:t>Reference Documents</w:t>
      </w:r>
    </w:p>
    <w:p>
      <w:pPr>
        <w:pStyle w:val="ListBullet"/>
        <w:ind w:left="425"/>
      </w:pPr>
      <w:r>
        <w:t>FINANCE_PM_REPORT_PHASE_C_D.docx — preceding report.</w:t>
      </w:r>
    </w:p>
    <w:p>
      <w:pPr>
        <w:pStyle w:val="ListBullet"/>
        <w:ind w:left="425"/>
      </w:pPr>
      <w:r>
        <w:t>FINANCE_USER_GUIDE.docx — end-user walkthrough (Phase A → D.5).</w:t>
      </w:r>
    </w:p>
    <w:p>
      <w:pPr>
        <w:pStyle w:val="ListBullet"/>
        <w:ind w:left="425"/>
      </w:pPr>
      <w:r>
        <w:t>POSTING_ENGINE_ROADMAP.md — phased build plan + controls-debt register.</w:t>
      </w:r>
    </w:p>
    <w:p>
      <w:pPr>
        <w:pStyle w:val="ListBullet"/>
        <w:ind w:left="425"/>
      </w:pPr>
      <w:r>
        <w:t>INTEGRATION_MODEL.md — cross-service event design and immutability rules.</w:t>
      </w:r>
    </w:p>
    <w:p>
      <w:pPr>
        <w:pStyle w:val="ListBullet"/>
        <w:ind w:left="425"/>
      </w:pPr>
      <w:r>
        <w:t>FEEDBACK_RESPONSE.docx — itemised response to the prior PM feedback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