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714fa07f6a95a4233e7a4ca08f1d65173d2e225"/>
    <w:p>
      <w:pPr>
        <w:pStyle w:val="Heading1"/>
      </w:pPr>
      <w:r>
        <w:t xml:space="preserve">References(Scientific Reports / Nature 风格,共 25 条)</w:t>
      </w:r>
    </w:p>
    <w:p>
      <w:pPr>
        <w:pStyle w:val="BlockText"/>
      </w:pPr>
      <w:r>
        <w:t xml:space="preserve">格式学习自 s41598-026-36390-9.pdf。规则:姓在前、首字母缩写在后;≤5 位作者全列,&gt;5 位用第一作者 + et al.;标题句式大小写;期刊/会议用标准缩写;卷 页码在前、年份置末尾括号内;有 DOI 的附 DOI;arXiv 文献写</w:t>
      </w:r>
      <w:r>
        <w:t xml:space="preserve"> </w:t>
      </w:r>
      <w:r>
        <w:t xml:space="preserve">“</w:t>
      </w:r>
      <w:r>
        <w:t xml:space="preserve">arXiv 编号 (年份)</w:t>
      </w:r>
      <w:r>
        <w:t xml:space="preserve">”</w:t>
      </w:r>
      <w:r>
        <w:t xml:space="preserve">。已剔除仅有网页无论文的条目(原 [14] YOLOv5、[17] YOLOv8、[20] YOLO11)。方括号内为原编号。</w:t>
      </w:r>
    </w:p>
    <w:p>
      <w:pPr>
        <w:numPr>
          <w:ilvl w:val="0"/>
          <w:numId w:val="1001"/>
        </w:numPr>
      </w:pPr>
      <w:r>
        <w:t xml:space="preserve">[1] LeCun, Y., Bengio, Y. &amp; Hinton, G. Deep learning. Nature 521, 436–444. https://doi.org/10.1038/nature14539 (2015).</w:t>
      </w:r>
    </w:p>
    <w:p>
      <w:pPr>
        <w:numPr>
          <w:ilvl w:val="0"/>
          <w:numId w:val="1001"/>
        </w:numPr>
      </w:pPr>
      <w:r>
        <w:t xml:space="preserve">[2] Ren, S., He, K., Girshick, R. &amp; Sun, J. Faster R-CNN: Towards real-time object detection with region proposal networks. Adv. Neural Inf. Process. Syst. 28 (2015).</w:t>
      </w:r>
    </w:p>
    <w:p>
      <w:pPr>
        <w:numPr>
          <w:ilvl w:val="0"/>
          <w:numId w:val="1001"/>
        </w:numPr>
      </w:pPr>
      <w:r>
        <w:t xml:space="preserve">[3] Dai, J., Li, Y., He, K. &amp; Sun, J. R-FCN: Object detection via region-based fully convolutional networks. Adv. Neural Inf. Process. Syst. 29 (2016).</w:t>
      </w:r>
    </w:p>
    <w:p>
      <w:pPr>
        <w:numPr>
          <w:ilvl w:val="0"/>
          <w:numId w:val="1001"/>
        </w:numPr>
      </w:pPr>
      <w:r>
        <w:t xml:space="preserve">[4] He, K., Gkioxari, G., Dollár, P. &amp; Girshick, R. Mask R-CNN. In Proc. IEEE Int. Conf. Comput. Vis., 2961–2969 (2017).</w:t>
      </w:r>
    </w:p>
    <w:p>
      <w:pPr>
        <w:numPr>
          <w:ilvl w:val="0"/>
          <w:numId w:val="1001"/>
        </w:numPr>
      </w:pPr>
      <w:r>
        <w:t xml:space="preserve">[5] Liu, W. et al. SSD: Single shot multibox detector. In Eur. Conf. Comput. Vis., 21–37 (2016).</w:t>
      </w:r>
    </w:p>
    <w:p>
      <w:pPr>
        <w:numPr>
          <w:ilvl w:val="0"/>
          <w:numId w:val="1001"/>
        </w:numPr>
      </w:pPr>
      <w:r>
        <w:t xml:space="preserve">[6] Lin, T. Y., Goyal, P., Girshick, R., He, K. &amp; Dollár, P. Focal loss for dense object detection. In Proc. IEEE Int. Conf. Comput. Vis., 2980–2988 (2017).</w:t>
      </w:r>
    </w:p>
    <w:p>
      <w:pPr>
        <w:numPr>
          <w:ilvl w:val="0"/>
          <w:numId w:val="1001"/>
        </w:numPr>
      </w:pPr>
      <w:r>
        <w:t xml:space="preserve">[7] Redmon, J., Divvala, S., Girshick, R. &amp; Farhadi, A. You only look once: Unified, real-time object detection. In Proc. IEEE Conf. Comput. Vis. Pattern Recognit., 779–788 (2016).</w:t>
      </w:r>
    </w:p>
    <w:p>
      <w:pPr>
        <w:numPr>
          <w:ilvl w:val="0"/>
          <w:numId w:val="1001"/>
        </w:numPr>
      </w:pPr>
      <w:r>
        <w:t xml:space="preserve">[8] Vaswani, A. et al. Attention is all you need. Adv. Neural Inf. Process. Syst. 30 (2017).</w:t>
      </w:r>
    </w:p>
    <w:p>
      <w:pPr>
        <w:numPr>
          <w:ilvl w:val="0"/>
          <w:numId w:val="1001"/>
        </w:numPr>
      </w:pPr>
      <w:r>
        <w:t xml:space="preserve">[9] Carion, N. et al. End-to-end object detection with transformers. In Eur. Conf. Comput. Vis., 213–229 (2020).</w:t>
      </w:r>
    </w:p>
    <w:p>
      <w:pPr>
        <w:numPr>
          <w:ilvl w:val="0"/>
          <w:numId w:val="1001"/>
        </w:numPr>
      </w:pPr>
      <w:r>
        <w:t xml:space="preserve">[10] Zhu, X. et al. Deformable DETR: Deformable transformers for end-to-end object detection. In Int. Conf. Learn. Represent. (2021).</w:t>
      </w:r>
    </w:p>
    <w:p>
      <w:pPr>
        <w:numPr>
          <w:ilvl w:val="0"/>
          <w:numId w:val="1001"/>
        </w:numPr>
      </w:pPr>
      <w:r>
        <w:t xml:space="preserve">[11] Redmon, J. &amp; Farhadi, A. YOLO9000: Better, faster, stronger. In Proc. IEEE Conf. Comput. Vis. Pattern Recognit., 7263–7271 (2017).</w:t>
      </w:r>
    </w:p>
    <w:p>
      <w:pPr>
        <w:numPr>
          <w:ilvl w:val="0"/>
          <w:numId w:val="1001"/>
        </w:numPr>
      </w:pPr>
      <w:r>
        <w:t xml:space="preserve">[12] Redmon, J. &amp; Farhadi, A. YOLOv3: An incremental improvement. arXiv 1804.02767 (2018).</w:t>
      </w:r>
    </w:p>
    <w:p>
      <w:pPr>
        <w:numPr>
          <w:ilvl w:val="0"/>
          <w:numId w:val="1001"/>
        </w:numPr>
      </w:pPr>
      <w:r>
        <w:t xml:space="preserve">[13] Bochkovskiy, A., Wang, C. Y. &amp; Liao, H. Y. M. YOLOv4: Optimal speed and accuracy of object detection. arXiv 2004.10934 (2020).</w:t>
      </w:r>
    </w:p>
    <w:p>
      <w:pPr>
        <w:numPr>
          <w:ilvl w:val="0"/>
          <w:numId w:val="1001"/>
        </w:numPr>
      </w:pPr>
      <w:r>
        <w:t xml:space="preserve">[15] Li, C. et al. YOLOv6: A single-stage object detection framework for industrial applications. arXiv 2209.02976 (2022).</w:t>
      </w:r>
    </w:p>
    <w:p>
      <w:pPr>
        <w:numPr>
          <w:ilvl w:val="0"/>
          <w:numId w:val="1001"/>
        </w:numPr>
      </w:pPr>
      <w:r>
        <w:t xml:space="preserve">[16] Wang, C. Y., Bochkovskiy, A. &amp; Liao, H. Y. M. YOLOv7: Trainable bag-of-freebies sets new state-of-the-art for real-time object detectors. In Proc. IEEE/CVF Conf. Comput. Vis. Pattern Recognit., 7464–7475 (2023).</w:t>
      </w:r>
    </w:p>
    <w:p>
      <w:pPr>
        <w:numPr>
          <w:ilvl w:val="0"/>
          <w:numId w:val="1001"/>
        </w:numPr>
      </w:pPr>
      <w:r>
        <w:t xml:space="preserve">[18] Wang, C. Y., Yeh, I. H. &amp; Liao, H. Y. M. YOLOv9: Learning what you want to learn using programmable gradient information. In Proc. IEEE/CVF Conf. Comput. Vis. Pattern Recognit., 16955–16966 (2024).</w:t>
      </w:r>
    </w:p>
    <w:p>
      <w:pPr>
        <w:numPr>
          <w:ilvl w:val="0"/>
          <w:numId w:val="1001"/>
        </w:numPr>
      </w:pPr>
      <w:r>
        <w:t xml:space="preserve">[19] Wang, A. et al. YOLOv10: Real-time end-to-end object detection. Adv. Neural Inf. Process. Syst. 37 (2024).</w:t>
      </w:r>
    </w:p>
    <w:p>
      <w:pPr>
        <w:numPr>
          <w:ilvl w:val="0"/>
          <w:numId w:val="1001"/>
        </w:numPr>
      </w:pPr>
      <w:r>
        <w:t xml:space="preserve">[21] Zhang, R. Making convolutional networks shift-invariant again. In Proc. Int. Conf. Mach. Learn., 7324–7334 (2019).</w:t>
      </w:r>
    </w:p>
    <w:p>
      <w:pPr>
        <w:numPr>
          <w:ilvl w:val="0"/>
          <w:numId w:val="1001"/>
        </w:numPr>
      </w:pPr>
      <w:r>
        <w:t xml:space="preserve">[22] Wang, J. et al. CARAFE: Content-aware reassembly of features. In Proc. IEEE/CVF Int. Conf. Comput. Vis., 3007–3016 (2019).</w:t>
      </w:r>
    </w:p>
    <w:p>
      <w:pPr>
        <w:numPr>
          <w:ilvl w:val="0"/>
          <w:numId w:val="1001"/>
        </w:numPr>
      </w:pPr>
      <w:r>
        <w:t xml:space="preserve">[23] Liu, W., Lu, H., Fu, H. &amp; Cao, Z. Learning to upsample by learning to sample. In Proc. IEEE/CVF Int. Conf. Comput. Vis., 6027–6037 (2023).</w:t>
      </w:r>
    </w:p>
    <w:p>
      <w:pPr>
        <w:numPr>
          <w:ilvl w:val="0"/>
          <w:numId w:val="1001"/>
        </w:numPr>
      </w:pPr>
      <w:r>
        <w:t xml:space="preserve">[24] Woo, S., Park, J., Lee, J. Y. &amp; Kweon, I. S. CBAM: Convolutional block attention module. In Eur. Conf. Comput. Vis., 3–19 (2018).</w:t>
      </w:r>
    </w:p>
    <w:p>
      <w:pPr>
        <w:numPr>
          <w:ilvl w:val="0"/>
          <w:numId w:val="1001"/>
        </w:numPr>
      </w:pPr>
      <w:r>
        <w:t xml:space="preserve">[25] Hou, Q., Zhou, D. &amp; Feng, J. Coordinate attention for efficient mobile network design. In Proc. IEEE/CVF Conf. Comput. Vis. Pattern Recognit., 13713–13722 (2021).</w:t>
      </w:r>
    </w:p>
    <w:p>
      <w:pPr>
        <w:numPr>
          <w:ilvl w:val="0"/>
          <w:numId w:val="1001"/>
        </w:numPr>
      </w:pPr>
      <w:r>
        <w:t xml:space="preserve">[26] Ding, X. et al. RepVGG: Making VGG-style ConvNets great again. In Proc. IEEE/CVF Conf. Comput. Vis. Pattern Recognit., 13733–13742 (2021).</w:t>
      </w:r>
    </w:p>
    <w:p>
      <w:pPr>
        <w:numPr>
          <w:ilvl w:val="0"/>
          <w:numId w:val="1001"/>
        </w:numPr>
      </w:pPr>
      <w:r>
        <w:t xml:space="preserve">[27] Ding, X., Zhang, X., Han, J. &amp; Ding, G. Diverse branch block: Building a convolution as an inception-like unit. In Proc. IEEE/CVF Conf. Comput. Vis. Pattern Recognit., 10886–10895 (2021).</w:t>
      </w:r>
    </w:p>
    <w:p>
      <w:pPr>
        <w:numPr>
          <w:ilvl w:val="0"/>
          <w:numId w:val="1001"/>
        </w:numPr>
      </w:pPr>
      <w:r>
        <w:t xml:space="preserve">[28] Lin, T. Y. et al. Feature pyramid networks for object detection. In Proc. IEEE Conf. Comput. Vis. Pattern Recognit., 2117–2125 (2017).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2026-08-25T07:24:25Z</dcterms:created>
  <dcterms:modified xsi:type="dcterms:W3CDTF">2026-08-25T07:24:25Z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