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Yu Gothic" w:hAnsi="Yu Gothic" w:eastAsia="Yu Gothic" w:cs="Yu Gothic"/>
          <w:b/>
          <w:color w:val="2E74B5"/>
          <w:sz w:val="21"/>
          <w:lang w:val="ja-JP" w:eastAsia="ja-JP"/>
        </w:rPr>
        <w:t>15分勉強会 進行台本</w:t>
      </w:r>
    </w:p>
    <w:p>
      <w:pPr>
        <w:keepNext/>
        <w:spacing w:before="0" w:after="160"/>
      </w:pPr>
      <w:r>
        <w:rPr>
          <w:rFonts w:ascii="Yu Gothic" w:hAnsi="Yu Gothic" w:eastAsia="Yu Gothic" w:cs="Yu Gothic"/>
          <w:b/>
          <w:color w:val="0B2545"/>
          <w:sz w:val="56"/>
          <w:lang w:val="ja-JP" w:eastAsia="ja-JP"/>
        </w:rPr>
        <w:t>サイバーセキュリティに関する法規制の経緯</w:t>
      </w:r>
    </w:p>
    <w:p>
      <w:pPr>
        <w:spacing w:after="360" w:line="276" w:lineRule="auto"/>
      </w:pPr>
      <w:r>
        <w:rPr>
          <w:rFonts w:ascii="Yu Gothic" w:hAnsi="Yu Gothic" w:eastAsia="Yu Gothic" w:cs="Yu Gothic"/>
          <w:color w:val="5F6368"/>
          <w:sz w:val="26"/>
          <w:lang w:val="ja-JP" w:eastAsia="ja-JP"/>
        </w:rPr>
        <w:t>最初に添付されたPDFを投影し、ページをめくりながら説明するための読み上げ原稿</w:t>
      </w:r>
    </w:p>
    <w:tbl>
      <w:tblPr>
        <w:tblW w:type="dxa" w:w="9360"/>
        <w:jc w:val="left"/>
        <w:tblLayout w:type="fixed"/>
        <w:tblLook w:firstColumn="1" w:firstRow="1" w:lastColumn="0" w:lastRow="0" w:noHBand="0" w:noVBand="1" w:val="04A0"/>
        <w:tblInd w:w="120" w:type="dxa"/>
        <w:tblBorders>
          <w:top w:val="single" w:sz="5" w:space="0" w:color="D3E4F5"/>
          <w:left w:val="single" w:sz="5" w:space="0" w:color="D3E4F5"/>
          <w:bottom w:val="single" w:sz="5" w:space="0" w:color="D3E4F5"/>
          <w:right w:val="single" w:sz="5" w:space="0" w:color="D3E4F5"/>
          <w:insideH w:val="single" w:sz="5" w:space="0" w:color="D3E4F5"/>
          <w:insideV w:val="single" w:sz="5" w:space="0" w:color="D3E4F5"/>
        </w:tblBorders>
      </w:tblPr>
      <w:tblGrid>
        <w:gridCol w:w="2340"/>
        <w:gridCol w:w="2340"/>
        <w:gridCol w:w="2340"/>
        <w:gridCol w:w="2340"/>
      </w:tblGrid>
      <w:tr>
        <w:tc>
          <w:tcPr>
            <w:tcW w:type="dxa" w:w="2340"/>
            <w:tcMar>
              <w:top w:w="150" w:type="dxa"/>
              <w:start w:w="140" w:type="dxa"/>
              <w:bottom w:w="150" w:type="dxa"/>
              <w:end w:w="140" w:type="dxa"/>
            </w:tcMar>
            <w:vAlign w:val="center"/>
            <w:shd w:fill="EAF3FC" w:val="clear"/>
          </w:tcPr>
          <w:p>
            <w:pPr>
              <w:spacing w:after="40"/>
              <w:jc w:val="center"/>
            </w:pPr>
            <w:r>
              <w:rPr>
                <w:rFonts w:ascii="Yu Gothic" w:hAnsi="Yu Gothic" w:eastAsia="Yu Gothic" w:cs="Yu Gothic"/>
                <w:b/>
                <w:color w:val="2E74B5"/>
                <w:sz w:val="28"/>
                <w:lang w:val="ja-JP" w:eastAsia="ja-JP"/>
              </w:rPr>
              <w:t>15分</w:t>
            </w:r>
          </w:p>
          <w:p>
            <w:pPr>
              <w:spacing w:after="0"/>
              <w:jc w:val="center"/>
            </w:pPr>
            <w:r>
              <w:rPr>
                <w:rFonts w:ascii="Yu Gothic" w:hAnsi="Yu Gothic" w:eastAsia="Yu Gothic" w:cs="Yu Gothic"/>
                <w:color w:val="5F6368"/>
                <w:sz w:val="17"/>
                <w:lang w:val="ja-JP" w:eastAsia="ja-JP"/>
              </w:rPr>
              <w:t>所要時間</w:t>
            </w:r>
          </w:p>
        </w:tc>
        <w:tc>
          <w:tcPr>
            <w:tcW w:type="dxa" w:w="2340"/>
            <w:tcMar>
              <w:top w:w="150" w:type="dxa"/>
              <w:start w:w="140" w:type="dxa"/>
              <w:bottom w:w="150" w:type="dxa"/>
              <w:end w:w="140" w:type="dxa"/>
            </w:tcMar>
            <w:vAlign w:val="center"/>
            <w:shd w:fill="EAF3FC" w:val="clear"/>
          </w:tcPr>
          <w:p>
            <w:pPr>
              <w:spacing w:after="40"/>
              <w:jc w:val="center"/>
            </w:pPr>
            <w:r>
              <w:rPr>
                <w:rFonts w:ascii="Yu Gothic" w:hAnsi="Yu Gothic" w:eastAsia="Yu Gothic" w:cs="Yu Gothic"/>
                <w:b/>
                <w:color w:val="2E74B5"/>
                <w:sz w:val="28"/>
                <w:lang w:val="ja-JP" w:eastAsia="ja-JP"/>
              </w:rPr>
              <w:t>13ページ</w:t>
            </w:r>
          </w:p>
          <w:p>
            <w:pPr>
              <w:spacing w:after="0"/>
              <w:jc w:val="center"/>
            </w:pPr>
            <w:r>
              <w:rPr>
                <w:rFonts w:ascii="Yu Gothic" w:hAnsi="Yu Gothic" w:eastAsia="Yu Gothic" w:cs="Yu Gothic"/>
                <w:color w:val="5F6368"/>
                <w:sz w:val="17"/>
                <w:lang w:val="ja-JP" w:eastAsia="ja-JP"/>
              </w:rPr>
              <w:t>投影する資料</w:t>
            </w:r>
          </w:p>
        </w:tc>
        <w:tc>
          <w:tcPr>
            <w:tcW w:type="dxa" w:w="2340"/>
            <w:tcMar>
              <w:top w:w="150" w:type="dxa"/>
              <w:start w:w="140" w:type="dxa"/>
              <w:bottom w:w="150" w:type="dxa"/>
              <w:end w:w="140" w:type="dxa"/>
            </w:tcMar>
            <w:vAlign w:val="center"/>
            <w:shd w:fill="EAF3FC" w:val="clear"/>
          </w:tcPr>
          <w:p>
            <w:pPr>
              <w:spacing w:after="40"/>
              <w:jc w:val="center"/>
            </w:pPr>
            <w:r>
              <w:rPr>
                <w:rFonts w:ascii="Yu Gothic" w:hAnsi="Yu Gothic" w:eastAsia="Yu Gothic" w:cs="Yu Gothic"/>
                <w:b/>
                <w:color w:val="2E74B5"/>
                <w:sz w:val="28"/>
                <w:lang w:val="ja-JP" w:eastAsia="ja-JP"/>
              </w:rPr>
              <w:t>4つ</w:t>
            </w:r>
          </w:p>
          <w:p>
            <w:pPr>
              <w:spacing w:after="0"/>
              <w:jc w:val="center"/>
            </w:pPr>
            <w:r>
              <w:rPr>
                <w:rFonts w:ascii="Yu Gothic" w:hAnsi="Yu Gothic" w:eastAsia="Yu Gothic" w:cs="Yu Gothic"/>
                <w:color w:val="5F6368"/>
                <w:sz w:val="17"/>
                <w:lang w:val="ja-JP" w:eastAsia="ja-JP"/>
              </w:rPr>
              <w:t>重点的に扱う法律</w:t>
            </w:r>
          </w:p>
        </w:tc>
        <w:tc>
          <w:tcPr>
            <w:tcW w:type="dxa" w:w="2340"/>
            <w:tcMar>
              <w:top w:w="150" w:type="dxa"/>
              <w:start w:w="140" w:type="dxa"/>
              <w:bottom w:w="150" w:type="dxa"/>
              <w:end w:w="140" w:type="dxa"/>
            </w:tcMar>
            <w:vAlign w:val="center"/>
            <w:shd w:fill="EAF3FC" w:val="clear"/>
          </w:tcPr>
          <w:p>
            <w:pPr>
              <w:spacing w:after="40"/>
              <w:jc w:val="center"/>
            </w:pPr>
            <w:r>
              <w:rPr>
                <w:rFonts w:ascii="Yu Gothic" w:hAnsi="Yu Gothic" w:eastAsia="Yu Gothic" w:cs="Yu Gothic"/>
                <w:b/>
                <w:color w:val="2E74B5"/>
                <w:sz w:val="28"/>
                <w:lang w:val="ja-JP" w:eastAsia="ja-JP"/>
              </w:rPr>
              <w:t>3点</w:t>
            </w:r>
          </w:p>
          <w:p>
            <w:pPr>
              <w:spacing w:after="0"/>
              <w:jc w:val="center"/>
            </w:pPr>
            <w:r>
              <w:rPr>
                <w:rFonts w:ascii="Yu Gothic" w:hAnsi="Yu Gothic" w:eastAsia="Yu Gothic" w:cs="Yu Gothic"/>
                <w:color w:val="5F6368"/>
                <w:sz w:val="17"/>
                <w:lang w:val="ja-JP" w:eastAsia="ja-JP"/>
              </w:rPr>
              <w:t>持ち帰る要点</w:t>
            </w:r>
          </w:p>
        </w:tc>
      </w:tr>
    </w:tbl>
    <w:p>
      <w:pPr>
        <w:spacing w:after="40"/>
      </w:pPr>
    </w:p>
    <w:p>
      <w:pPr>
        <w:keepLines/>
        <w:spacing w:before="120" w:after="200" w:line="288" w:lineRule="auto"/>
        <w:ind w:left="144" w:right="115"/>
        <w:shd w:fill="F4F6F9" w:val="clear"/>
        <w:pBdr>
          <w:left w:val="single" w:sz="20" w:space="8" w:color="1F4D78"/>
        </w:pBdr>
      </w:pPr>
      <w:r>
        <w:rPr>
          <w:rFonts w:ascii="Yu Gothic" w:hAnsi="Yu Gothic" w:eastAsia="Yu Gothic" w:cs="Yu Gothic"/>
          <w:b/>
          <w:color w:val="1F4D78"/>
          <w:sz w:val="20"/>
          <w:lang w:val="ja-JP" w:eastAsia="ja-JP"/>
        </w:rPr>
        <w:t xml:space="preserve">進行の前提  </w:t>
      </w:r>
      <w:r>
        <w:rPr>
          <w:rFonts w:ascii="Yu Gothic" w:hAnsi="Yu Gothic" w:eastAsia="Yu Gothic" w:cs="Yu Gothic"/>
          <w:color w:val="202124"/>
          <w:sz w:val="20"/>
          <w:lang w:val="ja-JP" w:eastAsia="ja-JP"/>
        </w:rPr>
        <w:t>法律名や条文を暗記する会ではなく、業務上の行為と法規制の境界をつかむことを目的とする。個別案件の法的判断は行わない。</w:t>
      </w:r>
    </w:p>
    <w:p>
      <w:pPr>
        <w:pStyle w:val="Heading1"/>
      </w:pPr>
      <w:r>
        <w:rPr>
          <w:rFonts w:ascii="Yu Gothic" w:hAnsi="Yu Gothic" w:eastAsia="Yu Gothic" w:cs="Yu Gothic"/>
          <w:b/>
          <w:color w:val="2E74B5"/>
          <w:sz w:val="32"/>
          <w:lang w:val="ja-JP" w:eastAsia="ja-JP"/>
        </w:rPr>
        <w:t>最初に押さえる3点</w:t>
      </w:r>
    </w:p>
    <w:p>
      <w:pPr>
        <w:numPr>
          <w:ilvl w:val="0"/>
          <w:numId w:val="10"/>
        </w:numPr>
        <w:spacing w:after="80" w:line="300" w:lineRule="auto"/>
        <w:ind w:left="540" w:hanging="271"/>
      </w:pPr>
      <w:r>
        <w:rPr>
          <w:rFonts w:ascii="Yu Gothic" w:hAnsi="Yu Gothic" w:eastAsia="Yu Gothic" w:cs="Yu Gothic"/>
          <w:color w:val="202124"/>
          <w:sz w:val="21"/>
          <w:lang w:val="ja-JP" w:eastAsia="ja-JP"/>
        </w:rPr>
        <w:t>刑法は、データ改ざん、ウイルス、コンピュータを使った不正な利益取得など、行為を規制する。</w:t>
      </w:r>
    </w:p>
    <w:p>
      <w:pPr>
        <w:numPr>
          <w:ilvl w:val="0"/>
          <w:numId w:val="10"/>
        </w:numPr>
        <w:spacing w:after="80" w:line="300" w:lineRule="auto"/>
        <w:ind w:left="540" w:hanging="271"/>
      </w:pPr>
      <w:r>
        <w:rPr>
          <w:rFonts w:ascii="Yu Gothic" w:hAnsi="Yu Gothic" w:eastAsia="Yu Gothic" w:cs="Yu Gothic"/>
          <w:color w:val="202124"/>
          <w:sz w:val="21"/>
          <w:lang w:val="ja-JP" w:eastAsia="ja-JP"/>
        </w:rPr>
        <w:t>不正アクセス禁止法は、不正ログインだけでなく、ID・パスワードの不正取得・保管など入口の前段階も規制する。</w:t>
      </w:r>
    </w:p>
    <w:p>
      <w:pPr>
        <w:numPr>
          <w:ilvl w:val="0"/>
          <w:numId w:val="10"/>
        </w:numPr>
        <w:spacing w:after="80" w:line="300" w:lineRule="auto"/>
        <w:ind w:left="540" w:hanging="271"/>
      </w:pPr>
      <w:r>
        <w:rPr>
          <w:rFonts w:ascii="Yu Gothic" w:hAnsi="Yu Gothic" w:eastAsia="Yu Gothic" w:cs="Yu Gothic"/>
          <w:color w:val="202124"/>
          <w:sz w:val="21"/>
          <w:lang w:val="ja-JP" w:eastAsia="ja-JP"/>
        </w:rPr>
        <w:t>個人情報保護法は、情報を使わないための法律ではなく、活用と権利利益の保護を両立させる法律である。</w:t>
      </w:r>
    </w:p>
    <w:p>
      <w:pPr>
        <w:keepLines/>
        <w:spacing w:before="120" w:after="200" w:line="288" w:lineRule="auto"/>
        <w:ind w:left="144" w:right="115"/>
        <w:shd w:fill="FFF8E8" w:val="clear"/>
        <w:pBdr>
          <w:left w:val="single" w:sz="20" w:space="8" w:color="7A5A00"/>
        </w:pBdr>
      </w:pPr>
      <w:r>
        <w:rPr>
          <w:rFonts w:ascii="Yu Gothic" w:hAnsi="Yu Gothic" w:eastAsia="Yu Gothic" w:cs="Yu Gothic"/>
          <w:b/>
          <w:color w:val="7A5A00"/>
          <w:sz w:val="20"/>
          <w:lang w:val="ja-JP" w:eastAsia="ja-JP"/>
        </w:rPr>
        <w:t xml:space="preserve">時間配分のコツ  </w:t>
      </w:r>
      <w:r>
        <w:rPr>
          <w:rFonts w:ascii="Yu Gothic" w:hAnsi="Yu Gothic" w:eastAsia="Yu Gothic" w:cs="Yu Gothic"/>
          <w:color w:val="202124"/>
          <w:sz w:val="20"/>
          <w:lang w:val="ja-JP" w:eastAsia="ja-JP"/>
        </w:rPr>
        <w:t>2-3頁の法律一覧は全項目を読まない。4つの法律だけを指して説明し、事例が載っている6頁、9頁、11頁に時間を使う。</w:t>
      </w:r>
    </w:p>
    <w:p>
      <w:r>
        <w:br w:type="page"/>
      </w:r>
    </w:p>
    <w:p>
      <w:pPr>
        <w:pStyle w:val="Heading1"/>
      </w:pPr>
      <w:r>
        <w:rPr>
          <w:rFonts w:ascii="Yu Gothic" w:hAnsi="Yu Gothic" w:eastAsia="Yu Gothic" w:cs="Yu Gothic"/>
          <w:b/>
          <w:color w:val="2E74B5"/>
          <w:sz w:val="32"/>
          <w:lang w:val="ja-JP" w:eastAsia="ja-JP"/>
        </w:rPr>
        <w:t>15分の進行表</w:t>
      </w:r>
    </w:p>
    <w:p>
      <w:r>
        <w:rPr>
          <w:rFonts w:ascii="Yu Gothic" w:hAnsi="Yu Gothic" w:eastAsia="Yu Gothic" w:cs="Yu Gothic"/>
          <w:color w:val="202124"/>
          <w:sz w:val="21"/>
          <w:lang w:val="ja-JP" w:eastAsia="ja-JP"/>
        </w:rPr>
        <w:t>質疑応答は別枠とし、説明部分だけで約15分になる配分です。話す速度が速い場合は、11頁の問いかけで数秒置いてください。</w:t>
      </w:r>
    </w:p>
    <w:tbl>
      <w:tblPr>
        <w:tblW w:type="dxa" w:w="9360"/>
        <w:tblLayout w:type="fixed"/>
        <w:tblLook w:firstColumn="1" w:firstRow="1" w:lastColumn="0" w:lastRow="0" w:noHBand="0" w:noVBand="1" w:val="04A0"/>
        <w:jc w:val="left"/>
        <w:tblInd w:w="120" w:type="dxa"/>
        <w:tblBorders>
          <w:top w:val="single" w:sz="4" w:space="0" w:color="D8DEE8"/>
          <w:left w:val="single" w:sz="4" w:space="0" w:color="D8DEE8"/>
          <w:bottom w:val="single" w:sz="4" w:space="0" w:color="D8DEE8"/>
          <w:right w:val="single" w:sz="4" w:space="0" w:color="D8DEE8"/>
          <w:insideH w:val="single" w:sz="4" w:space="0" w:color="D8DEE8"/>
          <w:insideV w:val="single" w:sz="4" w:space="0" w:color="D8DEE8"/>
        </w:tblBorders>
      </w:tblPr>
      <w:tblGrid>
        <w:gridCol w:w="1680"/>
        <w:gridCol w:w="1680"/>
        <w:gridCol w:w="6000"/>
      </w:tblGrid>
      <w:tr>
        <w:trPr>
          <w:tblHeader/>
        </w:trPr>
        <w:tc>
          <w:tcPr>
            <w:tcW w:type="dxa" w:w="1680"/>
            <w:tcMar>
              <w:top w:w="80" w:type="dxa"/>
              <w:start w:w="120" w:type="dxa"/>
              <w:bottom w:w="80" w:type="dxa"/>
              <w:end w:w="120" w:type="dxa"/>
            </w:tcMar>
            <w:vAlign w:val="center"/>
            <w:shd w:fill="E8EEF5" w:val="clear"/>
          </w:tcPr>
          <w:p>
            <w:pPr>
              <w:spacing w:after="0"/>
              <w:jc w:val="center"/>
            </w:pPr>
            <w:r>
              <w:rPr>
                <w:rFonts w:ascii="Yu Gothic" w:hAnsi="Yu Gothic" w:eastAsia="Yu Gothic" w:cs="Yu Gothic"/>
                <w:b/>
                <w:color w:val="0B2545"/>
                <w:sz w:val="20"/>
                <w:lang w:val="ja-JP" w:eastAsia="ja-JP"/>
              </w:rPr>
              <w:t>時間</w:t>
            </w:r>
          </w:p>
        </w:tc>
        <w:tc>
          <w:tcPr>
            <w:tcW w:type="dxa" w:w="1680"/>
            <w:tcMar>
              <w:top w:w="80" w:type="dxa"/>
              <w:start w:w="120" w:type="dxa"/>
              <w:bottom w:w="80" w:type="dxa"/>
              <w:end w:w="120" w:type="dxa"/>
            </w:tcMar>
            <w:vAlign w:val="center"/>
            <w:shd w:fill="E8EEF5" w:val="clear"/>
          </w:tcPr>
          <w:p>
            <w:pPr>
              <w:spacing w:after="0"/>
              <w:jc w:val="center"/>
            </w:pPr>
            <w:r>
              <w:rPr>
                <w:rFonts w:ascii="Yu Gothic" w:hAnsi="Yu Gothic" w:eastAsia="Yu Gothic" w:cs="Yu Gothic"/>
                <w:b/>
                <w:color w:val="0B2545"/>
                <w:sz w:val="20"/>
                <w:lang w:val="ja-JP" w:eastAsia="ja-JP"/>
              </w:rPr>
              <w:t>資料</w:t>
            </w:r>
          </w:p>
        </w:tc>
        <w:tc>
          <w:tcPr>
            <w:tcW w:type="dxa" w:w="6000"/>
            <w:tcMar>
              <w:top w:w="80" w:type="dxa"/>
              <w:start w:w="120" w:type="dxa"/>
              <w:bottom w:w="80" w:type="dxa"/>
              <w:end w:w="120" w:type="dxa"/>
            </w:tcMar>
            <w:vAlign w:val="center"/>
            <w:shd w:fill="E8EEF5" w:val="clear"/>
          </w:tcPr>
          <w:p>
            <w:pPr>
              <w:spacing w:after="0"/>
              <w:jc w:val="left"/>
            </w:pPr>
            <w:r>
              <w:rPr>
                <w:rFonts w:ascii="Yu Gothic" w:hAnsi="Yu Gothic" w:eastAsia="Yu Gothic" w:cs="Yu Gothic"/>
                <w:b/>
                <w:color w:val="0B2545"/>
                <w:sz w:val="20"/>
                <w:lang w:val="ja-JP" w:eastAsia="ja-JP"/>
              </w:rPr>
              <w:t>話す内容</w:t>
            </w:r>
          </w:p>
        </w:tc>
      </w:tr>
      <w:tr>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0:00-1:00</w:t>
            </w:r>
          </w:p>
        </w:tc>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表紙・1頁</w:t>
            </w:r>
          </w:p>
        </w:tc>
        <w:tc>
          <w:tcPr>
            <w:tcW w:type="dxa" w:w="6000"/>
            <w:tcMar>
              <w:top w:w="80" w:type="dxa"/>
              <w:start w:w="120" w:type="dxa"/>
              <w:bottom w:w="80" w:type="dxa"/>
              <w:end w:w="120" w:type="dxa"/>
            </w:tcMar>
            <w:vAlign w:val="center"/>
          </w:tcPr>
          <w:p>
            <w:pPr>
              <w:spacing w:after="0" w:line="276" w:lineRule="auto"/>
              <w:jc w:val="left"/>
            </w:pPr>
            <w:r>
              <w:rPr>
                <w:rFonts w:ascii="Yu Gothic" w:hAnsi="Yu Gothic" w:eastAsia="Yu Gothic" w:cs="Yu Gothic"/>
                <w:color w:val="202124"/>
                <w:sz w:val="19"/>
                <w:lang w:val="ja-JP" w:eastAsia="ja-JP"/>
              </w:rPr>
              <w:t>導入、目的、資料の位置づけ</w:t>
            </w:r>
          </w:p>
        </w:tc>
      </w:tr>
      <w:tr>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1:00-2:30</w:t>
            </w:r>
          </w:p>
        </w:tc>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2-3頁</w:t>
            </w:r>
          </w:p>
        </w:tc>
        <w:tc>
          <w:tcPr>
            <w:tcW w:type="dxa" w:w="6000"/>
            <w:tcMar>
              <w:top w:w="80" w:type="dxa"/>
              <w:start w:w="120" w:type="dxa"/>
              <w:bottom w:w="80" w:type="dxa"/>
              <w:end w:w="120" w:type="dxa"/>
            </w:tcMar>
            <w:vAlign w:val="center"/>
          </w:tcPr>
          <w:p>
            <w:pPr>
              <w:spacing w:after="0" w:line="276" w:lineRule="auto"/>
              <w:jc w:val="left"/>
            </w:pPr>
            <w:r>
              <w:rPr>
                <w:rFonts w:ascii="Yu Gothic" w:hAnsi="Yu Gothic" w:eastAsia="Yu Gothic" w:cs="Yu Gothic"/>
                <w:color w:val="202124"/>
                <w:sz w:val="19"/>
                <w:lang w:val="ja-JP" w:eastAsia="ja-JP"/>
              </w:rPr>
              <w:t>関連法の全体像。4つの法律だけに絞る</w:t>
            </w:r>
          </w:p>
        </w:tc>
      </w:tr>
      <w:tr>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2:30-6:20</w:t>
            </w:r>
          </w:p>
        </w:tc>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4-6頁</w:t>
            </w:r>
          </w:p>
        </w:tc>
        <w:tc>
          <w:tcPr>
            <w:tcW w:type="dxa" w:w="6000"/>
            <w:tcMar>
              <w:top w:w="80" w:type="dxa"/>
              <w:start w:w="120" w:type="dxa"/>
              <w:bottom w:w="80" w:type="dxa"/>
              <w:end w:w="120" w:type="dxa"/>
            </w:tcMar>
            <w:vAlign w:val="center"/>
          </w:tcPr>
          <w:p>
            <w:pPr>
              <w:spacing w:after="0" w:line="276" w:lineRule="auto"/>
              <w:jc w:val="left"/>
            </w:pPr>
            <w:r>
              <w:rPr>
                <w:rFonts w:ascii="Yu Gothic" w:hAnsi="Yu Gothic" w:eastAsia="Yu Gothic" w:cs="Yu Gothic"/>
                <w:color w:val="202124"/>
                <w:sz w:val="19"/>
                <w:lang w:val="ja-JP" w:eastAsia="ja-JP"/>
              </w:rPr>
              <w:t>刑法：改ざん、ウイルス、コンピュータ詐欺</w:t>
            </w:r>
          </w:p>
        </w:tc>
      </w:tr>
      <w:tr>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6:20-7:20</w:t>
            </w:r>
          </w:p>
        </w:tc>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7頁</w:t>
            </w:r>
          </w:p>
        </w:tc>
        <w:tc>
          <w:tcPr>
            <w:tcW w:type="dxa" w:w="6000"/>
            <w:tcMar>
              <w:top w:w="80" w:type="dxa"/>
              <w:start w:w="120" w:type="dxa"/>
              <w:bottom w:w="80" w:type="dxa"/>
              <w:end w:w="120" w:type="dxa"/>
            </w:tcMar>
            <w:vAlign w:val="center"/>
          </w:tcPr>
          <w:p>
            <w:pPr>
              <w:spacing w:after="0" w:line="276" w:lineRule="auto"/>
              <w:jc w:val="left"/>
            </w:pPr>
            <w:r>
              <w:rPr>
                <w:rFonts w:ascii="Yu Gothic" w:hAnsi="Yu Gothic" w:eastAsia="Yu Gothic" w:cs="Yu Gothic"/>
                <w:color w:val="202124"/>
                <w:sz w:val="19"/>
                <w:lang w:val="ja-JP" w:eastAsia="ja-JP"/>
              </w:rPr>
              <w:t>サイバーセキュリティ基本法と組織的対応</w:t>
            </w:r>
          </w:p>
        </w:tc>
      </w:tr>
      <w:tr>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7:20-10:20</w:t>
            </w:r>
          </w:p>
        </w:tc>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8-9頁</w:t>
            </w:r>
          </w:p>
        </w:tc>
        <w:tc>
          <w:tcPr>
            <w:tcW w:type="dxa" w:w="6000"/>
            <w:tcMar>
              <w:top w:w="80" w:type="dxa"/>
              <w:start w:w="120" w:type="dxa"/>
              <w:bottom w:w="80" w:type="dxa"/>
              <w:end w:w="120" w:type="dxa"/>
            </w:tcMar>
            <w:vAlign w:val="center"/>
          </w:tcPr>
          <w:p>
            <w:pPr>
              <w:spacing w:after="0" w:line="276" w:lineRule="auto"/>
              <w:jc w:val="left"/>
            </w:pPr>
            <w:r>
              <w:rPr>
                <w:rFonts w:ascii="Yu Gothic" w:hAnsi="Yu Gothic" w:eastAsia="Yu Gothic" w:cs="Yu Gothic"/>
                <w:color w:val="202124"/>
                <w:sz w:val="19"/>
                <w:lang w:val="ja-JP" w:eastAsia="ja-JP"/>
              </w:rPr>
              <w:t>不正アクセス禁止法とランサムウェア事例</w:t>
            </w:r>
          </w:p>
        </w:tc>
      </w:tr>
      <w:tr>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10:20-13:50</w:t>
            </w:r>
          </w:p>
        </w:tc>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10-11頁</w:t>
            </w:r>
          </w:p>
        </w:tc>
        <w:tc>
          <w:tcPr>
            <w:tcW w:type="dxa" w:w="6000"/>
            <w:tcMar>
              <w:top w:w="80" w:type="dxa"/>
              <w:start w:w="120" w:type="dxa"/>
              <w:bottom w:w="80" w:type="dxa"/>
              <w:end w:w="120" w:type="dxa"/>
            </w:tcMar>
            <w:vAlign w:val="center"/>
          </w:tcPr>
          <w:p>
            <w:pPr>
              <w:spacing w:after="0" w:line="276" w:lineRule="auto"/>
              <w:jc w:val="left"/>
            </w:pPr>
            <w:r>
              <w:rPr>
                <w:rFonts w:ascii="Yu Gothic" w:hAnsi="Yu Gothic" w:eastAsia="Yu Gothic" w:cs="Yu Gothic"/>
                <w:color w:val="202124"/>
                <w:sz w:val="19"/>
                <w:lang w:val="ja-JP" w:eastAsia="ja-JP"/>
              </w:rPr>
              <w:t>個人情報保護法と内部不正の事例</w:t>
            </w:r>
          </w:p>
        </w:tc>
      </w:tr>
      <w:tr>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13:50-15:00</w:t>
            </w:r>
          </w:p>
        </w:tc>
        <w:tc>
          <w:tcPr>
            <w:tcW w:type="dxa" w:w="1680"/>
            <w:tcMar>
              <w:top w:w="80" w:type="dxa"/>
              <w:start w:w="120" w:type="dxa"/>
              <w:bottom w:w="80" w:type="dxa"/>
              <w:end w:w="120" w:type="dxa"/>
            </w:tcMar>
            <w:vAlign w:val="center"/>
          </w:tcPr>
          <w:p>
            <w:pPr>
              <w:spacing w:after="0" w:line="276" w:lineRule="auto"/>
              <w:jc w:val="center"/>
            </w:pPr>
            <w:r>
              <w:rPr>
                <w:rFonts w:ascii="Yu Gothic" w:hAnsi="Yu Gothic" w:eastAsia="Yu Gothic" w:cs="Yu Gothic"/>
                <w:color w:val="202124"/>
                <w:sz w:val="19"/>
                <w:lang w:val="ja-JP" w:eastAsia="ja-JP"/>
              </w:rPr>
              <w:t>終頁</w:t>
            </w:r>
          </w:p>
        </w:tc>
        <w:tc>
          <w:tcPr>
            <w:tcW w:type="dxa" w:w="6000"/>
            <w:tcMar>
              <w:top w:w="80" w:type="dxa"/>
              <w:start w:w="120" w:type="dxa"/>
              <w:bottom w:w="80" w:type="dxa"/>
              <w:end w:w="120" w:type="dxa"/>
            </w:tcMar>
            <w:vAlign w:val="center"/>
          </w:tcPr>
          <w:p>
            <w:pPr>
              <w:spacing w:after="0" w:line="276" w:lineRule="auto"/>
              <w:jc w:val="left"/>
            </w:pPr>
            <w:r>
              <w:rPr>
                <w:rFonts w:ascii="Yu Gothic" w:hAnsi="Yu Gothic" w:eastAsia="Yu Gothic" w:cs="Yu Gothic"/>
                <w:color w:val="202124"/>
                <w:sz w:val="19"/>
                <w:lang w:val="ja-JP" w:eastAsia="ja-JP"/>
              </w:rPr>
              <w:t>3点のまとめ、終了</w:t>
            </w:r>
          </w:p>
        </w:tc>
      </w:tr>
    </w:tbl>
    <w:p>
      <w:pPr>
        <w:keepLines/>
        <w:spacing w:before="120" w:after="200" w:line="288" w:lineRule="auto"/>
        <w:ind w:left="144" w:right="115"/>
        <w:shd w:fill="EAF3FC" w:val="clear"/>
        <w:pBdr>
          <w:left w:val="single" w:sz="20" w:space="8" w:color="1F4D78"/>
        </w:pBdr>
      </w:pPr>
      <w:r>
        <w:rPr>
          <w:rFonts w:ascii="Yu Gothic" w:hAnsi="Yu Gothic" w:eastAsia="Yu Gothic" w:cs="Yu Gothic"/>
          <w:b/>
          <w:color w:val="1F4D78"/>
          <w:sz w:val="20"/>
          <w:lang w:val="ja-JP" w:eastAsia="ja-JP"/>
        </w:rPr>
        <w:t xml:space="preserve">短縮する場合  </w:t>
      </w:r>
      <w:r>
        <w:rPr>
          <w:rFonts w:ascii="Yu Gothic" w:hAnsi="Yu Gothic" w:eastAsia="Yu Gothic" w:cs="Yu Gothic"/>
          <w:color w:val="202124"/>
          <w:sz w:val="20"/>
          <w:lang w:val="ja-JP" w:eastAsia="ja-JP"/>
        </w:rPr>
        <w:t>時間が押したら7頁の改正経緯を一文に圧縮し、9頁の対策例を3つに絞る。11頁の事例と最後の3点は削らない。</w:t>
      </w:r>
    </w:p>
    <w:p>
      <w:r>
        <w:br w:type="page"/>
      </w:r>
    </w:p>
    <w:p>
      <w:pPr>
        <w:pStyle w:val="Heading1"/>
      </w:pPr>
      <w:r>
        <w:rPr>
          <w:rFonts w:ascii="Yu Gothic" w:hAnsi="Yu Gothic" w:eastAsia="Yu Gothic" w:cs="Yu Gothic"/>
          <w:b/>
          <w:color w:val="2E74B5"/>
          <w:sz w:val="32"/>
          <w:lang w:val="ja-JP" w:eastAsia="ja-JP"/>
        </w:rPr>
        <w:t>ページ別の読み上げ原稿</w:t>
      </w:r>
    </w:p>
    <w:p>
      <w:pPr>
        <w:pStyle w:val="Heading2"/>
        <w:keepNext/>
      </w:pPr>
      <w:r>
        <w:rPr>
          <w:rFonts w:ascii="Yu Gothic" w:hAnsi="Yu Gothic" w:eastAsia="Yu Gothic" w:cs="Yu Gothic"/>
          <w:b/>
          <w:color w:val="2E74B5"/>
          <w:sz w:val="26"/>
          <w:lang w:val="ja-JP" w:eastAsia="ja-JP"/>
        </w:rPr>
        <w:t>表紙｜導入</w:t>
      </w:r>
    </w:p>
    <w:p>
      <w:pPr>
        <w:keepNext/>
        <w:spacing w:after="100"/>
      </w:pPr>
      <w:r>
        <w:rPr>
          <w:rFonts w:ascii="Yu Gothic" w:hAnsi="Yu Gothic" w:eastAsia="Yu Gothic" w:cs="Yu Gothic"/>
          <w:b/>
          <w:color w:val="1F4D78"/>
          <w:sz w:val="19"/>
          <w:lang w:val="ja-JP" w:eastAsia="ja-JP"/>
        </w:rPr>
        <w:t>表示：表紙</w:t>
      </w:r>
      <w:r>
        <w:rPr>
          <w:rFonts w:ascii="Yu Gothic" w:hAnsi="Yu Gothic" w:eastAsia="Yu Gothic" w:cs="Yu Gothic"/>
          <w:color w:val="5F6368"/>
          <w:sz w:val="19"/>
          <w:lang w:val="ja-JP" w:eastAsia="ja-JP"/>
        </w:rPr>
        <w:t xml:space="preserve">　｜　目安：0:00-0:25（25秒）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本日は『サイバーセキュリティに関する法規制の経緯』を使って、サイバー空間での行為が、どのような法律と関係するのかを15分で整理します。法律名や条文を暗記するのではなく、普段の業務で『ここから先は注意が必要だ』と気づけることを目標にしま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最初に『15分で全体像をつかむ』と宣言し、細かな条文説明への期待を調整する。</w:t>
      </w:r>
    </w:p>
    <w:p>
      <w:pPr>
        <w:numPr>
          <w:ilvl w:val="0"/>
          <w:numId w:val="10"/>
        </w:numPr>
        <w:spacing w:after="80" w:line="300" w:lineRule="auto"/>
        <w:ind w:left="540" w:hanging="271"/>
      </w:pPr>
      <w:r>
        <w:rPr>
          <w:rFonts w:ascii="Yu Gothic" w:hAnsi="Yu Gothic" w:eastAsia="Yu Gothic" w:cs="Yu Gothic"/>
          <w:b/>
          <w:color w:val="1F4D78"/>
          <w:sz w:val="21"/>
          <w:lang w:val="ja-JP" w:eastAsia="ja-JP"/>
        </w:rPr>
        <w:t>見せ方：</w:t>
      </w:r>
      <w:r>
        <w:rPr>
          <w:rFonts w:ascii="Yu Gothic" w:hAnsi="Yu Gothic" w:eastAsia="Yu Gothic" w:cs="Yu Gothic"/>
          <w:color w:val="202124"/>
          <w:sz w:val="21"/>
          <w:lang w:val="ja-JP" w:eastAsia="ja-JP"/>
        </w:rPr>
        <w:t>表紙を表示したまま、タイトルと本日のゴールだけを伝える。</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「まず、この資料の目的と注意事項を確認します。」</w:t>
      </w:r>
    </w:p>
    <w:p>
      <w:pPr>
        <w:pStyle w:val="Heading2"/>
        <w:keepNext/>
      </w:pPr>
      <w:r>
        <w:rPr>
          <w:rFonts w:ascii="Yu Gothic" w:hAnsi="Yu Gothic" w:eastAsia="Yu Gothic" w:cs="Yu Gothic"/>
          <w:b/>
          <w:color w:val="2E74B5"/>
          <w:sz w:val="26"/>
          <w:lang w:val="ja-JP" w:eastAsia="ja-JP"/>
        </w:rPr>
        <w:t>1頁｜講座の目的と位置づけ</w:t>
      </w:r>
    </w:p>
    <w:p>
      <w:pPr>
        <w:keepNext/>
        <w:spacing w:after="100"/>
      </w:pPr>
      <w:r>
        <w:rPr>
          <w:rFonts w:ascii="Yu Gothic" w:hAnsi="Yu Gothic" w:eastAsia="Yu Gothic" w:cs="Yu Gothic"/>
          <w:b/>
          <w:color w:val="1F4D78"/>
          <w:sz w:val="19"/>
          <w:lang w:val="ja-JP" w:eastAsia="ja-JP"/>
        </w:rPr>
        <w:t>表示：資料1頁</w:t>
      </w:r>
      <w:r>
        <w:rPr>
          <w:rFonts w:ascii="Yu Gothic" w:hAnsi="Yu Gothic" w:eastAsia="Yu Gothic" w:cs="Yu Gothic"/>
          <w:color w:val="5F6368"/>
          <w:sz w:val="19"/>
          <w:lang w:val="ja-JP" w:eastAsia="ja-JP"/>
        </w:rPr>
        <w:t xml:space="preserve">　｜　目安：0:25-1:00（35秒）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最初に、この資料の位置づけを確認します。目的は、刑法、サイバーセキュリティ基本法、不正アクセス禁止法、個人情報保護法などの背景と事例を知ることです。一方で、個別案件の法的判断をする資料ではありません。具体的な判断が必要な場合は、法務担当や専門家へ確認してください。また、資料は2024年6月時点ですので、今日は基本的な考え方に絞りま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『法的解釈ではなく、法環境の理解が目的』という資料の注意書きを押さえる。</w:t>
      </w:r>
    </w:p>
    <w:p>
      <w:pPr>
        <w:numPr>
          <w:ilvl w:val="0"/>
          <w:numId w:val="10"/>
        </w:numPr>
        <w:spacing w:after="80" w:line="300" w:lineRule="auto"/>
        <w:ind w:left="540" w:hanging="271"/>
      </w:pPr>
      <w:r>
        <w:rPr>
          <w:rFonts w:ascii="Yu Gothic" w:hAnsi="Yu Gothic" w:eastAsia="Yu Gothic" w:cs="Yu Gothic"/>
          <w:color w:val="202124"/>
          <w:sz w:val="21"/>
          <w:lang w:val="ja-JP" w:eastAsia="ja-JP"/>
        </w:rPr>
        <w:t>法令や運用は変わるため、実務判断では最新情報を確認することを明示する。</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「それでは、まず関連する法律の全体像を見ます。」</w:t>
      </w:r>
    </w:p>
    <w:p>
      <w:pPr>
        <w:pStyle w:val="Heading2"/>
        <w:keepNext/>
      </w:pPr>
      <w:r>
        <w:rPr>
          <w:rFonts w:ascii="Yu Gothic" w:hAnsi="Yu Gothic" w:eastAsia="Yu Gothic" w:cs="Yu Gothic"/>
          <w:b/>
          <w:color w:val="2E74B5"/>
          <w:sz w:val="26"/>
          <w:lang w:val="ja-JP" w:eastAsia="ja-JP"/>
        </w:rPr>
        <w:t>2-3頁｜関連法の全体像</w:t>
      </w:r>
    </w:p>
    <w:p>
      <w:pPr>
        <w:keepNext/>
        <w:spacing w:after="100"/>
      </w:pPr>
      <w:r>
        <w:rPr>
          <w:rFonts w:ascii="Yu Gothic" w:hAnsi="Yu Gothic" w:eastAsia="Yu Gothic" w:cs="Yu Gothic"/>
          <w:b/>
          <w:color w:val="1F4D78"/>
          <w:sz w:val="19"/>
          <w:lang w:val="ja-JP" w:eastAsia="ja-JP"/>
        </w:rPr>
        <w:t>表示：資料2-3頁</w:t>
      </w:r>
      <w:r>
        <w:rPr>
          <w:rFonts w:ascii="Yu Gothic" w:hAnsi="Yu Gothic" w:eastAsia="Yu Gothic" w:cs="Yu Gothic"/>
          <w:color w:val="5F6368"/>
          <w:sz w:val="19"/>
          <w:lang w:val="ja-JP" w:eastAsia="ja-JP"/>
        </w:rPr>
        <w:t xml:space="preserve">　｜　目安：1:00-2:30（1分30秒）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2ページと3ページには関連法が一覧で示されています。全部を読み上げる必要はありません。今日押さえるのは4つです。刑法は、データの改ざん、ウイルス、コンピュータを使った詐欺など、『行為を罰する』法律です。サイバーセキュリティ基本法は、国や組織がどのような方針で対策を進めるかという土台です。不正アクセス禁止法は、他人のID・パスワードや脆弱性を使って認証の壁を越える行為を対象にします。個人情報保護法は、個人情報をどう取り扱い、権利利益をどう守るかを定めます。サイバー攻撃では、侵入、データ改ざん、金銭被害、情報漏えいというように被害が段階的に広がります。そのため、同じ事故でも複数の法律が同時に関係することがありま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b/>
          <w:color w:val="1F4D78"/>
          <w:sz w:val="21"/>
          <w:lang w:val="ja-JP" w:eastAsia="ja-JP"/>
        </w:rPr>
        <w:t>見せ方：</w:t>
      </w:r>
      <w:r>
        <w:rPr>
          <w:rFonts w:ascii="Yu Gothic" w:hAnsi="Yu Gothic" w:eastAsia="Yu Gothic" w:cs="Yu Gothic"/>
          <w:color w:val="202124"/>
          <w:sz w:val="21"/>
          <w:lang w:val="ja-JP" w:eastAsia="ja-JP"/>
        </w:rPr>
        <w:t>2頁の刑法・基本法、3頁の不正アクセス禁止法・個人情報保護法だけを順に指す。</w:t>
      </w:r>
    </w:p>
    <w:p>
      <w:pPr>
        <w:numPr>
          <w:ilvl w:val="0"/>
          <w:numId w:val="10"/>
        </w:numPr>
        <w:spacing w:after="80" w:line="300" w:lineRule="auto"/>
        <w:ind w:left="540" w:hanging="271"/>
      </w:pPr>
      <w:r>
        <w:rPr>
          <w:rFonts w:ascii="Yu Gothic" w:hAnsi="Yu Gothic" w:eastAsia="Yu Gothic" w:cs="Yu Gothic"/>
          <w:color w:val="202124"/>
          <w:sz w:val="21"/>
          <w:lang w:val="ja-JP" w:eastAsia="ja-JP"/>
        </w:rPr>
        <w:t>覚え方は『行為』『方針』『入口』『情報』の4語。</w:t>
      </w:r>
    </w:p>
    <w:p>
      <w:pPr>
        <w:numPr>
          <w:ilvl w:val="0"/>
          <w:numId w:val="10"/>
        </w:numPr>
        <w:spacing w:after="80" w:line="300" w:lineRule="auto"/>
        <w:ind w:left="540" w:hanging="271"/>
      </w:pPr>
      <w:r>
        <w:rPr>
          <w:rFonts w:ascii="Yu Gothic" w:hAnsi="Yu Gothic" w:eastAsia="Yu Gothic" w:cs="Yu Gothic"/>
          <w:color w:val="202124"/>
          <w:sz w:val="21"/>
          <w:lang w:val="ja-JP" w:eastAsia="ja-JP"/>
        </w:rPr>
        <w:t>著作権法や電気通信事業法なども関係するが、15分版では説明しない。</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「ここからは、まず刑法に関係する3つの行為を見ていきます。」</w:t>
      </w:r>
    </w:p>
    <w:p>
      <w:pPr>
        <w:pStyle w:val="Heading2"/>
        <w:keepNext/>
        <w:pageBreakBefore/>
      </w:pPr>
      <w:r>
        <w:rPr>
          <w:rFonts w:ascii="Yu Gothic" w:hAnsi="Yu Gothic" w:eastAsia="Yu Gothic" w:cs="Yu Gothic"/>
          <w:b/>
          <w:color w:val="2E74B5"/>
          <w:sz w:val="26"/>
          <w:lang w:val="ja-JP" w:eastAsia="ja-JP"/>
        </w:rPr>
        <w:t>4頁｜電磁的記録不正作出・供用</w:t>
      </w:r>
    </w:p>
    <w:p>
      <w:pPr>
        <w:keepNext/>
        <w:spacing w:after="100"/>
      </w:pPr>
      <w:r>
        <w:rPr>
          <w:rFonts w:ascii="Yu Gothic" w:hAnsi="Yu Gothic" w:eastAsia="Yu Gothic" w:cs="Yu Gothic"/>
          <w:b/>
          <w:color w:val="1F4D78"/>
          <w:sz w:val="19"/>
          <w:lang w:val="ja-JP" w:eastAsia="ja-JP"/>
        </w:rPr>
        <w:t>表示：資料4頁</w:t>
      </w:r>
      <w:r>
        <w:rPr>
          <w:rFonts w:ascii="Yu Gothic" w:hAnsi="Yu Gothic" w:eastAsia="Yu Gothic" w:cs="Yu Gothic"/>
          <w:color w:val="5F6368"/>
          <w:sz w:val="19"/>
          <w:lang w:val="ja-JP" w:eastAsia="ja-JP"/>
        </w:rPr>
        <w:t xml:space="preserve">　｜　目安：2:30-3:35（1分05秒）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4ページは、電磁的記録の不正作出と供用です。言葉は難しいですが、業務で使うデータを、事務処理を誤らせる目的で勝手に作り替えたり、不正に作られたデータを使える状態にしたりする行為です。顧客データベースやキャッシュカードの磁気記録も対象になり得ます。例えば、会員区分や利用限度額を許可なく変更し、後続の処理に誤った判断をさせるような場面です。ここで大事なのは、『操作できる権限があること』と『変更してよいこと』は同じではない、という点です。システム管理者であっても、承認された目的や手順を外れた変更は重大な問題になりま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資料左側はデータを不正に作る行為、右側は不正なデータを利用可能にする行為。</w:t>
      </w:r>
    </w:p>
    <w:p>
      <w:pPr>
        <w:numPr>
          <w:ilvl w:val="0"/>
          <w:numId w:val="10"/>
        </w:numPr>
        <w:spacing w:after="80" w:line="300" w:lineRule="auto"/>
        <w:ind w:left="540" w:hanging="271"/>
      </w:pPr>
      <w:r>
        <w:rPr>
          <w:rFonts w:ascii="Yu Gothic" w:hAnsi="Yu Gothic" w:eastAsia="Yu Gothic" w:cs="Yu Gothic"/>
          <w:color w:val="202124"/>
          <w:sz w:val="21"/>
          <w:lang w:val="ja-JP" w:eastAsia="ja-JP"/>
        </w:rPr>
        <w:t>業務上の示唆は、変更権限だけでなく、申請・承認・変更記録・事後確認を組み合わせること。</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「次は、データではなくプログラムそのものを悪用する場合です。」</w:t>
      </w:r>
    </w:p>
    <w:p>
      <w:pPr>
        <w:pStyle w:val="Heading2"/>
        <w:keepNext/>
      </w:pPr>
      <w:r>
        <w:rPr>
          <w:rFonts w:ascii="Yu Gothic" w:hAnsi="Yu Gothic" w:eastAsia="Yu Gothic" w:cs="Yu Gothic"/>
          <w:b/>
          <w:color w:val="2E74B5"/>
          <w:sz w:val="26"/>
          <w:lang w:val="ja-JP" w:eastAsia="ja-JP"/>
        </w:rPr>
        <w:t>5頁｜コンピュータ・ウイルスに関する罪</w:t>
      </w:r>
    </w:p>
    <w:p>
      <w:pPr>
        <w:keepNext/>
        <w:spacing w:after="100"/>
      </w:pPr>
      <w:r>
        <w:rPr>
          <w:rFonts w:ascii="Yu Gothic" w:hAnsi="Yu Gothic" w:eastAsia="Yu Gothic" w:cs="Yu Gothic"/>
          <w:b/>
          <w:color w:val="1F4D78"/>
          <w:sz w:val="19"/>
          <w:lang w:val="ja-JP" w:eastAsia="ja-JP"/>
        </w:rPr>
        <w:t>表示：資料5頁</w:t>
      </w:r>
      <w:r>
        <w:rPr>
          <w:rFonts w:ascii="Yu Gothic" w:hAnsi="Yu Gothic" w:eastAsia="Yu Gothic" w:cs="Yu Gothic"/>
          <w:color w:val="5F6368"/>
          <w:sz w:val="19"/>
          <w:lang w:val="ja-JP" w:eastAsia="ja-JP"/>
        </w:rPr>
        <w:t xml:space="preserve">　｜　目安：3:35-4:45（1分10秒）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5ページは、コンピュータ・ウイルスに関する罪です。2011年の改正で、正当な理由なく、利用者の意図に反して動作するプログラムを作成、提供、実行可能な状態にすることに加え、目的をもって取得・保管する行為も対象になりました。ただし、検証用ツールやセキュリティ研究が直ちに違法になるという話ではありません。正当な目的、権限者の承認、対象と範囲の明確化が重要です。業務上の検証でも、『何のために、誰の許可で、どこまで行うか』を記録しておく必要があります。反対に、出所不明の検体を私物端末へ保存したり、承認範囲外の機器で実行したりすることは避けなければなりません。」</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『正当な理由がないのに』という条件と、作成・提供・供用・取得・保管の違いを押さえる。</w:t>
      </w:r>
    </w:p>
    <w:p>
      <w:pPr>
        <w:numPr>
          <w:ilvl w:val="0"/>
          <w:numId w:val="10"/>
        </w:numPr>
        <w:spacing w:after="80" w:line="300" w:lineRule="auto"/>
        <w:ind w:left="540" w:hanging="271"/>
      </w:pPr>
      <w:r>
        <w:rPr>
          <w:rFonts w:ascii="Yu Gothic" w:hAnsi="Yu Gothic" w:eastAsia="Yu Gothic" w:cs="Yu Gothic"/>
          <w:color w:val="202124"/>
          <w:sz w:val="21"/>
          <w:lang w:val="ja-JP" w:eastAsia="ja-JP"/>
        </w:rPr>
        <w:t>検証環境であっても、承認と対象範囲が曖昧なまま実施しない。</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「では、コンピュータを使って不正な利益を得た場合はどうなるでしょうか。」</w:t>
      </w:r>
    </w:p>
    <w:p>
      <w:pPr>
        <w:pStyle w:val="Heading2"/>
        <w:keepNext/>
        <w:pageBreakBefore/>
      </w:pPr>
      <w:r>
        <w:rPr>
          <w:rFonts w:ascii="Yu Gothic" w:hAnsi="Yu Gothic" w:eastAsia="Yu Gothic" w:cs="Yu Gothic"/>
          <w:b/>
          <w:color w:val="2E74B5"/>
          <w:sz w:val="26"/>
          <w:lang w:val="ja-JP" w:eastAsia="ja-JP"/>
        </w:rPr>
        <w:t>6頁｜電子計算機使用詐欺</w:t>
      </w:r>
    </w:p>
    <w:p>
      <w:pPr>
        <w:keepNext/>
        <w:spacing w:after="100"/>
      </w:pPr>
      <w:r>
        <w:rPr>
          <w:rFonts w:ascii="Yu Gothic" w:hAnsi="Yu Gothic" w:eastAsia="Yu Gothic" w:cs="Yu Gothic"/>
          <w:b/>
          <w:color w:val="1F4D78"/>
          <w:sz w:val="19"/>
          <w:lang w:val="ja-JP" w:eastAsia="ja-JP"/>
        </w:rPr>
        <w:t>表示：資料6頁</w:t>
      </w:r>
      <w:r>
        <w:rPr>
          <w:rFonts w:ascii="Yu Gothic" w:hAnsi="Yu Gothic" w:eastAsia="Yu Gothic" w:cs="Yu Gothic"/>
          <w:color w:val="5F6368"/>
          <w:sz w:val="19"/>
          <w:lang w:val="ja-JP" w:eastAsia="ja-JP"/>
        </w:rPr>
        <w:t xml:space="preserve">　｜　目安：4:45-6:20（1分35秒）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6ページは、電子計算機使用詐欺罪です。人をだます従来型の詐欺では捉えにくかった、『コンピュータに不正な情報を与えて利益を得る行為』を対象にします。資料の例では、他人のID・パスワードでインターネットバンキングに入る行為は不正アクセス、その後に不正送金する行為は電子計算機使用詐欺という整理です。一連の攻撃でも、ログインと送金は別の行為であり、別の法律が重なり得ます。防御側も、認証だけでなく、ログイン後の取引監視や異常検知まで考える必要があります。普段と違う端末、短時間での振込先追加、高額送金などを組み合わせて確認することで、認証を突破された後でも被害を止められる可能性がありま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b/>
          <w:color w:val="1F4D78"/>
          <w:sz w:val="21"/>
          <w:lang w:val="ja-JP" w:eastAsia="ja-JP"/>
        </w:rPr>
        <w:t>見せ方：</w:t>
      </w:r>
      <w:r>
        <w:rPr>
          <w:rFonts w:ascii="Yu Gothic" w:hAnsi="Yu Gothic" w:eastAsia="Yu Gothic" w:cs="Yu Gothic"/>
          <w:color w:val="202124"/>
          <w:sz w:val="21"/>
          <w:lang w:val="ja-JP" w:eastAsia="ja-JP"/>
        </w:rPr>
        <w:t>左の不正ログインから右の不正送金へ、図の矢印に沿って説明する。</w:t>
      </w:r>
    </w:p>
    <w:p>
      <w:pPr>
        <w:numPr>
          <w:ilvl w:val="0"/>
          <w:numId w:val="10"/>
        </w:numPr>
        <w:spacing w:after="80" w:line="300" w:lineRule="auto"/>
        <w:ind w:left="540" w:hanging="271"/>
      </w:pPr>
      <w:r>
        <w:rPr>
          <w:rFonts w:ascii="Yu Gothic" w:hAnsi="Yu Gothic" w:eastAsia="Yu Gothic" w:cs="Yu Gothic"/>
          <w:color w:val="202124"/>
          <w:sz w:val="21"/>
          <w:lang w:val="ja-JP" w:eastAsia="ja-JP"/>
        </w:rPr>
        <w:t>『侵入を防ぐ』対策と『侵入後の不正取引を止める』対策は別に必要。</w:t>
      </w:r>
    </w:p>
    <w:p>
      <w:pPr>
        <w:numPr>
          <w:ilvl w:val="0"/>
          <w:numId w:val="10"/>
        </w:numPr>
        <w:spacing w:after="80" w:line="300" w:lineRule="auto"/>
        <w:ind w:left="540" w:hanging="271"/>
      </w:pPr>
      <w:r>
        <w:rPr>
          <w:rFonts w:ascii="Yu Gothic" w:hAnsi="Yu Gothic" w:eastAsia="Yu Gothic" w:cs="Yu Gothic"/>
          <w:color w:val="202124"/>
          <w:sz w:val="21"/>
          <w:lang w:val="ja-JP" w:eastAsia="ja-JP"/>
        </w:rPr>
        <w:t>金融機関の実務では、端末・認証・振込先・金額・頻度などを組み合わせた取引監視につながる考え方。</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「ここまでが個別の行為を罰する刑法です。次は国や組織の対策の土台を見ます。」</w:t>
      </w:r>
    </w:p>
    <w:p>
      <w:pPr>
        <w:pStyle w:val="Heading2"/>
        <w:keepNext/>
        <w:pageBreakBefore/>
      </w:pPr>
      <w:r>
        <w:rPr>
          <w:rFonts w:ascii="Yu Gothic" w:hAnsi="Yu Gothic" w:eastAsia="Yu Gothic" w:cs="Yu Gothic"/>
          <w:b/>
          <w:color w:val="2E74B5"/>
          <w:sz w:val="26"/>
          <w:lang w:val="ja-JP" w:eastAsia="ja-JP"/>
        </w:rPr>
        <w:t>7頁｜サイバーセキュリティ基本法</w:t>
      </w:r>
    </w:p>
    <w:p>
      <w:pPr>
        <w:keepNext/>
        <w:spacing w:after="100"/>
      </w:pPr>
      <w:r>
        <w:rPr>
          <w:rFonts w:ascii="Yu Gothic" w:hAnsi="Yu Gothic" w:eastAsia="Yu Gothic" w:cs="Yu Gothic"/>
          <w:b/>
          <w:color w:val="1F4D78"/>
          <w:sz w:val="19"/>
          <w:lang w:val="ja-JP" w:eastAsia="ja-JP"/>
        </w:rPr>
        <w:t>表示：資料7頁</w:t>
      </w:r>
      <w:r>
        <w:rPr>
          <w:rFonts w:ascii="Yu Gothic" w:hAnsi="Yu Gothic" w:eastAsia="Yu Gothic" w:cs="Yu Gothic"/>
          <w:color w:val="5F6368"/>
          <w:sz w:val="19"/>
          <w:lang w:val="ja-JP" w:eastAsia="ja-JP"/>
        </w:rPr>
        <w:t xml:space="preserve">　｜　目安：6:20-7:20（1分）</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7ページは、サイバーセキュリティ基本法です。2014年に制定され、国の責務、基本理念、サイバーセキュリティ戦略などの枠組みが示されました。その後、独立行政法人等への対象拡大や、官民の情報共有を進めるための協議会創設が行われています。この法律は、個々の社員の操作を直接取り締まるというより、国や組織全体で継続的に対策を進めるための土台です。基本法という名称のとおり、国全体の基本的な方向を示すものです。企業に置き換えると、経営層が方針を定め、必要な人員や予算を確保し、部門を越えて訓練や情報共有を行う考え方につながります。サイバーセキュリティはシステム担当だけの問題ではなく、経営、業務部門、委託先を含む組織的な課題だと捉えることがポイントで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細かな改正内容を読み上げず、『国全体の方針と官民連携の枠組み』に要約する。</w:t>
      </w:r>
    </w:p>
    <w:p>
      <w:pPr>
        <w:numPr>
          <w:ilvl w:val="0"/>
          <w:numId w:val="10"/>
        </w:numPr>
        <w:spacing w:after="80" w:line="300" w:lineRule="auto"/>
        <w:ind w:left="540" w:hanging="271"/>
      </w:pPr>
      <w:r>
        <w:rPr>
          <w:rFonts w:ascii="Yu Gothic" w:hAnsi="Yu Gothic" w:eastAsia="Yu Gothic" w:cs="Yu Gothic"/>
          <w:color w:val="202124"/>
          <w:sz w:val="21"/>
          <w:lang w:val="ja-JP" w:eastAsia="ja-JP"/>
        </w:rPr>
        <w:t>実務への接続は、経営関与、役割分担、情報共有、訓練、委託先管理。</w:t>
      </w:r>
    </w:p>
    <w:p>
      <w:pPr>
        <w:pStyle w:val="Heading2"/>
        <w:keepNext/>
        <w:pageBreakBefore/>
      </w:pPr>
      <w:r>
        <w:rPr>
          <w:rFonts w:ascii="Yu Gothic" w:hAnsi="Yu Gothic" w:eastAsia="Yu Gothic" w:cs="Yu Gothic"/>
          <w:b/>
          <w:color w:val="2E74B5"/>
          <w:sz w:val="26"/>
          <w:lang w:val="ja-JP" w:eastAsia="ja-JP"/>
        </w:rPr>
        <w:t>8頁｜不正アクセス禁止法</w:t>
      </w:r>
    </w:p>
    <w:p>
      <w:pPr>
        <w:keepNext/>
        <w:spacing w:after="100"/>
      </w:pPr>
      <w:r>
        <w:rPr>
          <w:rFonts w:ascii="Yu Gothic" w:hAnsi="Yu Gothic" w:eastAsia="Yu Gothic" w:cs="Yu Gothic"/>
          <w:b/>
          <w:color w:val="1F4D78"/>
          <w:sz w:val="19"/>
          <w:lang w:val="ja-JP" w:eastAsia="ja-JP"/>
        </w:rPr>
        <w:t>表示：資料8頁</w:t>
      </w:r>
      <w:r>
        <w:rPr>
          <w:rFonts w:ascii="Yu Gothic" w:hAnsi="Yu Gothic" w:eastAsia="Yu Gothic" w:cs="Yu Gothic"/>
          <w:color w:val="5F6368"/>
          <w:sz w:val="19"/>
          <w:lang w:val="ja-JP" w:eastAsia="ja-JP"/>
        </w:rPr>
        <w:t xml:space="preserve">　｜　目安：7:20-8:55（1分35秒）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8ページは、不正アクセス禁止法です。大事なのは、実際に不正ログインした時点だけが対象ではないということです。法改正により、フィッシングでID・パスワードを取得する行為、不正アクセスに使う目的で取得・保管する行為、第三者に提供して不正アクセスを助長する行為なども規制されました。つまり、攻撃が成功する前の準備段階から規制されます。資料の図でも、フィッシング、認証情報の取得・保管、不正アクセス、その後の不正送金などが一つの流れで示されています。前の段階で止めるほど、被害を小さくできます。ID・パスワードは単なる文字列ではなく、システムの鍵です。刑事法上の成立要件とは別に、社内では共有、使い回し、目的外の保管を禁止する運用が必要で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b/>
          <w:color w:val="1F4D78"/>
          <w:sz w:val="21"/>
          <w:lang w:val="ja-JP" w:eastAsia="ja-JP"/>
        </w:rPr>
        <w:t>見せ方：</w:t>
      </w:r>
      <w:r>
        <w:rPr>
          <w:rFonts w:ascii="Yu Gothic" w:hAnsi="Yu Gothic" w:eastAsia="Yu Gothic" w:cs="Yu Gothic"/>
          <w:color w:val="202124"/>
          <w:sz w:val="21"/>
          <w:lang w:val="ja-JP" w:eastAsia="ja-JP"/>
        </w:rPr>
        <w:t>左のフィッシング・ID等の取得から、中央の不正アクセス、右の不正送金等へ順に指す。</w:t>
      </w:r>
    </w:p>
    <w:p>
      <w:pPr>
        <w:numPr>
          <w:ilvl w:val="0"/>
          <w:numId w:val="10"/>
        </w:numPr>
        <w:spacing w:after="80" w:line="300" w:lineRule="auto"/>
        <w:ind w:left="540" w:hanging="271"/>
      </w:pPr>
      <w:r>
        <w:rPr>
          <w:rFonts w:ascii="Yu Gothic" w:hAnsi="Yu Gothic" w:eastAsia="Yu Gothic" w:cs="Yu Gothic"/>
          <w:color w:val="202124"/>
          <w:sz w:val="21"/>
          <w:lang w:val="ja-JP" w:eastAsia="ja-JP"/>
        </w:rPr>
        <w:t>『ログインに成功しなければ問題ない』わけではなく、準備行為にも規制が及ぶ。</w:t>
      </w:r>
    </w:p>
    <w:p>
      <w:pPr>
        <w:numPr>
          <w:ilvl w:val="0"/>
          <w:numId w:val="10"/>
        </w:numPr>
        <w:spacing w:after="80" w:line="300" w:lineRule="auto"/>
        <w:ind w:left="540" w:hanging="271"/>
      </w:pPr>
      <w:r>
        <w:rPr>
          <w:rFonts w:ascii="Yu Gothic" w:hAnsi="Yu Gothic" w:eastAsia="Yu Gothic" w:cs="Yu Gothic"/>
          <w:color w:val="202124"/>
          <w:sz w:val="21"/>
          <w:lang w:val="ja-JP" w:eastAsia="ja-JP"/>
        </w:rPr>
        <w:t>法律上の該当性と、社内規程上の禁止は分けて説明する。</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「実際に脆弱性から侵入されると、どこまで影響が広がるのかを次の事例で見ます。」</w:t>
      </w:r>
    </w:p>
    <w:p>
      <w:pPr>
        <w:keepLines/>
        <w:spacing w:before="120" w:after="200" w:line="288" w:lineRule="auto"/>
        <w:ind w:left="144" w:right="115"/>
        <w:shd w:fill="FFF8E8" w:val="clear"/>
        <w:pBdr>
          <w:left w:val="single" w:sz="20" w:space="8" w:color="7A5A00"/>
        </w:pBdr>
      </w:pPr>
      <w:r>
        <w:rPr>
          <w:rFonts w:ascii="Yu Gothic" w:hAnsi="Yu Gothic" w:eastAsia="Yu Gothic" w:cs="Yu Gothic"/>
          <w:b/>
          <w:color w:val="7A5A00"/>
          <w:sz w:val="20"/>
          <w:lang w:val="ja-JP" w:eastAsia="ja-JP"/>
        </w:rPr>
        <w:t xml:space="preserve">講師用メモ（読み上げない）  </w:t>
      </w:r>
      <w:r>
        <w:rPr>
          <w:rFonts w:ascii="Yu Gothic" w:hAnsi="Yu Gothic" w:eastAsia="Yu Gothic" w:cs="Yu Gothic"/>
          <w:color w:val="202124"/>
          <w:sz w:val="20"/>
          <w:lang w:val="ja-JP" w:eastAsia="ja-JP"/>
        </w:rPr>
        <w:t>資料8頁は『2013年法改正』と表記している一方、警察庁の解説は『平成24年の改正』と記載している。勉強会では年次を断定せず、『法改正により』と説明する。</w:t>
      </w:r>
    </w:p>
    <w:p>
      <w:pPr>
        <w:pStyle w:val="Heading2"/>
        <w:keepNext/>
        <w:pageBreakBefore/>
      </w:pPr>
      <w:r>
        <w:rPr>
          <w:rFonts w:ascii="Yu Gothic" w:hAnsi="Yu Gothic" w:eastAsia="Yu Gothic" w:cs="Yu Gothic"/>
          <w:b/>
          <w:color w:val="2E74B5"/>
          <w:sz w:val="26"/>
          <w:lang w:val="ja-JP" w:eastAsia="ja-JP"/>
        </w:rPr>
        <w:t>9頁｜旧型機器の脆弱性を突いた事例</w:t>
      </w:r>
    </w:p>
    <w:p>
      <w:pPr>
        <w:keepNext/>
        <w:spacing w:after="100"/>
      </w:pPr>
      <w:r>
        <w:rPr>
          <w:rFonts w:ascii="Yu Gothic" w:hAnsi="Yu Gothic" w:eastAsia="Yu Gothic" w:cs="Yu Gothic"/>
          <w:b/>
          <w:color w:val="1F4D78"/>
          <w:sz w:val="19"/>
          <w:lang w:val="ja-JP" w:eastAsia="ja-JP"/>
        </w:rPr>
        <w:t>表示：資料9頁</w:t>
      </w:r>
      <w:r>
        <w:rPr>
          <w:rFonts w:ascii="Yu Gothic" w:hAnsi="Yu Gothic" w:eastAsia="Yu Gothic" w:cs="Yu Gothic"/>
          <w:color w:val="5F6368"/>
          <w:sz w:val="19"/>
          <w:lang w:val="ja-JP" w:eastAsia="ja-JP"/>
        </w:rPr>
        <w:t xml:space="preserve">　｜　目安：8:55-10:20（1分25秒）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9ページは、大手ゲーム会社が旧型のネットワーク機器の脆弱性を突かれた事例です。攻撃者は米国拠点の機器から侵入し、国内拠点を含むサーバへ攻撃を広げ、ランサムウェア感染、メールやファイルサーバの障害、一部システム停止につながりました。ここでの教訓は、入口が一つでも古いまま残っていると、そこが全体の弱点になり得ることです。脆弱性対策は、単に更新プログラムを適用するだけではありません。利用中の機器を台帳で把握し、サポート期限を管理し、更新できない機器はネットワークを分離し、侵入後の横展開を監視します。さらに、感染を前提にバックアップから復旧できるかを訓練する、といった多層の対策が必要で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攻撃を受けた企業を責めるのではなく、レガシー機器を管理し続ける難しさとして扱う。</w:t>
      </w:r>
    </w:p>
    <w:p>
      <w:pPr>
        <w:numPr>
          <w:ilvl w:val="0"/>
          <w:numId w:val="10"/>
        </w:numPr>
        <w:spacing w:after="80" w:line="300" w:lineRule="auto"/>
        <w:ind w:left="540" w:hanging="271"/>
      </w:pPr>
      <w:r>
        <w:rPr>
          <w:rFonts w:ascii="Yu Gothic" w:hAnsi="Yu Gothic" w:eastAsia="Yu Gothic" w:cs="Yu Gothic"/>
          <w:color w:val="202124"/>
          <w:sz w:val="21"/>
          <w:lang w:val="ja-JP" w:eastAsia="ja-JP"/>
        </w:rPr>
        <w:t>対策は『資産把握』『更新・代替』『ネットワーク分離』『監視』『復旧訓練』の組合せ。</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「最後のテーマは、私たちが日常的に扱う個人情報です。」</w:t>
      </w:r>
    </w:p>
    <w:p>
      <w:pPr>
        <w:pStyle w:val="Heading2"/>
        <w:keepNext/>
        <w:pageBreakBefore/>
      </w:pPr>
      <w:r>
        <w:rPr>
          <w:rFonts w:ascii="Yu Gothic" w:hAnsi="Yu Gothic" w:eastAsia="Yu Gothic" w:cs="Yu Gothic"/>
          <w:b/>
          <w:color w:val="2E74B5"/>
          <w:sz w:val="26"/>
          <w:lang w:val="ja-JP" w:eastAsia="ja-JP"/>
        </w:rPr>
        <w:t>10頁｜個人情報保護法の考え方</w:t>
      </w:r>
    </w:p>
    <w:p>
      <w:pPr>
        <w:keepNext/>
        <w:spacing w:after="100"/>
      </w:pPr>
      <w:r>
        <w:rPr>
          <w:rFonts w:ascii="Yu Gothic" w:hAnsi="Yu Gothic" w:eastAsia="Yu Gothic" w:cs="Yu Gothic"/>
          <w:b/>
          <w:color w:val="1F4D78"/>
          <w:sz w:val="19"/>
          <w:lang w:val="ja-JP" w:eastAsia="ja-JP"/>
        </w:rPr>
        <w:t>表示：資料10頁</w:t>
      </w:r>
      <w:r>
        <w:rPr>
          <w:rFonts w:ascii="Yu Gothic" w:hAnsi="Yu Gothic" w:eastAsia="Yu Gothic" w:cs="Yu Gothic"/>
          <w:color w:val="5F6368"/>
          <w:sz w:val="19"/>
          <w:lang w:val="ja-JP" w:eastAsia="ja-JP"/>
        </w:rPr>
        <w:t xml:space="preserve">　｜　目安：10:20-11:50（1分30秒）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10ページは、個人情報保護法です。この法律は、個人情報を使わないようにする法律ではありません。『個人情報の有用性』と『個人の権利利益の保護』を両立させる法律です。2020年改正では、利用停止や消去、漏えい時の報告・本人通知、不適正利用の禁止、仮名加工情報などが整理されました。2021年改正では、官民の制度の一元化が進められています。実務では、利用目的に合っているか、必要な範囲か、適切な安全管理措置があるか、本人の権利に配慮しているか、という観点で確認します。個人情報を保有しているから自由に使えるのではなく、本人に示した目的と業務上必要な範囲で扱うことが基本です。また、委託先へ預ければ自社の管理が不要になる、ということでもありません。」</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『保護か活用か』の二者択一ではなく、適正な活用と保護の両立が中心。</w:t>
      </w:r>
    </w:p>
    <w:p>
      <w:pPr>
        <w:numPr>
          <w:ilvl w:val="0"/>
          <w:numId w:val="10"/>
        </w:numPr>
        <w:spacing w:after="80" w:line="300" w:lineRule="auto"/>
        <w:ind w:left="540" w:hanging="271"/>
      </w:pPr>
      <w:r>
        <w:rPr>
          <w:rFonts w:ascii="Yu Gothic" w:hAnsi="Yu Gothic" w:eastAsia="Yu Gothic" w:cs="Yu Gothic"/>
          <w:color w:val="202124"/>
          <w:sz w:val="21"/>
          <w:lang w:val="ja-JP" w:eastAsia="ja-JP"/>
        </w:rPr>
        <w:t>金融機関では、顧客情報を扱う日常業務そのものが個人情報保護の実践になる。</w:t>
      </w:r>
    </w:p>
    <w:p>
      <w:pPr>
        <w:numPr>
          <w:ilvl w:val="0"/>
          <w:numId w:val="10"/>
        </w:numPr>
        <w:spacing w:after="80" w:line="300" w:lineRule="auto"/>
        <w:ind w:left="540" w:hanging="271"/>
      </w:pPr>
      <w:r>
        <w:rPr>
          <w:rFonts w:ascii="Yu Gothic" w:hAnsi="Yu Gothic" w:eastAsia="Yu Gothic" w:cs="Yu Gothic"/>
          <w:color w:val="202124"/>
          <w:sz w:val="21"/>
          <w:lang w:val="ja-JP" w:eastAsia="ja-JP"/>
        </w:rPr>
        <w:t>資料は2024年6月時点。最新改正の詳細説明は本勉強会の範囲外とする。</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「制度の説明だけでは分かりにくいため、最後に内部からの持ち出し事例を見ます。」</w:t>
      </w:r>
    </w:p>
    <w:p>
      <w:pPr>
        <w:pStyle w:val="Heading2"/>
        <w:keepNext/>
        <w:pageBreakBefore/>
      </w:pPr>
      <w:r>
        <w:rPr>
          <w:rFonts w:ascii="Yu Gothic" w:hAnsi="Yu Gothic" w:eastAsia="Yu Gothic" w:cs="Yu Gothic"/>
          <w:b/>
          <w:color w:val="2E74B5"/>
          <w:sz w:val="26"/>
          <w:lang w:val="ja-JP" w:eastAsia="ja-JP"/>
        </w:rPr>
        <w:t>11頁｜約3,500万件の顧客情報持ち出し事例</w:t>
      </w:r>
    </w:p>
    <w:p>
      <w:pPr>
        <w:keepNext/>
        <w:spacing w:after="100"/>
      </w:pPr>
      <w:r>
        <w:rPr>
          <w:rFonts w:ascii="Yu Gothic" w:hAnsi="Yu Gothic" w:eastAsia="Yu Gothic" w:cs="Yu Gothic"/>
          <w:b/>
          <w:color w:val="1F4D78"/>
          <w:sz w:val="19"/>
          <w:lang w:val="ja-JP" w:eastAsia="ja-JP"/>
        </w:rPr>
        <w:t>表示：資料11頁</w:t>
      </w:r>
      <w:r>
        <w:rPr>
          <w:rFonts w:ascii="Yu Gothic" w:hAnsi="Yu Gothic" w:eastAsia="Yu Gothic" w:cs="Yu Gothic"/>
          <w:color w:val="5F6368"/>
          <w:sz w:val="19"/>
          <w:lang w:val="ja-JP" w:eastAsia="ja-JP"/>
        </w:rPr>
        <w:t xml:space="preserve">　｜　目安：11:50-13:50（2分）</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11ページは、約3,500万件の顧客情報が持ち出された事例です。委託先従業員は、業務上付与されたアクセス権を使って顧客データを業務用PCへ保存し、USBケーブルで私用スマートフォンへ転送して持ち出しました。会社側は外部記憶媒体への書き出しを制限していましたが、制御が新しいスマートフォンに対応していませんでした。この事例から分かるのは、正規の権限を持つ人による目的外利用も想定しなければならないことと、導入した対策は更新し続けなければならないことです。ここで図を見ながら、どこで止められたかを考えてみてください。データベースからの大量取得を検知する、業務用PCへの保存を制限する、私用スマートフォンの接続を遮断するというように、止める機会は複数あります。一つの対策に頼らず、アクセス権の最小化、大量取得の監視、外部機器の接続制御、委託先管理を組み合わせる必要があります。自分たちの職場ではどこで止められるか、10秒だけ考えてみてください。」</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b/>
          <w:color w:val="1F4D78"/>
          <w:sz w:val="21"/>
          <w:lang w:val="ja-JP" w:eastAsia="ja-JP"/>
        </w:rPr>
        <w:t>見せ方：</w:t>
      </w:r>
      <w:r>
        <w:rPr>
          <w:rFonts w:ascii="Yu Gothic" w:hAnsi="Yu Gothic" w:eastAsia="Yu Gothic" w:cs="Yu Gothic"/>
          <w:color w:val="202124"/>
          <w:sz w:val="21"/>
          <w:lang w:val="ja-JP" w:eastAsia="ja-JP"/>
        </w:rPr>
        <w:t>図の①データ取得、②スマートフォン転送、③売却の順に追う。</w:t>
      </w:r>
    </w:p>
    <w:p>
      <w:pPr>
        <w:numPr>
          <w:ilvl w:val="0"/>
          <w:numId w:val="10"/>
        </w:numPr>
        <w:spacing w:after="80" w:line="300" w:lineRule="auto"/>
        <w:ind w:left="540" w:hanging="271"/>
      </w:pPr>
      <w:r>
        <w:rPr>
          <w:rFonts w:ascii="Yu Gothic" w:hAnsi="Yu Gothic" w:eastAsia="Yu Gothic" w:cs="Yu Gothic"/>
          <w:color w:val="202124"/>
          <w:sz w:val="21"/>
          <w:lang w:val="ja-JP" w:eastAsia="ja-JP"/>
        </w:rPr>
        <w:t>『正規のIDで入れたから安全』ではなく、ログイン後の目的外利用まで見る。</w:t>
      </w:r>
    </w:p>
    <w:p>
      <w:pPr>
        <w:numPr>
          <w:ilvl w:val="0"/>
          <w:numId w:val="10"/>
        </w:numPr>
        <w:spacing w:after="80" w:line="300" w:lineRule="auto"/>
        <w:ind w:left="540" w:hanging="271"/>
      </w:pPr>
      <w:r>
        <w:rPr>
          <w:rFonts w:ascii="Yu Gothic" w:hAnsi="Yu Gothic" w:eastAsia="Yu Gothic" w:cs="Yu Gothic"/>
          <w:color w:val="202124"/>
          <w:sz w:val="21"/>
          <w:lang w:val="ja-JP" w:eastAsia="ja-JP"/>
        </w:rPr>
        <w:t>一度導入したデバイス制御も、新しい端末や接続方式に追随できているか定期確認する。</w:t>
      </w:r>
    </w:p>
    <w:p>
      <w:pPr>
        <w:numPr>
          <w:ilvl w:val="0"/>
          <w:numId w:val="10"/>
        </w:numPr>
        <w:spacing w:after="80" w:line="300" w:lineRule="auto"/>
        <w:ind w:left="540" w:hanging="271"/>
      </w:pPr>
      <w:r>
        <w:rPr>
          <w:rFonts w:ascii="Yu Gothic" w:hAnsi="Yu Gothic" w:eastAsia="Yu Gothic" w:cs="Yu Gothic"/>
          <w:color w:val="202124"/>
          <w:sz w:val="21"/>
          <w:lang w:val="ja-JP" w:eastAsia="ja-JP"/>
        </w:rPr>
        <w:t>委託先にも、自社と同水準の権限管理・ログ監視・持ち出し制御を求める。</w:t>
      </w:r>
    </w:p>
    <w:p>
      <w:pPr>
        <w:keepLines/>
        <w:spacing w:before="40" w:after="140"/>
        <w:ind w:left="144"/>
      </w:pPr>
      <w:r>
        <w:rPr>
          <w:rFonts w:ascii="Yu Gothic" w:hAnsi="Yu Gothic" w:eastAsia="Yu Gothic" w:cs="Yu Gothic"/>
          <w:b/>
          <w:color w:val="5F6368"/>
          <w:sz w:val="19"/>
          <w:lang w:val="ja-JP" w:eastAsia="ja-JP"/>
        </w:rPr>
        <w:t>次のページへのつなぎ：</w:t>
      </w:r>
      <w:r>
        <w:rPr>
          <w:rFonts w:ascii="Yu Gothic" w:hAnsi="Yu Gothic" w:eastAsia="Yu Gothic" w:cs="Yu Gothic"/>
          <w:i/>
          <w:color w:val="5F6368"/>
          <w:sz w:val="19"/>
          <w:lang w:val="ja-JP" w:eastAsia="ja-JP"/>
        </w:rPr>
        <w:t>「最後に、今日の内容を3点にまとめます。」</w:t>
      </w:r>
    </w:p>
    <w:p>
      <w:pPr>
        <w:keepLines/>
        <w:spacing w:before="120" w:after="200" w:line="288" w:lineRule="auto"/>
        <w:ind w:left="144" w:right="115"/>
        <w:shd w:fill="FFF8E8" w:val="clear"/>
        <w:pBdr>
          <w:left w:val="single" w:sz="20" w:space="8" w:color="7A5A00"/>
        </w:pBdr>
      </w:pPr>
      <w:r>
        <w:rPr>
          <w:rFonts w:ascii="Yu Gothic" w:hAnsi="Yu Gothic" w:eastAsia="Yu Gothic" w:cs="Yu Gothic"/>
          <w:b/>
          <w:color w:val="7A5A00"/>
          <w:sz w:val="20"/>
          <w:lang w:val="ja-JP" w:eastAsia="ja-JP"/>
        </w:rPr>
        <w:t xml:space="preserve">講師用メモ（読み上げない）  </w:t>
      </w:r>
      <w:r>
        <w:rPr>
          <w:rFonts w:ascii="Yu Gothic" w:hAnsi="Yu Gothic" w:eastAsia="Yu Gothic" w:cs="Yu Gothic"/>
          <w:color w:val="202124"/>
          <w:sz w:val="20"/>
          <w:lang w:val="ja-JP" w:eastAsia="ja-JP"/>
        </w:rPr>
        <w:t>この事例は『個人情報保護の観点から学ぶ事例』として説明し、特定の人物が個人情報保護法違反で有罪になった、とは断定しない。実際には事実関係に応じて複数の法令が関係する。</w:t>
      </w:r>
    </w:p>
    <w:p>
      <w:pPr>
        <w:pStyle w:val="Heading2"/>
        <w:keepNext/>
        <w:pageBreakBefore/>
      </w:pPr>
      <w:r>
        <w:rPr>
          <w:rFonts w:ascii="Yu Gothic" w:hAnsi="Yu Gothic" w:eastAsia="Yu Gothic" w:cs="Yu Gothic"/>
          <w:b/>
          <w:color w:val="2E74B5"/>
          <w:sz w:val="26"/>
          <w:lang w:val="ja-JP" w:eastAsia="ja-JP"/>
        </w:rPr>
        <w:t>終頁｜まとめ</w:t>
      </w:r>
    </w:p>
    <w:p>
      <w:pPr>
        <w:keepNext/>
        <w:spacing w:after="100"/>
      </w:pPr>
      <w:r>
        <w:rPr>
          <w:rFonts w:ascii="Yu Gothic" w:hAnsi="Yu Gothic" w:eastAsia="Yu Gothic" w:cs="Yu Gothic"/>
          <w:b/>
          <w:color w:val="1F4D78"/>
          <w:sz w:val="19"/>
          <w:lang w:val="ja-JP" w:eastAsia="ja-JP"/>
        </w:rPr>
        <w:t>表示：『ご清聴ありがとうございました』の頁</w:t>
      </w:r>
      <w:r>
        <w:rPr>
          <w:rFonts w:ascii="Yu Gothic" w:hAnsi="Yu Gothic" w:eastAsia="Yu Gothic" w:cs="Yu Gothic"/>
          <w:color w:val="5F6368"/>
          <w:sz w:val="19"/>
          <w:lang w:val="ja-JP" w:eastAsia="ja-JP"/>
        </w:rPr>
        <w:t xml:space="preserve">　｜　目安：13:50-15:00（1分10秒）</w:t>
      </w:r>
    </w:p>
    <w:p>
      <w:pPr>
        <w:keepNext/>
        <w:spacing w:after="60"/>
      </w:pPr>
      <w:r>
        <w:rPr>
          <w:rFonts w:ascii="Yu Gothic" w:hAnsi="Yu Gothic" w:eastAsia="Yu Gothic" w:cs="Yu Gothic"/>
          <w:b/>
          <w:color w:val="2E74B5"/>
          <w:sz w:val="19"/>
          <w:lang w:val="ja-JP" w:eastAsia="ja-JP"/>
        </w:rPr>
        <w:t>そのまま読める原稿</w:t>
      </w:r>
    </w:p>
    <w:p>
      <w:pPr>
        <w:keepLines/>
        <w:spacing w:after="160" w:line="300" w:lineRule="auto"/>
        <w:ind w:left="173" w:right="115"/>
        <w:shd w:fill="F4F6F9" w:val="clear"/>
        <w:pBdr>
          <w:left w:val="single" w:sz="20" w:space="8" w:color="2E74B5"/>
        </w:pBdr>
      </w:pPr>
      <w:r>
        <w:rPr>
          <w:rFonts w:ascii="Yu Gothic" w:hAnsi="Yu Gothic" w:eastAsia="Yu Gothic" w:cs="Yu Gothic"/>
          <w:color w:val="202124"/>
          <w:sz w:val="21"/>
          <w:lang w:val="ja-JP" w:eastAsia="ja-JP"/>
        </w:rPr>
        <w:t>「最後に3点だけ振り返ります。1つ目、データの改ざん、ウイルス、コンピュータを使った不正な利益取得は、刑法の対象になり得ます。2つ目、不正アクセス禁止法は、ログイン後だけでなく、ID・パスワードの不正取得や保管など、入口の前段階も規制します。3つ目、個人情報は、利用目的に沿って活用しながら、権利利益を守る必要があります。サイバー事故は一つの法律だけで完結せず、複数の法律と社内ルールが重なることがあります。そして、システム上できることと、業務上してよいことは同じではありません。迷ったときは、実行する前に止まり、目的、権限、承認、取扱方法を確認してください。必要であれば、法務担当や専門家へ相談してください。以上で説明を終わります。」</w:t>
      </w:r>
    </w:p>
    <w:p>
      <w:pPr>
        <w:pStyle w:val="Heading3"/>
        <w:keepNext/>
      </w:pPr>
      <w:r>
        <w:rPr>
          <w:rFonts w:ascii="Yu Gothic" w:hAnsi="Yu Gothic" w:eastAsia="Yu Gothic" w:cs="Yu Gothic"/>
          <w:b/>
          <w:color w:val="1F4D78"/>
          <w:sz w:val="23"/>
          <w:lang w:val="ja-JP" w:eastAsia="ja-JP"/>
        </w:rPr>
        <w:t>補足・強調ポイント</w:t>
      </w:r>
    </w:p>
    <w:p>
      <w:pPr>
        <w:numPr>
          <w:ilvl w:val="0"/>
          <w:numId w:val="10"/>
        </w:numPr>
        <w:spacing w:after="80" w:line="300" w:lineRule="auto"/>
        <w:ind w:left="540" w:hanging="271"/>
      </w:pPr>
      <w:r>
        <w:rPr>
          <w:rFonts w:ascii="Yu Gothic" w:hAnsi="Yu Gothic" w:eastAsia="Yu Gothic" w:cs="Yu Gothic"/>
          <w:color w:val="202124"/>
          <w:sz w:val="21"/>
          <w:lang w:val="ja-JP" w:eastAsia="ja-JP"/>
        </w:rPr>
        <w:t>3点を一つずつ、少し間を置いて話す。</w:t>
      </w:r>
    </w:p>
    <w:p>
      <w:pPr>
        <w:numPr>
          <w:ilvl w:val="0"/>
          <w:numId w:val="10"/>
        </w:numPr>
        <w:spacing w:after="80" w:line="300" w:lineRule="auto"/>
        <w:ind w:left="540" w:hanging="271"/>
      </w:pPr>
      <w:r>
        <w:rPr>
          <w:rFonts w:ascii="Yu Gothic" w:hAnsi="Yu Gothic" w:eastAsia="Yu Gothic" w:cs="Yu Gothic"/>
          <w:color w:val="202124"/>
          <w:sz w:val="21"/>
          <w:lang w:val="ja-JP" w:eastAsia="ja-JP"/>
        </w:rPr>
        <w:t>最後の行動メッセージは『実行前に止まり、目的・権限・承認・取扱方法を確認』。</w:t>
      </w:r>
    </w:p>
    <w:p>
      <w:pPr>
        <w:numPr>
          <w:ilvl w:val="0"/>
          <w:numId w:val="10"/>
        </w:numPr>
        <w:spacing w:after="80" w:line="300" w:lineRule="auto"/>
        <w:ind w:left="540" w:hanging="271"/>
      </w:pPr>
      <w:r>
        <w:rPr>
          <w:rFonts w:ascii="Yu Gothic" w:hAnsi="Yu Gothic" w:eastAsia="Yu Gothic" w:cs="Yu Gothic"/>
          <w:color w:val="202124"/>
          <w:sz w:val="21"/>
          <w:lang w:val="ja-JP" w:eastAsia="ja-JP"/>
        </w:rPr>
        <w:t>質疑応答を行う場合は、説明終了後の別枠とする。</w:t>
      </w:r>
    </w:p>
    <w:p>
      <w:pPr>
        <w:pStyle w:val="Heading1"/>
      </w:pPr>
      <w:r>
        <w:rPr>
          <w:rFonts w:ascii="Yu Gothic" w:hAnsi="Yu Gothic" w:eastAsia="Yu Gothic" w:cs="Yu Gothic"/>
          <w:b/>
          <w:color w:val="2E74B5"/>
          <w:sz w:val="32"/>
          <w:lang w:val="ja-JP" w:eastAsia="ja-JP"/>
        </w:rPr>
        <w:t>想定質問への短い回答</w:t>
      </w:r>
    </w:p>
    <w:p>
      <w:pPr>
        <w:keepNext/>
        <w:spacing w:before="140" w:after="40"/>
      </w:pPr>
      <w:r>
        <w:rPr>
          <w:rFonts w:ascii="Yu Gothic" w:hAnsi="Yu Gothic" w:eastAsia="Yu Gothic" w:cs="Yu Gothic"/>
          <w:b/>
          <w:color w:val="1F4D78"/>
          <w:sz w:val="21"/>
          <w:lang w:val="ja-JP" w:eastAsia="ja-JP"/>
        </w:rPr>
        <w:t>Q. ID・パスワードを同僚に教えたら、必ず犯罪になりますか。</w:t>
      </w:r>
    </w:p>
    <w:p>
      <w:pPr>
        <w:spacing w:after="120" w:line="288" w:lineRule="auto"/>
        <w:ind w:left="259"/>
      </w:pPr>
      <w:r>
        <w:rPr>
          <w:rFonts w:ascii="Yu Gothic" w:hAnsi="Yu Gothic" w:eastAsia="Yu Gothic" w:cs="Yu Gothic"/>
          <w:color w:val="202124"/>
          <w:sz w:val="20"/>
          <w:lang w:val="ja-JP" w:eastAsia="ja-JP"/>
        </w:rPr>
        <w:t>A. 法律上は目的、承諾、利用状況など具体的な事実で判断されます。ただし、社内規程では共有を禁止していることが一般的です。法律に触れるかだけでなく、社内ルールに従ってください。</w:t>
      </w:r>
    </w:p>
    <w:p>
      <w:pPr>
        <w:keepNext/>
        <w:spacing w:before="140" w:after="40"/>
      </w:pPr>
      <w:r>
        <w:rPr>
          <w:rFonts w:ascii="Yu Gothic" w:hAnsi="Yu Gothic" w:eastAsia="Yu Gothic" w:cs="Yu Gothic"/>
          <w:b/>
          <w:color w:val="1F4D78"/>
          <w:sz w:val="21"/>
          <w:lang w:val="ja-JP" w:eastAsia="ja-JP"/>
        </w:rPr>
        <w:t>Q. ウイルスや検証ツールを持っているだけで違法ですか。</w:t>
      </w:r>
    </w:p>
    <w:p>
      <w:pPr>
        <w:spacing w:after="120" w:line="288" w:lineRule="auto"/>
        <w:ind w:left="259"/>
      </w:pPr>
      <w:r>
        <w:rPr>
          <w:rFonts w:ascii="Yu Gothic" w:hAnsi="Yu Gothic" w:eastAsia="Yu Gothic" w:cs="Yu Gothic"/>
          <w:color w:val="202124"/>
          <w:sz w:val="20"/>
          <w:lang w:val="ja-JP" w:eastAsia="ja-JP"/>
        </w:rPr>
        <w:t>A. 正当な理由の有無や目的などが関係します。承認されたセキュリティ検証と、悪用目的の取得・保管は同じではありません。検証目的、承認者、対象範囲を記録してください。</w:t>
      </w:r>
    </w:p>
    <w:p>
      <w:pPr>
        <w:keepNext/>
        <w:spacing w:before="140" w:after="40"/>
      </w:pPr>
      <w:r>
        <w:rPr>
          <w:rFonts w:ascii="Yu Gothic" w:hAnsi="Yu Gothic" w:eastAsia="Yu Gothic" w:cs="Yu Gothic"/>
          <w:b/>
          <w:color w:val="1F4D78"/>
          <w:sz w:val="21"/>
          <w:lang w:val="ja-JP" w:eastAsia="ja-JP"/>
        </w:rPr>
        <w:t>Q. サイバーセキュリティ基本法は、現場の担当者に直接関係しますか。</w:t>
      </w:r>
    </w:p>
    <w:p>
      <w:pPr>
        <w:spacing w:after="120" w:line="288" w:lineRule="auto"/>
        <w:ind w:left="259"/>
      </w:pPr>
      <w:r>
        <w:rPr>
          <w:rFonts w:ascii="Yu Gothic" w:hAnsi="Yu Gothic" w:eastAsia="Yu Gothic" w:cs="Yu Gothic"/>
          <w:color w:val="202124"/>
          <w:sz w:val="20"/>
          <w:lang w:val="ja-JP" w:eastAsia="ja-JP"/>
        </w:rPr>
        <w:t>A. 個々の操作を直接処罰する法律というより、国や組織が継続的に対策するための枠組みです。経営関与、訓練、情報共有、委託先管理などを通じて現場にもつながります。</w:t>
      </w:r>
    </w:p>
    <w:p>
      <w:pPr>
        <w:keepNext/>
        <w:spacing w:before="140" w:after="40"/>
      </w:pPr>
      <w:r>
        <w:rPr>
          <w:rFonts w:ascii="Yu Gothic" w:hAnsi="Yu Gothic" w:eastAsia="Yu Gothic" w:cs="Yu Gothic"/>
          <w:b/>
          <w:color w:val="1F4D78"/>
          <w:sz w:val="21"/>
          <w:lang w:val="ja-JP" w:eastAsia="ja-JP"/>
        </w:rPr>
        <w:t>Q. 11頁の事例は、個人情報保護法だけの問題ですか。</w:t>
      </w:r>
    </w:p>
    <w:p>
      <w:pPr>
        <w:spacing w:after="120" w:line="288" w:lineRule="auto"/>
        <w:ind w:left="259"/>
      </w:pPr>
      <w:r>
        <w:rPr>
          <w:rFonts w:ascii="Yu Gothic" w:hAnsi="Yu Gothic" w:eastAsia="Yu Gothic" w:cs="Yu Gothic"/>
          <w:color w:val="202124"/>
          <w:sz w:val="20"/>
          <w:lang w:val="ja-JP" w:eastAsia="ja-JP"/>
        </w:rPr>
        <w:t>A. 一つの事故に複数の法令や契約、社内規程が関係することがあります。この勉強会では、個人情報の安全管理と内部不正対策を考える事例として扱います。</w:t>
      </w:r>
    </w:p>
    <w:p>
      <w:pPr>
        <w:pStyle w:val="Heading1"/>
      </w:pPr>
      <w:r>
        <w:rPr>
          <w:rFonts w:ascii="Yu Gothic" w:hAnsi="Yu Gothic" w:eastAsia="Yu Gothic" w:cs="Yu Gothic"/>
          <w:b/>
          <w:color w:val="2E74B5"/>
          <w:sz w:val="32"/>
          <w:lang w:val="ja-JP" w:eastAsia="ja-JP"/>
        </w:rPr>
        <w:t>講師用の最終確認</w:t>
      </w:r>
    </w:p>
    <w:p>
      <w:pPr>
        <w:numPr>
          <w:ilvl w:val="0"/>
          <w:numId w:val="10"/>
        </w:numPr>
        <w:spacing w:after="80" w:line="300" w:lineRule="auto"/>
        <w:ind w:left="540" w:hanging="271"/>
      </w:pPr>
      <w:r>
        <w:rPr>
          <w:rFonts w:ascii="Yu Gothic" w:hAnsi="Yu Gothic" w:eastAsia="Yu Gothic" w:cs="Yu Gothic"/>
          <w:color w:val="202124"/>
          <w:sz w:val="21"/>
          <w:lang w:val="ja-JP" w:eastAsia="ja-JP"/>
        </w:rPr>
        <w:t>資料は2024年6月作成。最新法令の詳細な説明は行わず、必要な場合は法務担当・専門家・公式情報へつなぐ。</w:t>
      </w:r>
    </w:p>
    <w:p>
      <w:pPr>
        <w:numPr>
          <w:ilvl w:val="0"/>
          <w:numId w:val="10"/>
        </w:numPr>
        <w:spacing w:after="80" w:line="300" w:lineRule="auto"/>
        <w:ind w:left="540" w:hanging="271"/>
      </w:pPr>
      <w:r>
        <w:rPr>
          <w:rFonts w:ascii="Yu Gothic" w:hAnsi="Yu Gothic" w:eastAsia="Yu Gothic" w:cs="Yu Gothic"/>
          <w:color w:val="202124"/>
          <w:sz w:val="21"/>
          <w:lang w:val="ja-JP" w:eastAsia="ja-JP"/>
        </w:rPr>
        <w:t>2-3頁の一覧を読み上げすぎない。6頁、9頁、11頁の具体例を中心に話す。</w:t>
      </w:r>
    </w:p>
    <w:p>
      <w:pPr>
        <w:numPr>
          <w:ilvl w:val="0"/>
          <w:numId w:val="10"/>
        </w:numPr>
        <w:spacing w:after="80" w:line="300" w:lineRule="auto"/>
        <w:ind w:left="540" w:hanging="271"/>
      </w:pPr>
      <w:r>
        <w:rPr>
          <w:rFonts w:ascii="Yu Gothic" w:hAnsi="Yu Gothic" w:eastAsia="Yu Gothic" w:cs="Yu Gothic"/>
          <w:color w:val="202124"/>
          <w:sz w:val="21"/>
          <w:lang w:val="ja-JP" w:eastAsia="ja-JP"/>
        </w:rPr>
        <w:t>『必ず違法』『必ず処罰』と断定せず、『対象になり得る』『具体的事実で判断』と表現する。</w:t>
      </w:r>
    </w:p>
    <w:p>
      <w:pPr>
        <w:numPr>
          <w:ilvl w:val="0"/>
          <w:numId w:val="10"/>
        </w:numPr>
        <w:spacing w:after="80" w:line="300" w:lineRule="auto"/>
        <w:ind w:left="540" w:hanging="271"/>
      </w:pPr>
      <w:r>
        <w:rPr>
          <w:rFonts w:ascii="Yu Gothic" w:hAnsi="Yu Gothic" w:eastAsia="Yu Gothic" w:cs="Yu Gothic"/>
          <w:color w:val="202124"/>
          <w:sz w:val="21"/>
          <w:lang w:val="ja-JP" w:eastAsia="ja-JP"/>
        </w:rPr>
        <w:t>説明後に参加者へ残す言葉は、『操作できることと、してよいことは同じではない』。</w:t>
      </w:r>
    </w:p>
    <w:p>
      <w:pPr>
        <w:pStyle w:val="Heading1"/>
      </w:pPr>
      <w:r>
        <w:rPr>
          <w:rFonts w:ascii="Yu Gothic" w:hAnsi="Yu Gothic" w:eastAsia="Yu Gothic" w:cs="Yu Gothic"/>
          <w:b/>
          <w:color w:val="2E74B5"/>
          <w:sz w:val="32"/>
          <w:lang w:val="ja-JP" w:eastAsia="ja-JP"/>
        </w:rPr>
        <w:t>参照資料</w:t>
      </w:r>
    </w:p>
    <w:p>
      <w:pPr>
        <w:pStyle w:val="SmallSource"/>
        <w:ind w:left="259" w:hanging="259"/>
      </w:pPr>
      <w:r>
        <w:rPr>
          <w:rFonts w:ascii="Yu Gothic" w:hAnsi="Yu Gothic" w:eastAsia="Yu Gothic" w:cs="Yu Gothic"/>
          <w:color w:val="5F6368"/>
          <w:sz w:val="17"/>
          <w:lang w:val="ja-JP" w:eastAsia="ja-JP"/>
        </w:rPr>
        <w:t>株式会社しんきん情報システムセンター『サイバーセキュリティに関する法規制の経緯』2024年6月（添付資料）</w:t>
      </w:r>
    </w:p>
    <w:p>
      <w:pPr>
        <w:pStyle w:val="SmallSource"/>
        <w:ind w:left="259" w:hanging="259"/>
      </w:pPr>
      <w:r>
        <w:rPr>
          <w:rFonts w:ascii="Yu Gothic" w:hAnsi="Yu Gothic" w:eastAsia="Yu Gothic" w:cs="Yu Gothic"/>
          <w:color w:val="5F6368"/>
          <w:sz w:val="17"/>
          <w:lang w:val="ja-JP" w:eastAsia="ja-JP"/>
        </w:rPr>
        <w:t>警察庁『不正アクセス行為の禁止等に関する法律の解説』 https://www.npa.go.jp/bureau/cyber/pdf/1_kaisetsu.pdf</w:t>
      </w:r>
    </w:p>
    <w:p>
      <w:pPr>
        <w:pStyle w:val="SmallSource"/>
        <w:ind w:left="259" w:hanging="259"/>
      </w:pPr>
      <w:r>
        <w:rPr>
          <w:rFonts w:ascii="Yu Gothic" w:hAnsi="Yu Gothic" w:eastAsia="Yu Gothic" w:cs="Yu Gothic"/>
          <w:color w:val="5F6368"/>
          <w:sz w:val="17"/>
          <w:lang w:val="ja-JP" w:eastAsia="ja-JP"/>
        </w:rPr>
        <w:t>警視庁『不正指令電磁的記録に関する罪』 https://www.keishicho.metro.tokyo.lg.jp/kurashi/cyber/law/virus.html</w:t>
      </w:r>
    </w:p>
    <w:p>
      <w:pPr>
        <w:pStyle w:val="SmallSource"/>
        <w:ind w:left="259" w:hanging="259"/>
      </w:pPr>
      <w:r>
        <w:rPr>
          <w:rFonts w:ascii="Yu Gothic" w:hAnsi="Yu Gothic" w:eastAsia="Yu Gothic" w:cs="Yu Gothic"/>
          <w:color w:val="5F6368"/>
          <w:sz w:val="17"/>
          <w:lang w:val="ja-JP" w:eastAsia="ja-JP"/>
        </w:rPr>
        <w:t>個人情報保護委員会『個人情報保護法の基本』 https://www.ppc.go.jp/files/pdf/kihon_202309.pdf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Yu Gothic" w:hAnsi="Yu Gothic" w:eastAsia="Yu Gothic" w:cs="Yu Gothic"/>
        <w:color w:val="5F6368"/>
        <w:sz w:val="17"/>
        <w:lang w:val="ja-JP" w:eastAsia="ja-JP"/>
      </w:rPr>
      <w:t>サイバーセキュリティに関する法規制の経緯</w:t>
    </w:r>
    <w:r>
      <w:rPr>
        <w:rFonts w:ascii="Yu Gothic" w:hAnsi="Yu Gothic" w:eastAsia="Yu Gothic" w:cs="Yu Gothic"/>
        <w:color w:val="5F6368"/>
        <w:sz w:val="17"/>
        <w:lang w:val="ja-JP" w:eastAsia="ja-JP"/>
      </w:rPr>
      <w:tab/>
    </w:r>
    <w:r>
      <w:rPr>
        <w:rFonts w:ascii="Yu Gothic" w:hAnsi="Yu Gothic" w:eastAsia="Yu Gothic" w:cs="Yu Gothic"/>
        <w:color w:val="5F6368"/>
        <w:sz w:val="18"/>
        <w:lang w:val="ja-JP" w:eastAsia="ja-JP"/>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Yu Gothic" w:hAnsi="Yu Gothic" w:eastAsia="Yu Gothic" w:cs="Yu Gothic"/>
        <w:color w:val="5F6368"/>
        <w:sz w:val="17"/>
        <w:lang w:val="ja-JP" w:eastAsia="ja-JP"/>
      </w:rPr>
      <w:t>15分勉強会 進行台本　｜　2024年6月資料準拠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Yu Gothic" w:hAnsi="Yu Gothic" w:eastAsia="Yu Gothic"/>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Yu Gothic" w:hAnsi="Yu Gothic" w:eastAsia="Yu Gothic" w:cs="Yu Gothic"/>
      <w:b w:val="0"/>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Yu Gothic" w:hAnsi="Yu Gothic" w:eastAsia="Yu Gothic" w:cs="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Yu Gothic" w:hAnsi="Yu Gothic" w:eastAsia="Yu Gothic" w:cs="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Yu Gothic" w:hAnsi="Yu Gothic" w:eastAsia="Yu Gothic" w:cs="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Source">
    <w:name w:val="Small Source"/>
    <w:pPr>
      <w:spacing w:before="80" w:after="80" w:line="276" w:lineRule="auto"/>
    </w:pPr>
    <w:rPr>
      <w:rFonts w:ascii="Yu Gothic" w:hAnsi="Yu Gothic" w:eastAsia="Yu Gothic" w:cs="Yu Gothic"/>
      <w:b w:val="0"/>
      <w:color w:val="5F63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サイバーセキュリティに関する法規制の経緯 15分勉強会 進行台本</dc:title>
  <dc:subject>添付資料を投影して説明するためのページ別原稿</dc:subject>
  <dc:creator/>
  <cp:keywords>サイバーセキュリティ, 法規制, 勉強会, 原稿</cp:keywords>
  <dc:description>generated by python-docx</dc:description>
  <cp:lastModifiedBy/>
  <cp:revision>1</cp:revision>
  <dcterms:created xsi:type="dcterms:W3CDTF">2013-12-23T23:15:00Z</dcterms:created>
  <dcterms:modified xsi:type="dcterms:W3CDTF">2013-12-23T23:15:00Z</dcterms:modified>
  <cp:category/>
</cp:coreProperties>
</file>