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0350E" w14:textId="77777777" w:rsidR="00DE2CDE" w:rsidRDefault="00000000">
      <w:pPr>
        <w:pStyle w:val="Title"/>
        <w:jc w:val="center"/>
      </w:pPr>
      <w:bookmarkStart w:id="0" w:name="_gjdgxs" w:colFirst="0" w:colLast="0"/>
      <w:bookmarkEnd w:id="0"/>
      <w:r>
        <w:rPr>
          <w:i/>
          <w:sz w:val="48"/>
          <w:szCs w:val="48"/>
        </w:rPr>
        <w:t>Trans</w:t>
      </w:r>
      <w:r>
        <w:rPr>
          <w:sz w:val="48"/>
          <w:szCs w:val="48"/>
        </w:rPr>
        <w:t>-eQTL mapping in gene sets identifies network effects of genetic variants</w:t>
      </w:r>
    </w:p>
    <w:p w14:paraId="77705DCF" w14:textId="77777777" w:rsidR="00DE2CDE" w:rsidRDefault="00000000">
      <w:pPr>
        <w:jc w:val="center"/>
        <w:rPr>
          <w:vertAlign w:val="superscript"/>
        </w:rPr>
      </w:pPr>
      <w:r>
        <w:t>Lili Wang</w:t>
      </w:r>
      <w:r>
        <w:rPr>
          <w:vertAlign w:val="superscript"/>
        </w:rPr>
        <w:t>1,2</w:t>
      </w:r>
      <w:r>
        <w:t>, Nikita Babushkin</w:t>
      </w:r>
      <w:r>
        <w:rPr>
          <w:vertAlign w:val="superscript"/>
        </w:rPr>
        <w:t>2</w:t>
      </w:r>
      <w:r>
        <w:t>, Zhonghua Liu</w:t>
      </w:r>
      <w:r>
        <w:rPr>
          <w:vertAlign w:val="superscript"/>
        </w:rPr>
        <w:t>3</w:t>
      </w:r>
      <w:r>
        <w:t>, Xuanyao Liu</w:t>
      </w:r>
      <w:r>
        <w:rPr>
          <w:vertAlign w:val="superscript"/>
        </w:rPr>
        <w:t>1,2,4*</w:t>
      </w:r>
    </w:p>
    <w:p w14:paraId="2CCBB4A1" w14:textId="77777777" w:rsidR="00DE2CDE" w:rsidRDefault="00DE2CDE">
      <w:pPr>
        <w:jc w:val="both"/>
      </w:pPr>
    </w:p>
    <w:p w14:paraId="1DDD43A8" w14:textId="77777777" w:rsidR="00DE2CDE" w:rsidRDefault="00000000">
      <w:pPr>
        <w:jc w:val="both"/>
      </w:pPr>
      <w:r>
        <w:rPr>
          <w:vertAlign w:val="superscript"/>
        </w:rPr>
        <w:t>1</w:t>
      </w:r>
      <w:r>
        <w:t>The Committee on Genetics, Genomics and Systems Biology, University of Chicago, Chicago, IL, USA</w:t>
      </w:r>
    </w:p>
    <w:p w14:paraId="4C793C3A" w14:textId="77777777" w:rsidR="00DE2CDE" w:rsidRDefault="00000000">
      <w:pPr>
        <w:jc w:val="both"/>
      </w:pPr>
      <w:r>
        <w:rPr>
          <w:vertAlign w:val="superscript"/>
        </w:rPr>
        <w:t>2</w:t>
      </w:r>
      <w:r>
        <w:t>Department of Medicine, Section of Genetic Medicine, University of Chicago, Chicago, IL, USA</w:t>
      </w:r>
    </w:p>
    <w:p w14:paraId="62085FC0" w14:textId="77777777" w:rsidR="00DE2CDE" w:rsidRDefault="00000000">
      <w:pPr>
        <w:jc w:val="both"/>
      </w:pPr>
      <w:r>
        <w:rPr>
          <w:vertAlign w:val="superscript"/>
        </w:rPr>
        <w:t>3</w:t>
      </w:r>
      <w:r>
        <w:t>Department of Biostatistics, Columbia University, New York, NY, USA</w:t>
      </w:r>
    </w:p>
    <w:p w14:paraId="764E2B0E" w14:textId="77777777" w:rsidR="00DE2CDE" w:rsidRDefault="00000000">
      <w:pPr>
        <w:jc w:val="both"/>
      </w:pPr>
      <w:r>
        <w:rPr>
          <w:vertAlign w:val="superscript"/>
        </w:rPr>
        <w:t>4</w:t>
      </w:r>
      <w:r>
        <w:t>Department of Human Genetics, University of Chicago, Chicago, IL, USA</w:t>
      </w:r>
    </w:p>
    <w:p w14:paraId="2FD69DEA" w14:textId="77777777" w:rsidR="00DE2CDE" w:rsidRDefault="00DE2CDE">
      <w:pPr>
        <w:jc w:val="both"/>
      </w:pPr>
    </w:p>
    <w:p w14:paraId="5774EE27" w14:textId="77777777" w:rsidR="00DE2CDE" w:rsidRDefault="00000000">
      <w:pPr>
        <w:jc w:val="both"/>
      </w:pPr>
      <w:r>
        <w:t>*Correspondence to xuanyao@uchicago.edu</w:t>
      </w:r>
    </w:p>
    <w:p w14:paraId="3BE12755" w14:textId="77777777" w:rsidR="00DE2CDE" w:rsidRDefault="00000000">
      <w:pPr>
        <w:jc w:val="both"/>
      </w:pPr>
      <w:r>
        <w:br w:type="page"/>
      </w:r>
    </w:p>
    <w:p w14:paraId="47AEC790" w14:textId="77777777" w:rsidR="00DE2CDE" w:rsidRDefault="00000000">
      <w:pPr>
        <w:pStyle w:val="Heading1"/>
        <w:jc w:val="both"/>
      </w:pPr>
      <w:bookmarkStart w:id="1" w:name="_1fob9te" w:colFirst="0" w:colLast="0"/>
      <w:bookmarkEnd w:id="1"/>
      <w:r>
        <w:lastRenderedPageBreak/>
        <w:t>Abstract</w:t>
      </w:r>
    </w:p>
    <w:p w14:paraId="172AB76E" w14:textId="77777777" w:rsidR="00DE2CDE" w:rsidRDefault="00000000">
      <w:pPr>
        <w:jc w:val="both"/>
      </w:pPr>
      <w:r>
        <w:t xml:space="preserve">Nearly all trait-associated variants identified in GWAS are non-coding. The </w:t>
      </w:r>
      <w:r>
        <w:rPr>
          <w:i/>
        </w:rPr>
        <w:t>cis</w:t>
      </w:r>
      <w:r>
        <w:t xml:space="preserve"> regulatory effects of these variants have been extensively characterized, but how they impact gene regulation in </w:t>
      </w:r>
      <w:r>
        <w:rPr>
          <w:i/>
        </w:rPr>
        <w:t xml:space="preserve">trans </w:t>
      </w:r>
      <w:r>
        <w:t xml:space="preserve">has been the subject of much fewer studies. Mapping </w:t>
      </w:r>
      <w:r>
        <w:rPr>
          <w:i/>
        </w:rPr>
        <w:t>trans</w:t>
      </w:r>
      <w:r>
        <w:t xml:space="preserve"> genetic effects is very challenging because their effect sizes tend to be small and a large multiple testing burden reduces the power to detect them. In addition, read mapping biases can lead to many false positives. To reduce mapping biases and substantially improve power to map </w:t>
      </w:r>
      <w:r>
        <w:rPr>
          <w:i/>
        </w:rPr>
        <w:t>trans</w:t>
      </w:r>
      <w:r>
        <w:t xml:space="preserve">-eQTLs, we developed a pipeline called trans-PCO, which combines careful read and gene filters with a principal component (PC)-based multivariate association test. Our simulations demonstrate that trans-PCO substantially outperforms existing </w:t>
      </w:r>
      <w:r>
        <w:rPr>
          <w:i/>
        </w:rPr>
        <w:t>trans</w:t>
      </w:r>
      <w:r>
        <w:t>-eQTL mapping methods, including univariate and primary PC-based methods. We applied trans-PCO to two gene expression datasets from whole blood, DGN (</w:t>
      </w:r>
      <w:r>
        <w:rPr>
          <w:i/>
        </w:rPr>
        <w:t>N</w:t>
      </w:r>
      <w:r>
        <w:t xml:space="preserve"> = 913) and eQTLGen (</w:t>
      </w:r>
      <w:r>
        <w:rPr>
          <w:i/>
        </w:rPr>
        <w:t>N</w:t>
      </w:r>
      <w:r>
        <w:t xml:space="preserve"> = 31,684), to identify </w:t>
      </w:r>
      <w:r>
        <w:rPr>
          <w:i/>
        </w:rPr>
        <w:t>trans</w:t>
      </w:r>
      <w:r>
        <w:t xml:space="preserve">-eQTLs associated with gene co-expression networks and hallmark gene sets representing well-defined biological processes. In total, we identified 14,985 high-quality </w:t>
      </w:r>
      <w:r>
        <w:rPr>
          <w:i/>
        </w:rPr>
        <w:t>trans</w:t>
      </w:r>
      <w:r>
        <w:t xml:space="preserve">-eSNPs–module pairs associated with 197 co-expression gene modules and biological processes. To better understand the effects of trait-associated variants on gene regulatory networks, we performed colocalization analyses between GWAS loci of 46 complex traits and </w:t>
      </w:r>
      <w:r>
        <w:rPr>
          <w:i/>
        </w:rPr>
        <w:t>trans</w:t>
      </w:r>
      <w:r>
        <w:t xml:space="preserve">-eQTLs identified in DGN. We highlight several examples where our map of </w:t>
      </w:r>
      <w:r>
        <w:rPr>
          <w:i/>
        </w:rPr>
        <w:t>trans</w:t>
      </w:r>
      <w:r>
        <w:t xml:space="preserve"> effects helps us understand how trait-associated variants impact gene regulatory networks and biological pathways. For example, we found that a locus associated with platelet traits near </w:t>
      </w:r>
      <w:r>
        <w:rPr>
          <w:i/>
        </w:rPr>
        <w:t>ARHGEF3</w:t>
      </w:r>
      <w:r>
        <w:t xml:space="preserve"> </w:t>
      </w:r>
      <w:r>
        <w:rPr>
          <w:i/>
        </w:rPr>
        <w:t>trans-</w:t>
      </w:r>
      <w:r>
        <w:t xml:space="preserve">regulates a set of co-expressed genes significantly enriched in the platelet activation pathway. Additionally, six red blood cell trait-associated loci </w:t>
      </w:r>
      <w:r>
        <w:rPr>
          <w:i/>
        </w:rPr>
        <w:t>trans</w:t>
      </w:r>
      <w:r>
        <w:t xml:space="preserve">-regulate a gene set representing heme metabolism, a crucial process in erythropoiesis. In conclusion, trans-PCO is a powerful and reliable tool that detects </w:t>
      </w:r>
      <w:r>
        <w:rPr>
          <w:i/>
        </w:rPr>
        <w:t xml:space="preserve">trans </w:t>
      </w:r>
      <w:r>
        <w:t>regulators of cellular pathways and networks, which opens up new opportunities to learn the impact of trait-associated loci on gene regulatory networks.</w:t>
      </w:r>
    </w:p>
    <w:p w14:paraId="5CCBC1D0" w14:textId="77777777" w:rsidR="00DE2CDE" w:rsidRDefault="00000000">
      <w:pPr>
        <w:jc w:val="both"/>
      </w:pPr>
      <w:r>
        <w:br w:type="page"/>
      </w:r>
    </w:p>
    <w:p w14:paraId="0FD73403" w14:textId="77777777" w:rsidR="00DE2CDE" w:rsidRDefault="00000000">
      <w:pPr>
        <w:pStyle w:val="Heading1"/>
        <w:jc w:val="both"/>
      </w:pPr>
      <w:bookmarkStart w:id="2" w:name="_3znysh7" w:colFirst="0" w:colLast="0"/>
      <w:bookmarkEnd w:id="2"/>
      <w:r>
        <w:lastRenderedPageBreak/>
        <w:t>Main</w:t>
      </w:r>
    </w:p>
    <w:p w14:paraId="4DF31CB3" w14:textId="77777777" w:rsidR="00DE2CDE" w:rsidRDefault="00000000">
      <w:pPr>
        <w:jc w:val="both"/>
        <w:rPr>
          <w:highlight w:val="white"/>
        </w:rPr>
      </w:pPr>
      <w:r>
        <w:rPr>
          <w:highlight w:val="white"/>
        </w:rPr>
        <w:t>Genome-wide association studies (GWAS) have identified tens of thousands of genetic loci associated with a large number of complex traits and diseases. More than 90% of GWAS loci are located in non-coding regions of the genome and are thought to affect human traits by regulating gene expression</w:t>
      </w:r>
      <w:hyperlink r:id="rId6">
        <w:r>
          <w:rPr>
            <w:vertAlign w:val="superscript"/>
          </w:rPr>
          <w:t>1–5</w:t>
        </w:r>
      </w:hyperlink>
      <w:r>
        <w:rPr>
          <w:highlight w:val="white"/>
        </w:rPr>
        <w:t xml:space="preserve">. Nearly all studies to date have focused on understanding the effects of trait-associated variants on gene expression in </w:t>
      </w:r>
      <w:r>
        <w:rPr>
          <w:i/>
          <w:highlight w:val="white"/>
        </w:rPr>
        <w:t>cis</w:t>
      </w:r>
      <w:r>
        <w:rPr>
          <w:highlight w:val="white"/>
        </w:rPr>
        <w:t xml:space="preserve">, which only include effects on genes that are near the associated loci. However, multiple lines of evidence suggest </w:t>
      </w:r>
      <w:r>
        <w:rPr>
          <w:i/>
          <w:highlight w:val="white"/>
        </w:rPr>
        <w:t>cis-</w:t>
      </w:r>
      <w:r>
        <w:rPr>
          <w:highlight w:val="white"/>
        </w:rPr>
        <w:t>regulatory effects only capture a small proportion of the heritability of complex traits and diseases. For exampl</w:t>
      </w:r>
      <w:r>
        <w:t>e, Yao et al.</w:t>
      </w:r>
      <w:hyperlink r:id="rId7">
        <w:r>
          <w:rPr>
            <w:vertAlign w:val="superscript"/>
          </w:rPr>
          <w:t>6</w:t>
        </w:r>
      </w:hyperlink>
      <w:r>
        <w:t xml:space="preserve"> est</w:t>
      </w:r>
      <w:r>
        <w:rPr>
          <w:highlight w:val="white"/>
        </w:rPr>
        <w:t xml:space="preserve">imated that only an average of 11% of trait heritability is explained by </w:t>
      </w:r>
      <w:r>
        <w:rPr>
          <w:i/>
          <w:highlight w:val="white"/>
        </w:rPr>
        <w:t>cis</w:t>
      </w:r>
      <w:r>
        <w:rPr>
          <w:highlight w:val="white"/>
        </w:rPr>
        <w:t>-genetic effects on gene expression le</w:t>
      </w:r>
      <w:r>
        <w:t xml:space="preserve">vels. </w:t>
      </w:r>
      <w:r>
        <w:rPr>
          <w:highlight w:val="white"/>
        </w:rPr>
        <w:t xml:space="preserve">We previously hypothesized that </w:t>
      </w:r>
      <w:r>
        <w:rPr>
          <w:i/>
          <w:highlight w:val="white"/>
        </w:rPr>
        <w:t>trans</w:t>
      </w:r>
      <w:r>
        <w:rPr>
          <w:highlight w:val="white"/>
        </w:rPr>
        <w:t>-eQTLs, despite having very small effects on each individual gene, may cumulatively account for a large proportion of trait variance</w:t>
      </w:r>
      <w:hyperlink r:id="rId8">
        <w:r>
          <w:rPr>
            <w:vertAlign w:val="superscript"/>
          </w:rPr>
          <w:t>7</w:t>
        </w:r>
      </w:hyperlink>
      <w:r>
        <w:rPr>
          <w:highlight w:val="white"/>
        </w:rPr>
        <w:t xml:space="preserve">. Indeed, our modeling indicates that </w:t>
      </w:r>
      <w:r>
        <w:rPr>
          <w:i/>
          <w:highlight w:val="white"/>
        </w:rPr>
        <w:t>trans</w:t>
      </w:r>
      <w:r>
        <w:rPr>
          <w:highlight w:val="white"/>
        </w:rPr>
        <w:t xml:space="preserve">-eQTL effects account for twice as much genetic variance in complex traits as </w:t>
      </w:r>
      <w:r>
        <w:rPr>
          <w:i/>
          <w:highlight w:val="white"/>
        </w:rPr>
        <w:t>cis</w:t>
      </w:r>
      <w:r>
        <w:rPr>
          <w:highlight w:val="white"/>
        </w:rPr>
        <w:t>-eQTL effects</w:t>
      </w:r>
      <w:hyperlink r:id="rId9">
        <w:r>
          <w:rPr>
            <w:vertAlign w:val="superscript"/>
          </w:rPr>
          <w:t>7</w:t>
        </w:r>
      </w:hyperlink>
      <w:r>
        <w:rPr>
          <w:highlight w:val="white"/>
        </w:rPr>
        <w:t xml:space="preserve">. Thus, establishing a representative map of genetic variants and their </w:t>
      </w:r>
      <w:r>
        <w:rPr>
          <w:i/>
          <w:highlight w:val="white"/>
        </w:rPr>
        <w:t>trans</w:t>
      </w:r>
      <w:r>
        <w:rPr>
          <w:highlight w:val="white"/>
        </w:rPr>
        <w:t xml:space="preserve"> effects is a critical step toward understanding complex trait and disease genetics. </w:t>
      </w:r>
    </w:p>
    <w:p w14:paraId="02A0CF0E" w14:textId="77777777" w:rsidR="00DE2CDE" w:rsidRDefault="00DE2CDE">
      <w:pPr>
        <w:jc w:val="both"/>
        <w:rPr>
          <w:highlight w:val="white"/>
        </w:rPr>
      </w:pPr>
    </w:p>
    <w:p w14:paraId="6E33FF42" w14:textId="77777777" w:rsidR="00DE2CDE" w:rsidRDefault="00000000">
      <w:pPr>
        <w:jc w:val="both"/>
        <w:rPr>
          <w:highlight w:val="white"/>
        </w:rPr>
      </w:pPr>
      <w:r>
        <w:t xml:space="preserve">Two major challenges have precluded </w:t>
      </w:r>
      <w:r>
        <w:rPr>
          <w:i/>
        </w:rPr>
        <w:t>trans</w:t>
      </w:r>
      <w:r>
        <w:t>-eQTL discovery to date</w:t>
      </w:r>
      <w:r>
        <w:rPr>
          <w:highlight w:val="white"/>
        </w:rPr>
        <w:t xml:space="preserve">. First, </w:t>
      </w:r>
      <w:r>
        <w:rPr>
          <w:i/>
          <w:highlight w:val="white"/>
        </w:rPr>
        <w:t>trans</w:t>
      </w:r>
      <w:r>
        <w:rPr>
          <w:highlight w:val="white"/>
        </w:rPr>
        <w:t>-eQTL mapping is extremely prone to false positives due to mapping errors that cause short sequences to map to homologous regions of the genome</w:t>
      </w:r>
      <w:hyperlink r:id="rId10">
        <w:r>
          <w:rPr>
            <w:vertAlign w:val="superscript"/>
          </w:rPr>
          <w:t>8</w:t>
        </w:r>
      </w:hyperlink>
      <w:r>
        <w:rPr>
          <w:highlight w:val="white"/>
        </w:rPr>
        <w:t xml:space="preserve">. This causes spurious associations between the mapping coverages at multiple homologous regions, which result in strong but artificial </w:t>
      </w:r>
      <w:r>
        <w:rPr>
          <w:i/>
          <w:highlight w:val="white"/>
        </w:rPr>
        <w:t>trans</w:t>
      </w:r>
      <w:r>
        <w:rPr>
          <w:highlight w:val="white"/>
        </w:rPr>
        <w:t xml:space="preserve">-eQTL signals if unaccounted for. The second challenge is by far more difficult to overcome: </w:t>
      </w:r>
      <w:r>
        <w:t xml:space="preserve"> </w:t>
      </w:r>
      <w:r>
        <w:rPr>
          <w:i/>
        </w:rPr>
        <w:t>trans</w:t>
      </w:r>
      <w:r>
        <w:t xml:space="preserve">-eQTLs are challenging to detect compared to </w:t>
      </w:r>
      <w:r>
        <w:rPr>
          <w:i/>
        </w:rPr>
        <w:t>cis</w:t>
      </w:r>
      <w:r>
        <w:t>-eQTLs</w:t>
      </w:r>
      <w:r>
        <w:rPr>
          <w:highlight w:val="white"/>
        </w:rPr>
        <w:t xml:space="preserve"> because (i) they have much smaller effect sizes than </w:t>
      </w:r>
      <w:r>
        <w:rPr>
          <w:i/>
          <w:highlight w:val="white"/>
        </w:rPr>
        <w:t>ci</w:t>
      </w:r>
      <w:r>
        <w:rPr>
          <w:i/>
        </w:rPr>
        <w:t>s</w:t>
      </w:r>
      <w:r>
        <w:t>-eQTLs</w:t>
      </w:r>
      <w:hyperlink r:id="rId11">
        <w:r>
          <w:rPr>
            <w:vertAlign w:val="superscript"/>
          </w:rPr>
          <w:t>7</w:t>
        </w:r>
      </w:hyperlink>
      <w:r>
        <w:t>, and (ii) a geno</w:t>
      </w:r>
      <w:r>
        <w:rPr>
          <w:highlight w:val="white"/>
        </w:rPr>
        <w:t xml:space="preserve">me-wide search of </w:t>
      </w:r>
      <w:r>
        <w:rPr>
          <w:i/>
          <w:highlight w:val="white"/>
        </w:rPr>
        <w:t>trans</w:t>
      </w:r>
      <w:r>
        <w:rPr>
          <w:highlight w:val="white"/>
        </w:rPr>
        <w:t>-eQTLs involves a huge number of statistical tests (</w:t>
      </w:r>
      <m:oMath>
        <m:sSup>
          <m:sSupPr>
            <m:ctrlPr>
              <w:rPr>
                <w:rFonts w:ascii="Cambria Math" w:eastAsia="Cambria Math" w:hAnsi="Cambria Math" w:cs="Cambria Math"/>
                <w:highlight w:val="white"/>
              </w:rPr>
            </m:ctrlPr>
          </m:sSupPr>
          <m:e>
            <m:r>
              <w:rPr>
                <w:rFonts w:ascii="Cambria Math" w:eastAsia="Cambria Math" w:hAnsi="Cambria Math" w:cs="Cambria Math"/>
                <w:highlight w:val="white"/>
              </w:rPr>
              <m:t>~10</m:t>
            </m:r>
          </m:e>
          <m:sup>
            <m:r>
              <w:rPr>
                <w:rFonts w:ascii="Cambria Math" w:eastAsia="Cambria Math" w:hAnsi="Cambria Math" w:cs="Cambria Math"/>
                <w:highlight w:val="white"/>
              </w:rPr>
              <m:t>6</m:t>
            </m:r>
          </m:sup>
        </m:sSup>
      </m:oMath>
      <w:r>
        <w:rPr>
          <w:highlight w:val="white"/>
        </w:rPr>
        <w:t xml:space="preserve"> SNPs</w:t>
      </w:r>
      <m:oMath>
        <m:r>
          <w:rPr>
            <w:rFonts w:ascii="Cambria Math" w:hAnsi="Cambria Math"/>
          </w:rPr>
          <m:t>×</m:t>
        </m:r>
        <m:r>
          <w:rPr>
            <w:rFonts w:ascii="Cambria Math" w:eastAsia="Cambria Math" w:hAnsi="Cambria Math" w:cs="Cambria Math"/>
            <w:highlight w:val="white"/>
          </w:rPr>
          <m:t>~20k</m:t>
        </m:r>
      </m:oMath>
      <w:r>
        <w:rPr>
          <w:highlight w:val="white"/>
        </w:rPr>
        <w:t xml:space="preserve"> genes) resulting in a heavy burden of multiple testing corrections. </w:t>
      </w:r>
    </w:p>
    <w:p w14:paraId="5BD48981" w14:textId="77777777" w:rsidR="00DE2CDE" w:rsidRDefault="00DE2CDE">
      <w:pPr>
        <w:jc w:val="both"/>
        <w:rPr>
          <w:highlight w:val="white"/>
        </w:rPr>
      </w:pPr>
    </w:p>
    <w:p w14:paraId="03ABF475" w14:textId="77777777" w:rsidR="00DE2CDE" w:rsidRDefault="00000000">
      <w:pPr>
        <w:jc w:val="both"/>
        <w:rPr>
          <w:highlight w:val="white"/>
        </w:rPr>
      </w:pPr>
      <w:r>
        <w:rPr>
          <w:highlight w:val="white"/>
        </w:rPr>
        <w:t xml:space="preserve">Previous work in yeast and human cells suggests that </w:t>
      </w:r>
      <w:r>
        <w:rPr>
          <w:i/>
          <w:highlight w:val="white"/>
        </w:rPr>
        <w:t>trans</w:t>
      </w:r>
      <w:r>
        <w:rPr>
          <w:highlight w:val="white"/>
        </w:rPr>
        <w:t xml:space="preserve">-eQTLs generally affect the expression levels of multiple genes. </w:t>
      </w:r>
      <w:r>
        <w:t>In particular, Albert et al.</w:t>
      </w:r>
      <w:hyperlink r:id="rId12">
        <w:r>
          <w:rPr>
            <w:vertAlign w:val="superscript"/>
          </w:rPr>
          <w:t>9</w:t>
        </w:r>
      </w:hyperlink>
      <w:r>
        <w:t xml:space="preserve"> found that the 90% of </w:t>
      </w:r>
      <w:r>
        <w:rPr>
          <w:i/>
        </w:rPr>
        <w:t>trans</w:t>
      </w:r>
      <w:r>
        <w:t xml:space="preserve">-eQTLs in their yeast segregant system could be mapped to just 102 hotspot loci that regulate a median of 425 genes each. In fact, three hotspots were found to affect over half of the 5600 expressed </w:t>
      </w:r>
      <w:r>
        <w:rPr>
          <w:i/>
        </w:rPr>
        <w:t>trans</w:t>
      </w:r>
      <w:r>
        <w:t xml:space="preserve">-regulated genes, indicating that some </w:t>
      </w:r>
      <w:r>
        <w:rPr>
          <w:i/>
        </w:rPr>
        <w:t>trans</w:t>
      </w:r>
      <w:r>
        <w:t xml:space="preserve">-eQTLs may have significant genome-wide effects. </w:t>
      </w:r>
      <w:r>
        <w:rPr>
          <w:highlight w:val="white"/>
        </w:rPr>
        <w:t xml:space="preserve">In humans, the largest </w:t>
      </w:r>
      <w:r>
        <w:rPr>
          <w:i/>
          <w:highlight w:val="white"/>
        </w:rPr>
        <w:t>trans</w:t>
      </w:r>
      <w:r>
        <w:rPr>
          <w:highlight w:val="white"/>
        </w:rPr>
        <w:t>-eQTL study to date from eQTLGen</w:t>
      </w:r>
      <w:hyperlink r:id="rId13">
        <w:r>
          <w:rPr>
            <w:vertAlign w:val="superscript"/>
          </w:rPr>
          <w:t>10</w:t>
        </w:r>
      </w:hyperlink>
      <w:r>
        <w:rPr>
          <w:highlight w:val="white"/>
        </w:rPr>
        <w:t xml:space="preserve"> (n = 31,684) identified 59,786 </w:t>
      </w:r>
      <w:r>
        <w:rPr>
          <w:i/>
          <w:highlight w:val="white"/>
        </w:rPr>
        <w:t>trans</w:t>
      </w:r>
      <w:r>
        <w:rPr>
          <w:highlight w:val="white"/>
        </w:rPr>
        <w:t xml:space="preserve">-eQTL signals for 3,853 SNPs, indicating that each locus affects at least 15 genes on average. Thus, </w:t>
      </w:r>
      <w:r>
        <w:t>compared to the traditional approach of testing the association between genetic variants and the expression level of a single gene</w:t>
      </w:r>
      <w:hyperlink r:id="rId14">
        <w:r>
          <w:rPr>
            <w:vertAlign w:val="superscript"/>
          </w:rPr>
          <w:t>11,12</w:t>
        </w:r>
      </w:hyperlink>
      <w:r>
        <w:t>,</w:t>
      </w:r>
      <w:r>
        <w:rPr>
          <w:highlight w:val="white"/>
        </w:rPr>
        <w:t xml:space="preserve"> testing </w:t>
      </w:r>
      <w:r>
        <w:rPr>
          <w:i/>
          <w:highlight w:val="white"/>
        </w:rPr>
        <w:t>trans</w:t>
      </w:r>
      <w:r>
        <w:rPr>
          <w:highlight w:val="white"/>
        </w:rPr>
        <w:t xml:space="preserve"> associations between genetic variants and the expression levels of a group of genes can greatly improve the power to identify </w:t>
      </w:r>
      <w:r>
        <w:rPr>
          <w:i/>
          <w:highlight w:val="white"/>
        </w:rPr>
        <w:t>trans</w:t>
      </w:r>
      <w:r>
        <w:rPr>
          <w:highlight w:val="white"/>
        </w:rPr>
        <w:t>-eQTLs.</w:t>
      </w:r>
    </w:p>
    <w:p w14:paraId="76CDD0C4" w14:textId="77777777" w:rsidR="00DE2CDE" w:rsidRDefault="00DE2CDE">
      <w:pPr>
        <w:jc w:val="both"/>
        <w:rPr>
          <w:highlight w:val="white"/>
        </w:rPr>
      </w:pPr>
    </w:p>
    <w:p w14:paraId="50CEEC1C" w14:textId="77777777" w:rsidR="00DE2CDE" w:rsidRDefault="00000000">
      <w:pPr>
        <w:pBdr>
          <w:top w:val="nil"/>
          <w:left w:val="nil"/>
          <w:bottom w:val="nil"/>
          <w:right w:val="nil"/>
          <w:between w:val="nil"/>
        </w:pBdr>
        <w:jc w:val="both"/>
        <w:rPr>
          <w:color w:val="000000"/>
          <w:highlight w:val="white"/>
        </w:rPr>
      </w:pPr>
      <w:r>
        <w:rPr>
          <w:color w:val="000000"/>
          <w:highlight w:val="white"/>
        </w:rPr>
        <w:t>Indeed, many disease-associated loci are “peripheral master regulators”, which regulate multiple genes in the core disease-relevant pathways</w:t>
      </w:r>
      <w:hyperlink r:id="rId15">
        <w:r>
          <w:rPr>
            <w:vertAlign w:val="superscript"/>
          </w:rPr>
          <w:t>7,13</w:t>
        </w:r>
      </w:hyperlink>
      <w:r>
        <w:rPr>
          <w:color w:val="000000"/>
          <w:highlight w:val="white"/>
        </w:rPr>
        <w:t xml:space="preserve">. For example, </w:t>
      </w:r>
      <w:r>
        <w:rPr>
          <w:i/>
          <w:color w:val="000000"/>
          <w:highlight w:val="white"/>
        </w:rPr>
        <w:t>KLF14</w:t>
      </w:r>
      <w:r>
        <w:rPr>
          <w:color w:val="000000"/>
          <w:highlight w:val="white"/>
        </w:rPr>
        <w:t>, which is significantly associated with type 2 diabetes, is a peripheral master regulator that modulates the expression of 385 genes involved in lipid metab</w:t>
      </w:r>
      <w:r>
        <w:rPr>
          <w:color w:val="000000"/>
        </w:rPr>
        <w:t>olism</w:t>
      </w:r>
      <w:hyperlink r:id="rId16">
        <w:r>
          <w:rPr>
            <w:vertAlign w:val="superscript"/>
          </w:rPr>
          <w:t>14</w:t>
        </w:r>
      </w:hyperlink>
      <w:r>
        <w:rPr>
          <w:color w:val="000000"/>
        </w:rPr>
        <w:t>.</w:t>
      </w:r>
      <w:r>
        <w:t xml:space="preserve"> </w:t>
      </w:r>
      <w:r>
        <w:rPr>
          <w:color w:val="000000"/>
        </w:rPr>
        <w:t>Other exam</w:t>
      </w:r>
      <w:r>
        <w:rPr>
          <w:color w:val="000000"/>
          <w:highlight w:val="white"/>
        </w:rPr>
        <w:t xml:space="preserve">ples include the </w:t>
      </w:r>
      <w:r>
        <w:rPr>
          <w:i/>
          <w:color w:val="000000"/>
          <w:highlight w:val="white"/>
        </w:rPr>
        <w:t>FTO/IRX3/IRX5</w:t>
      </w:r>
      <w:r>
        <w:rPr>
          <w:color w:val="000000"/>
          <w:highlight w:val="white"/>
        </w:rPr>
        <w:t xml:space="preserve"> loc</w:t>
      </w:r>
      <w:r>
        <w:rPr>
          <w:color w:val="000000"/>
        </w:rPr>
        <w:t>us in obesity</w:t>
      </w:r>
      <w:hyperlink r:id="rId17">
        <w:r>
          <w:rPr>
            <w:vertAlign w:val="superscript"/>
          </w:rPr>
          <w:t>15</w:t>
        </w:r>
      </w:hyperlink>
      <w:r>
        <w:t xml:space="preserve"> </w:t>
      </w:r>
      <w:r>
        <w:rPr>
          <w:color w:val="000000"/>
        </w:rPr>
        <w:t xml:space="preserve">or the </w:t>
      </w:r>
      <w:r>
        <w:t>p53 tu</w:t>
      </w:r>
      <w:r>
        <w:rPr>
          <w:highlight w:val="white"/>
        </w:rPr>
        <w:t>mor-suppre</w:t>
      </w:r>
      <w:r>
        <w:t>ssor gene</w:t>
      </w:r>
      <w:r>
        <w:rPr>
          <w:color w:val="000000"/>
        </w:rPr>
        <w:t xml:space="preserve"> in cancer</w:t>
      </w:r>
      <w:r>
        <w:t>s</w:t>
      </w:r>
      <w:hyperlink r:id="rId18">
        <w:r>
          <w:rPr>
            <w:vertAlign w:val="superscript"/>
          </w:rPr>
          <w:t>16</w:t>
        </w:r>
      </w:hyperlink>
      <w:r>
        <w:rPr>
          <w:color w:val="000000"/>
        </w:rPr>
        <w:t xml:space="preserve">. A method that </w:t>
      </w:r>
      <w:r>
        <w:rPr>
          <w:color w:val="000000"/>
          <w:highlight w:val="white"/>
        </w:rPr>
        <w:t xml:space="preserve">can detect a large number </w:t>
      </w:r>
      <w:r>
        <w:rPr>
          <w:color w:val="000000"/>
          <w:highlight w:val="white"/>
        </w:rPr>
        <w:lastRenderedPageBreak/>
        <w:t xml:space="preserve">of </w:t>
      </w:r>
      <w:r>
        <w:rPr>
          <w:i/>
          <w:color w:val="000000"/>
          <w:highlight w:val="white"/>
        </w:rPr>
        <w:t>trans</w:t>
      </w:r>
      <w:r>
        <w:rPr>
          <w:color w:val="000000"/>
          <w:highlight w:val="white"/>
        </w:rPr>
        <w:t xml:space="preserve">-eQTLs associated with multiple genes in gene networks would allow functional interpretation of more disease associated loci and shed light on </w:t>
      </w:r>
      <w:r>
        <w:rPr>
          <w:highlight w:val="white"/>
        </w:rPr>
        <w:t xml:space="preserve">the </w:t>
      </w:r>
      <w:r>
        <w:rPr>
          <w:color w:val="000000"/>
          <w:highlight w:val="white"/>
        </w:rPr>
        <w:t xml:space="preserve">underlying mechanisms. </w:t>
      </w:r>
    </w:p>
    <w:p w14:paraId="2D44C038" w14:textId="77777777" w:rsidR="00DE2CDE" w:rsidRDefault="00DE2CDE">
      <w:pPr>
        <w:pBdr>
          <w:top w:val="nil"/>
          <w:left w:val="nil"/>
          <w:bottom w:val="nil"/>
          <w:right w:val="nil"/>
          <w:between w:val="nil"/>
        </w:pBdr>
        <w:jc w:val="both"/>
        <w:rPr>
          <w:highlight w:val="white"/>
        </w:rPr>
      </w:pPr>
    </w:p>
    <w:p w14:paraId="418EFA36" w14:textId="77777777" w:rsidR="00DE2CDE" w:rsidRDefault="00000000">
      <w:pPr>
        <w:pBdr>
          <w:top w:val="nil"/>
          <w:left w:val="nil"/>
          <w:bottom w:val="nil"/>
          <w:right w:val="nil"/>
          <w:between w:val="nil"/>
        </w:pBdr>
        <w:jc w:val="both"/>
      </w:pPr>
      <w:r>
        <w:rPr>
          <w:highlight w:val="white"/>
        </w:rPr>
        <w:t xml:space="preserve">The co-regulation and co-expression patterns of genes driven by </w:t>
      </w:r>
      <w:r>
        <w:rPr>
          <w:i/>
          <w:highlight w:val="white"/>
        </w:rPr>
        <w:t>trans</w:t>
      </w:r>
      <w:r>
        <w:rPr>
          <w:highlight w:val="white"/>
        </w:rPr>
        <w:t xml:space="preserve">-eQTL have long been recognized and used for </w:t>
      </w:r>
      <w:r>
        <w:rPr>
          <w:i/>
          <w:highlight w:val="white"/>
        </w:rPr>
        <w:t>trans</w:t>
      </w:r>
      <w:r>
        <w:rPr>
          <w:highlight w:val="white"/>
        </w:rPr>
        <w:t xml:space="preserve">-eQTL detection. Some utilized the co-expression patterns of genes by </w:t>
      </w:r>
      <w:r>
        <w:rPr>
          <w:i/>
          <w:highlight w:val="white"/>
        </w:rPr>
        <w:t>trans</w:t>
      </w:r>
      <w:r>
        <w:rPr>
          <w:highlight w:val="white"/>
        </w:rPr>
        <w:t xml:space="preserve">-eQTLs to account for hidden variation in </w:t>
      </w:r>
      <w:r>
        <w:rPr>
          <w:i/>
          <w:highlight w:val="white"/>
        </w:rPr>
        <w:t>trans</w:t>
      </w:r>
      <w:r>
        <w:rPr>
          <w:highlight w:val="white"/>
        </w:rPr>
        <w:t xml:space="preserve">-eQTL analysis, and thus improves power while reducing false </w:t>
      </w:r>
      <w:r>
        <w:rPr>
          <w:i/>
          <w:highlight w:val="white"/>
        </w:rPr>
        <w:t>trans</w:t>
      </w:r>
      <w:r>
        <w:rPr>
          <w:highlight w:val="white"/>
        </w:rPr>
        <w:t>-eQTL discovery. For example, Joo et al.</w:t>
      </w:r>
      <w:hyperlink r:id="rId19">
        <w:r>
          <w:rPr>
            <w:highlight w:val="white"/>
            <w:vertAlign w:val="superscript"/>
          </w:rPr>
          <w:t>17</w:t>
        </w:r>
      </w:hyperlink>
      <w:r>
        <w:rPr>
          <w:highlight w:val="white"/>
        </w:rPr>
        <w:t xml:space="preserve"> used the global correlation structure of genes to capture and remove confounding effects from </w:t>
      </w:r>
      <w:r>
        <w:rPr>
          <w:i/>
          <w:highlight w:val="white"/>
        </w:rPr>
        <w:t>trans</w:t>
      </w:r>
      <w:r>
        <w:rPr>
          <w:highlight w:val="white"/>
        </w:rPr>
        <w:t xml:space="preserve"> associations. Similarly, Rakitsch and Stegle</w:t>
      </w:r>
      <w:hyperlink r:id="rId20">
        <w:r>
          <w:rPr>
            <w:highlight w:val="white"/>
            <w:vertAlign w:val="superscript"/>
          </w:rPr>
          <w:t>18</w:t>
        </w:r>
      </w:hyperlink>
      <w:r>
        <w:rPr>
          <w:highlight w:val="white"/>
        </w:rPr>
        <w:t xml:space="preserve"> utilized the local co-expression patterns of </w:t>
      </w:r>
      <w:r>
        <w:rPr>
          <w:i/>
          <w:highlight w:val="white"/>
        </w:rPr>
        <w:t>trans</w:t>
      </w:r>
      <w:r>
        <w:rPr>
          <w:highlight w:val="white"/>
        </w:rPr>
        <w:t xml:space="preserve">- target genes to infer the appropriate covariates to be included in </w:t>
      </w:r>
      <w:r>
        <w:rPr>
          <w:i/>
          <w:highlight w:val="white"/>
        </w:rPr>
        <w:t>trans</w:t>
      </w:r>
      <w:r>
        <w:rPr>
          <w:highlight w:val="white"/>
        </w:rPr>
        <w:t xml:space="preserve">-eQTL association testing. Others take advantage of the co-expression patterns to directly map </w:t>
      </w:r>
      <w:r>
        <w:rPr>
          <w:i/>
          <w:highlight w:val="white"/>
        </w:rPr>
        <w:t>trans</w:t>
      </w:r>
      <w:r>
        <w:rPr>
          <w:highlight w:val="white"/>
        </w:rPr>
        <w:t>-eQTLs of the co-expressed genes. For example, Zhou and Cai</w:t>
      </w:r>
      <w:hyperlink r:id="rId21">
        <w:r>
          <w:rPr>
            <w:highlight w:val="white"/>
            <w:vertAlign w:val="superscript"/>
          </w:rPr>
          <w:t>19</w:t>
        </w:r>
      </w:hyperlink>
      <w:r>
        <w:rPr>
          <w:highlight w:val="white"/>
        </w:rPr>
        <w:t xml:space="preserve"> jointly modeled the effects of cis regulatory variants and gene regulatory networks on expression levels of a target gene, therefore allowing the simultaneous identification of cis-eQTL and regulator</w:t>
      </w:r>
      <w:r>
        <w:t xml:space="preserve">y networks; the model then identifies individual </w:t>
      </w:r>
      <w:r>
        <w:rPr>
          <w:i/>
        </w:rPr>
        <w:t>trans</w:t>
      </w:r>
      <w:r>
        <w:t>-eGenes, which are mediated by the cis regulatory effects. Other studies</w:t>
      </w:r>
      <w:hyperlink r:id="rId22">
        <w:r>
          <w:rPr>
            <w:vertAlign w:val="superscript"/>
          </w:rPr>
          <w:t>20,21</w:t>
        </w:r>
      </w:hyperlink>
      <w:r>
        <w:t xml:space="preserve"> used tensor decomposition to decompose gene expressions of multiple tissues into a few latent components, which might capture gene co-expression, to identify </w:t>
      </w:r>
      <w:r>
        <w:rPr>
          <w:i/>
        </w:rPr>
        <w:t>trans</w:t>
      </w:r>
      <w:r>
        <w:t xml:space="preserve">-eQTLs; </w:t>
      </w:r>
      <w:r>
        <w:rPr>
          <w:i/>
        </w:rPr>
        <w:t>trans</w:t>
      </w:r>
      <w:r>
        <w:t>-eGenes can be inferred by factor loadings on the components. Kolberg et al.</w:t>
      </w:r>
      <w:hyperlink r:id="rId23">
        <w:r>
          <w:rPr>
            <w:vertAlign w:val="superscript"/>
          </w:rPr>
          <w:t>22</w:t>
        </w:r>
      </w:hyperlink>
      <w:r>
        <w:t xml:space="preserve"> identified 38 </w:t>
      </w:r>
      <w:r>
        <w:rPr>
          <w:i/>
        </w:rPr>
        <w:t>trans</w:t>
      </w:r>
      <w:r>
        <w:t xml:space="preserve">-eQTLs (10% FDR) associated co-expressed gene modules, by testing the association between SNPs and the primary principal components (PCs) of gene modules. Integrating co-regulation of genes by </w:t>
      </w:r>
      <w:r>
        <w:rPr>
          <w:i/>
        </w:rPr>
        <w:t>trans</w:t>
      </w:r>
      <w:r>
        <w:t>-eQTLs and GWAS findings also allows the identification of disease relevant genes. For instance, a recent study</w:t>
      </w:r>
      <w:hyperlink r:id="rId24">
        <w:r>
          <w:rPr>
            <w:vertAlign w:val="superscript"/>
          </w:rPr>
          <w:t>23</w:t>
        </w:r>
      </w:hyperlink>
      <w:r>
        <w:t xml:space="preserve"> aggregated multiple weak </w:t>
      </w:r>
      <w:r>
        <w:rPr>
          <w:i/>
        </w:rPr>
        <w:t>trans</w:t>
      </w:r>
      <w:r>
        <w:t xml:space="preserve">-eQTLs effects of disease associated variants to identify “core” like disease genes and processes. </w:t>
      </w:r>
    </w:p>
    <w:p w14:paraId="2521C99A" w14:textId="77777777" w:rsidR="00DE2CDE" w:rsidRDefault="00DE2CDE">
      <w:pPr>
        <w:pBdr>
          <w:top w:val="nil"/>
          <w:left w:val="nil"/>
          <w:bottom w:val="nil"/>
          <w:right w:val="nil"/>
          <w:between w:val="nil"/>
        </w:pBdr>
        <w:jc w:val="both"/>
        <w:rPr>
          <w:highlight w:val="white"/>
        </w:rPr>
      </w:pPr>
    </w:p>
    <w:p w14:paraId="1C3FE693" w14:textId="77777777" w:rsidR="00DE2CDE" w:rsidRDefault="00000000">
      <w:pPr>
        <w:pBdr>
          <w:top w:val="nil"/>
          <w:left w:val="nil"/>
          <w:bottom w:val="nil"/>
          <w:right w:val="nil"/>
          <w:between w:val="nil"/>
        </w:pBdr>
        <w:jc w:val="both"/>
        <w:rPr>
          <w:highlight w:val="white"/>
        </w:rPr>
      </w:pPr>
      <w:r>
        <w:rPr>
          <w:highlight w:val="white"/>
        </w:rPr>
        <w:t xml:space="preserve">Detecting </w:t>
      </w:r>
      <w:r>
        <w:rPr>
          <w:i/>
          <w:highlight w:val="white"/>
        </w:rPr>
        <w:t>trans</w:t>
      </w:r>
      <w:r>
        <w:rPr>
          <w:highlight w:val="white"/>
        </w:rPr>
        <w:t>-eQTLs of gene modules containing multiple co-regulated genes can potentially improve power by reducing multiple testing burdens, because the number of tested gene modules is much less than the number of genes. However, there are caveats. First, sequence similarity among distinct genomic regions can lead to severe false positive discovery issues in trans-eQTL mapping</w:t>
      </w:r>
      <w:hyperlink r:id="rId25">
        <w:r>
          <w:rPr>
            <w:vertAlign w:val="superscript"/>
          </w:rPr>
          <w:t>8</w:t>
        </w:r>
      </w:hyperlink>
      <w:r>
        <w:rPr>
          <w:highlight w:val="white"/>
        </w:rPr>
        <w:t>. This is especially problematic in mapping trans-eQTLs of co-expression gene modules because genes can be falsed clustered due to sequence similarities</w:t>
      </w:r>
      <w:hyperlink r:id="rId26">
        <w:r>
          <w:rPr>
            <w:vertAlign w:val="superscript"/>
          </w:rPr>
          <w:t>8</w:t>
        </w:r>
      </w:hyperlink>
      <w:r>
        <w:rPr>
          <w:highlight w:val="white"/>
        </w:rPr>
        <w:t>. For example, the top latent comp</w:t>
      </w:r>
      <w:r>
        <w:t xml:space="preserve">onents in </w:t>
      </w:r>
      <w:hyperlink r:id="rId27">
        <w:r>
          <w:t>Hore</w:t>
        </w:r>
      </w:hyperlink>
      <w:r>
        <w:t xml:space="preserve"> et al.</w:t>
      </w:r>
      <w:hyperlink r:id="rId28">
        <w:r>
          <w:rPr>
            <w:vertAlign w:val="superscript"/>
          </w:rPr>
          <w:t>20</w:t>
        </w:r>
      </w:hyperlink>
      <w:r>
        <w:t xml:space="preserve"> mostly repre</w:t>
      </w:r>
      <w:r>
        <w:rPr>
          <w:highlight w:val="white"/>
        </w:rPr>
        <w:t xml:space="preserve">sent genes sharing homologous sequences. Therefore, we need to be extra diligent about multi-mapping of sequencing reads when mapping </w:t>
      </w:r>
      <w:r>
        <w:rPr>
          <w:i/>
          <w:highlight w:val="white"/>
        </w:rPr>
        <w:t>trans</w:t>
      </w:r>
      <w:r>
        <w:rPr>
          <w:highlight w:val="white"/>
        </w:rPr>
        <w:t>-eQTLs of co-expression gene modules. Second, the naïve way of using a single component, such as the first gene expression PC, to represent the gene modules and use it as the response variable in association tests, can significantly reduce power. While the primary PC captures the largest amount of total variance in gene expression levels, it can be less powerful or even powerless in detecting significant associations than higher-order PCs, because the direction of the genetic effects on the genes may not align with the primary PC</w:t>
      </w:r>
      <w:hyperlink r:id="rId29">
        <w:r>
          <w:rPr>
            <w:vertAlign w:val="superscript"/>
          </w:rPr>
          <w:t>24,25</w:t>
        </w:r>
      </w:hyperlink>
      <w:r>
        <w:rPr>
          <w:highlight w:val="white"/>
        </w:rPr>
        <w:t>. It is also difficult to predict which higher-order PC has the highest power</w:t>
      </w:r>
      <w:hyperlink r:id="rId30">
        <w:r>
          <w:rPr>
            <w:vertAlign w:val="superscript"/>
          </w:rPr>
          <w:t>25</w:t>
        </w:r>
      </w:hyperlink>
      <w:r>
        <w:rPr>
          <w:highlight w:val="white"/>
        </w:rPr>
        <w:t xml:space="preserve">. </w:t>
      </w:r>
    </w:p>
    <w:p w14:paraId="5A7D4FC5" w14:textId="77777777" w:rsidR="00DE2CDE" w:rsidRDefault="00DE2CDE">
      <w:pPr>
        <w:pBdr>
          <w:top w:val="nil"/>
          <w:left w:val="nil"/>
          <w:bottom w:val="nil"/>
          <w:right w:val="nil"/>
          <w:between w:val="nil"/>
        </w:pBdr>
        <w:jc w:val="both"/>
        <w:rPr>
          <w:highlight w:val="white"/>
        </w:rPr>
      </w:pPr>
    </w:p>
    <w:p w14:paraId="146A2584" w14:textId="77777777" w:rsidR="00DE2CDE" w:rsidRDefault="00000000">
      <w:pPr>
        <w:pBdr>
          <w:top w:val="nil"/>
          <w:left w:val="nil"/>
          <w:bottom w:val="nil"/>
          <w:right w:val="nil"/>
          <w:between w:val="nil"/>
        </w:pBdr>
        <w:jc w:val="both"/>
        <w:rPr>
          <w:highlight w:val="white"/>
        </w:rPr>
      </w:pPr>
      <w:r>
        <w:rPr>
          <w:highlight w:val="white"/>
        </w:rPr>
        <w:t>To combat this, we propose trans-PCO, a flexible approach that uses the PCA-based om</w:t>
      </w:r>
      <w:r>
        <w:t>nibus test</w:t>
      </w:r>
      <w:hyperlink r:id="rId31">
        <w:r>
          <w:rPr>
            <w:vertAlign w:val="superscript"/>
          </w:rPr>
          <w:t>25</w:t>
        </w:r>
      </w:hyperlink>
      <w:r>
        <w:t xml:space="preserve"> (PCO) to </w:t>
      </w:r>
      <w:r>
        <w:rPr>
          <w:highlight w:val="white"/>
        </w:rPr>
        <w:t xml:space="preserve">combine multiple PCs and improve power to detect </w:t>
      </w:r>
      <w:r>
        <w:rPr>
          <w:i/>
          <w:highlight w:val="white"/>
        </w:rPr>
        <w:t>trans</w:t>
      </w:r>
      <w:r>
        <w:rPr>
          <w:highlight w:val="white"/>
        </w:rPr>
        <w:t xml:space="preserve">-eQTLs. Trans-PCO tackles both major challenges in </w:t>
      </w:r>
      <w:r>
        <w:rPr>
          <w:i/>
          <w:highlight w:val="white"/>
        </w:rPr>
        <w:t>trans</w:t>
      </w:r>
      <w:r>
        <w:rPr>
          <w:highlight w:val="white"/>
        </w:rPr>
        <w:t xml:space="preserve">-eQTL mapping. First, trans-PCO carefully filters sequencing reads and genes based on mappability across different regions of the genome to </w:t>
      </w:r>
      <w:r>
        <w:rPr>
          <w:highlight w:val="white"/>
        </w:rPr>
        <w:lastRenderedPageBreak/>
        <w:t>avoid false positives due to multi-mapping</w:t>
      </w:r>
      <w:hyperlink r:id="rId32">
        <w:r>
          <w:rPr>
            <w:vertAlign w:val="superscript"/>
          </w:rPr>
          <w:t>8,26,27</w:t>
        </w:r>
      </w:hyperlink>
      <w:r>
        <w:rPr>
          <w:highlight w:val="white"/>
        </w:rPr>
        <w:t>. Second, trans-PCO uses a novel multivariate association test</w:t>
      </w:r>
      <w:hyperlink r:id="rId33">
        <w:r>
          <w:rPr>
            <w:vertAlign w:val="superscript"/>
          </w:rPr>
          <w:t>25</w:t>
        </w:r>
      </w:hyperlink>
      <w:r>
        <w:rPr>
          <w:highlight w:val="white"/>
        </w:rPr>
        <w:t xml:space="preserve"> to detect genetic variants with effects on multiple genes in predefined sets and captures genetic effects on multiple PCs. By default, trans-PCO defines sets of genes based on co-expression gene modules as identified by WGCNA</w:t>
      </w:r>
      <w:hyperlink r:id="rId34">
        <w:r>
          <w:rPr>
            <w:vertAlign w:val="superscript"/>
          </w:rPr>
          <w:t>28</w:t>
        </w:r>
      </w:hyperlink>
      <w:r>
        <w:rPr>
          <w:highlight w:val="white"/>
        </w:rPr>
        <w:t>. It also accepts user-defined sets; for example, genes that belong to the same gene ontology</w:t>
      </w:r>
      <w:hyperlink r:id="rId35">
        <w:r>
          <w:rPr>
            <w:vertAlign w:val="superscript"/>
          </w:rPr>
          <w:t>29</w:t>
        </w:r>
      </w:hyperlink>
      <w:r>
        <w:rPr>
          <w:highlight w:val="white"/>
        </w:rPr>
        <w:t>, KEGG pathway</w:t>
      </w:r>
      <w:hyperlink r:id="rId36">
        <w:r>
          <w:rPr>
            <w:vertAlign w:val="superscript"/>
          </w:rPr>
          <w:t>30</w:t>
        </w:r>
      </w:hyperlink>
      <w:r>
        <w:rPr>
          <w:highlight w:val="white"/>
        </w:rPr>
        <w:t>, or protein complex</w:t>
      </w:r>
      <w:hyperlink r:id="rId37">
        <w:r>
          <w:rPr>
            <w:vertAlign w:val="superscript"/>
          </w:rPr>
          <w:t>31</w:t>
        </w:r>
      </w:hyperlink>
      <w:r>
        <w:rPr>
          <w:highlight w:val="white"/>
        </w:rPr>
        <w:t xml:space="preserve">. </w:t>
      </w:r>
    </w:p>
    <w:p w14:paraId="472DF07A" w14:textId="77777777" w:rsidR="00DE2CDE" w:rsidRDefault="00DE2CDE">
      <w:pPr>
        <w:jc w:val="both"/>
        <w:rPr>
          <w:highlight w:val="white"/>
        </w:rPr>
      </w:pPr>
    </w:p>
    <w:p w14:paraId="486F42A6" w14:textId="77777777" w:rsidR="00DE2CDE" w:rsidRDefault="00000000">
      <w:pPr>
        <w:jc w:val="both"/>
        <w:rPr>
          <w:highlight w:val="white"/>
        </w:rPr>
      </w:pPr>
      <w:r>
        <w:rPr>
          <w:highlight w:val="white"/>
        </w:rPr>
        <w:t>We applied trans-PCO to RNA-sequencing data from the Depression Genes and Networks study</w:t>
      </w:r>
      <w:hyperlink r:id="rId38">
        <w:r>
          <w:rPr>
            <w:vertAlign w:val="superscript"/>
          </w:rPr>
          <w:t>26</w:t>
        </w:r>
      </w:hyperlink>
      <w:r>
        <w:rPr>
          <w:highlight w:val="white"/>
        </w:rPr>
        <w:t xml:space="preserve"> (DGN, sample size </w:t>
      </w:r>
      <w:r>
        <w:rPr>
          <w:i/>
          <w:highlight w:val="white"/>
        </w:rPr>
        <w:t>N</w:t>
      </w:r>
      <w:r>
        <w:rPr>
          <w:highlight w:val="white"/>
        </w:rPr>
        <w:t xml:space="preserve"> = 913) and the summary-level statistics from the eQTLGen study</w:t>
      </w:r>
      <w:hyperlink r:id="rId39">
        <w:r>
          <w:rPr>
            <w:vertAlign w:val="superscript"/>
          </w:rPr>
          <w:t>10</w:t>
        </w:r>
      </w:hyperlink>
      <w:r>
        <w:rPr>
          <w:highlight w:val="white"/>
        </w:rPr>
        <w:t xml:space="preserve"> </w:t>
      </w:r>
      <w:r>
        <w:t xml:space="preserve">(sample size </w:t>
      </w:r>
      <w:r>
        <w:rPr>
          <w:i/>
        </w:rPr>
        <w:t>N</w:t>
      </w:r>
      <w:r>
        <w:t xml:space="preserve"> = 31,684) to </w:t>
      </w:r>
      <w:r>
        <w:rPr>
          <w:highlight w:val="white"/>
        </w:rPr>
        <w:t xml:space="preserve">identify </w:t>
      </w:r>
      <w:r>
        <w:rPr>
          <w:i/>
          <w:highlight w:val="white"/>
        </w:rPr>
        <w:t>trans</w:t>
      </w:r>
      <w:r>
        <w:rPr>
          <w:highlight w:val="white"/>
        </w:rPr>
        <w:t>-eQTLs associated with co-expression gene modules and well-defined biological processes in whole blood. In total, trans-PCO identified 14,985 high</w:t>
      </w:r>
      <w:r>
        <w:t xml:space="preserve">-quality </w:t>
      </w:r>
      <w:r>
        <w:rPr>
          <w:i/>
        </w:rPr>
        <w:t>trans</w:t>
      </w:r>
      <w:r>
        <w:t>-eSNPs–module pairs associated with 197 co-expression gene modules and biological processes. We also performed colocalization analysis</w:t>
      </w:r>
      <w:hyperlink r:id="rId40">
        <w:r>
          <w:rPr>
            <w:vertAlign w:val="superscript"/>
          </w:rPr>
          <w:t>32</w:t>
        </w:r>
      </w:hyperlink>
      <w:r>
        <w:t xml:space="preserve"> of GWAS loci of 46 complex traits and </w:t>
      </w:r>
      <w:r>
        <w:rPr>
          <w:i/>
        </w:rPr>
        <w:t>trans</w:t>
      </w:r>
      <w:r>
        <w:t xml:space="preserve">-eQTLs, in order to explore how trait-associated variants impact gene regulatory networks and pathways in </w:t>
      </w:r>
      <w:r>
        <w:rPr>
          <w:i/>
        </w:rPr>
        <w:t>trans</w:t>
      </w:r>
      <w:r>
        <w:t xml:space="preserve">. All </w:t>
      </w:r>
      <w:r>
        <w:rPr>
          <w:i/>
        </w:rPr>
        <w:t>t</w:t>
      </w:r>
      <w:r>
        <w:rPr>
          <w:i/>
          <w:highlight w:val="white"/>
        </w:rPr>
        <w:t>rans</w:t>
      </w:r>
      <w:r>
        <w:rPr>
          <w:highlight w:val="white"/>
        </w:rPr>
        <w:t>-eQTLs that are associated with gene co-expression networks and biological pathways can be found in</w:t>
      </w:r>
      <w:r>
        <w:t xml:space="preserve"> </w:t>
      </w:r>
      <w:hyperlink r:id="rId41">
        <w:r>
          <w:rPr>
            <w:color w:val="1155CC"/>
            <w:u w:val="single"/>
          </w:rPr>
          <w:t>www.networks-liulab.org/transPCO</w:t>
        </w:r>
      </w:hyperlink>
      <w:r>
        <w:rPr>
          <w:highlight w:val="white"/>
        </w:rPr>
        <w:t xml:space="preserve">. </w:t>
      </w:r>
    </w:p>
    <w:p w14:paraId="6F5CBB56" w14:textId="77777777" w:rsidR="00DE2CDE" w:rsidRDefault="00DE2CDE">
      <w:pPr>
        <w:jc w:val="both"/>
        <w:rPr>
          <w:highlight w:val="white"/>
        </w:rPr>
      </w:pPr>
    </w:p>
    <w:p w14:paraId="538BB4B2" w14:textId="77777777" w:rsidR="00DE2CDE" w:rsidRDefault="00000000">
      <w:pPr>
        <w:jc w:val="both"/>
      </w:pPr>
      <w:r>
        <w:br w:type="page"/>
      </w:r>
    </w:p>
    <w:p w14:paraId="31A00494" w14:textId="77777777" w:rsidR="00DE2CDE" w:rsidRDefault="00000000">
      <w:pPr>
        <w:pStyle w:val="Heading1"/>
        <w:jc w:val="both"/>
      </w:pPr>
      <w:bookmarkStart w:id="3" w:name="_tyjcwt" w:colFirst="0" w:colLast="0"/>
      <w:bookmarkEnd w:id="3"/>
      <w:r>
        <w:lastRenderedPageBreak/>
        <w:t>Results</w:t>
      </w:r>
    </w:p>
    <w:p w14:paraId="62DC7B87" w14:textId="77777777" w:rsidR="00DE2CDE" w:rsidRDefault="00000000">
      <w:pPr>
        <w:pStyle w:val="Heading2"/>
        <w:jc w:val="both"/>
      </w:pPr>
      <w:bookmarkStart w:id="4" w:name="_3dy6vkm" w:colFirst="0" w:colLast="0"/>
      <w:bookmarkEnd w:id="4"/>
      <w:r>
        <w:t>Overview of the method</w:t>
      </w:r>
    </w:p>
    <w:p w14:paraId="3F7BDB1C" w14:textId="77777777" w:rsidR="00DE2CDE" w:rsidRDefault="00000000">
      <w:pPr>
        <w:jc w:val="both"/>
      </w:pPr>
      <w:r>
        <w:rPr>
          <w:highlight w:val="white"/>
        </w:rPr>
        <w:t xml:space="preserve">We developed the trans-PCO pipeline to detect </w:t>
      </w:r>
      <w:r>
        <w:rPr>
          <w:i/>
          <w:highlight w:val="white"/>
        </w:rPr>
        <w:t>trans</w:t>
      </w:r>
      <w:r>
        <w:rPr>
          <w:highlight w:val="white"/>
        </w:rPr>
        <w:t>-eQTLs that are associated with the expression levels of a group of genes (gene module) by using a PC-based multivariate association test</w:t>
      </w:r>
      <w:hyperlink r:id="rId42">
        <w:r>
          <w:rPr>
            <w:vertAlign w:val="superscript"/>
          </w:rPr>
          <w:t>25</w:t>
        </w:r>
      </w:hyperlink>
      <w:r>
        <w:rPr>
          <w:highlight w:val="white"/>
        </w:rPr>
        <w:t xml:space="preserve"> that combines multiple gene expression PCs. The trans</w:t>
      </w:r>
      <w:r>
        <w:rPr>
          <w:i/>
          <w:highlight w:val="white"/>
        </w:rPr>
        <w:t>-</w:t>
      </w:r>
      <w:r>
        <w:rPr>
          <w:highlight w:val="white"/>
        </w:rPr>
        <w:t xml:space="preserve">PCO method consists of three main steps </w:t>
      </w:r>
      <w:r>
        <w:t xml:space="preserve">(Figure 1). </w:t>
      </w:r>
    </w:p>
    <w:p w14:paraId="0D919EB0" w14:textId="77777777" w:rsidR="00DE2CDE" w:rsidRDefault="00DE2CDE">
      <w:pPr>
        <w:jc w:val="both"/>
        <w:rPr>
          <w:highlight w:val="white"/>
        </w:rPr>
      </w:pPr>
    </w:p>
    <w:p w14:paraId="26816D6D" w14:textId="77777777" w:rsidR="00DE2CDE" w:rsidRDefault="00000000">
      <w:pPr>
        <w:jc w:val="both"/>
        <w:rPr>
          <w:highlight w:val="white"/>
        </w:rPr>
      </w:pPr>
      <w:r>
        <w:rPr>
          <w:highlight w:val="white"/>
        </w:rPr>
        <w:t xml:space="preserve">First, trans-PCO pre-processes RNA-seq data to reduce false positive </w:t>
      </w:r>
      <w:r>
        <w:rPr>
          <w:i/>
          <w:highlight w:val="white"/>
        </w:rPr>
        <w:t>trans</w:t>
      </w:r>
      <w:r>
        <w:rPr>
          <w:highlight w:val="white"/>
        </w:rPr>
        <w:t xml:space="preserve">-eQTL associations due to read multimapping errors. Specifically, trans-PCO removes all sequencing reads mapped to low mappability regions of the genome (mappability score &lt;1, Methods) before profiling gene expression levels. These procedures substantially reduce the occurrence of false positive </w:t>
      </w:r>
      <w:r>
        <w:rPr>
          <w:i/>
          <w:highlight w:val="white"/>
        </w:rPr>
        <w:t>trans</w:t>
      </w:r>
      <w:r>
        <w:rPr>
          <w:highlight w:val="white"/>
        </w:rPr>
        <w:t>-eQTLs due to sequencing alignment errors</w:t>
      </w:r>
      <w:hyperlink r:id="rId43">
        <w:r>
          <w:rPr>
            <w:vertAlign w:val="superscript"/>
          </w:rPr>
          <w:t>8,27</w:t>
        </w:r>
      </w:hyperlink>
      <w:r>
        <w:rPr>
          <w:highlight w:val="white"/>
        </w:rPr>
        <w:t>. When only summary-level data are available (e.g., eQTLGen dataset</w:t>
      </w:r>
      <w:hyperlink r:id="rId44">
        <w:r>
          <w:rPr>
            <w:vertAlign w:val="superscript"/>
          </w:rPr>
          <w:t>10</w:t>
        </w:r>
      </w:hyperlink>
      <w:r>
        <w:rPr>
          <w:highlight w:val="white"/>
        </w:rPr>
        <w:t xml:space="preserve">), trans-PCO dynamically excludes from the module any genes that are cross-mappable to genes within </w:t>
      </w:r>
      <w:r>
        <w:t xml:space="preserve">100 kb </w:t>
      </w:r>
      <w:r>
        <w:rPr>
          <w:highlight w:val="white"/>
        </w:rPr>
        <w:t xml:space="preserve">of the tested SNP. </w:t>
      </w:r>
    </w:p>
    <w:p w14:paraId="4E4FBDDF" w14:textId="77777777" w:rsidR="00DE2CDE" w:rsidRDefault="00DE2CDE">
      <w:pPr>
        <w:jc w:val="both"/>
        <w:rPr>
          <w:highlight w:val="white"/>
        </w:rPr>
      </w:pPr>
    </w:p>
    <w:p w14:paraId="6433F498" w14:textId="77777777" w:rsidR="00DE2CDE" w:rsidRDefault="00000000">
      <w:pPr>
        <w:jc w:val="both"/>
      </w:pPr>
      <w:r>
        <w:rPr>
          <w:highlight w:val="white"/>
        </w:rPr>
        <w:t xml:space="preserve">Second, trans-PCO groups genes into clusters, which alleviates the burden of multiple testing by reducing the number of statistical tests and thus increases the statistical power. By default, trans-PCO determines the gene groupings by </w:t>
      </w:r>
      <w:r>
        <w:t>using WGCNA</w:t>
      </w:r>
      <w:hyperlink r:id="rId45">
        <w:r>
          <w:rPr>
            <w:vertAlign w:val="superscript"/>
          </w:rPr>
          <w:t>28</w:t>
        </w:r>
      </w:hyperlink>
      <w:r>
        <w:t xml:space="preserve"> to identify co-expression modules from gene expression levels (see Methods). We remove covariates and confounders, such as batch effects, gene expression PCs, and cell type proportions (e.g., DGN dataset</w:t>
      </w:r>
      <w:hyperlink r:id="rId46">
        <w:r>
          <w:rPr>
            <w:vertAlign w:val="superscript"/>
          </w:rPr>
          <w:t>26</w:t>
        </w:r>
      </w:hyperlink>
      <w:r>
        <w:t xml:space="preserve">), from gene expression levels before grouping gene modules. </w:t>
      </w:r>
      <w:r>
        <w:rPr>
          <w:highlight w:val="white"/>
        </w:rPr>
        <w:t xml:space="preserve">This step is necessary to ensure that the gene modules are not primarily driven by confounding factors. </w:t>
      </w:r>
      <w:r>
        <w:t>Trans-PCO also allows customization of the gene groups or sets, i.e., genes in the same pathway or protein-protein interaction network</w:t>
      </w:r>
      <w:hyperlink r:id="rId47">
        <w:r>
          <w:rPr>
            <w:vertAlign w:val="superscript"/>
          </w:rPr>
          <w:t>29–31</w:t>
        </w:r>
      </w:hyperlink>
      <w:r>
        <w:t xml:space="preserve"> can be grouped into user-defined gene modules. </w:t>
      </w:r>
    </w:p>
    <w:p w14:paraId="383B4A3B" w14:textId="77777777" w:rsidR="00DE2CDE" w:rsidRDefault="00DE2CDE">
      <w:pPr>
        <w:jc w:val="both"/>
      </w:pPr>
    </w:p>
    <w:p w14:paraId="559B7932" w14:textId="77777777" w:rsidR="00DE2CDE" w:rsidRDefault="00000000">
      <w:pPr>
        <w:jc w:val="both"/>
      </w:pPr>
      <w:r>
        <w:t xml:space="preserve">Lastly, </w:t>
      </w:r>
      <w:r>
        <w:rPr>
          <w:highlight w:val="white"/>
        </w:rPr>
        <w:t xml:space="preserve">trans-PCO tests for association between each SNP and the expression levels of the genes in each gene module by adapting the </w:t>
      </w:r>
      <w:r>
        <w:t>PCO method, which combi</w:t>
      </w:r>
      <w:r>
        <w:rPr>
          <w:highlight w:val="white"/>
        </w:rPr>
        <w:t xml:space="preserve">nes multiple gene expression PCs </w:t>
      </w:r>
      <w:r>
        <w:t>by usi</w:t>
      </w:r>
      <w:r>
        <w:rPr>
          <w:highlight w:val="white"/>
        </w:rPr>
        <w:t xml:space="preserve">ng six </w:t>
      </w:r>
      <w:r>
        <w:t xml:space="preserve">PC-based </w:t>
      </w:r>
      <w:r>
        <w:rPr>
          <w:highlight w:val="white"/>
        </w:rPr>
        <w:t xml:space="preserve">statistical tests: </w:t>
      </w:r>
      <w:r>
        <w:t>PCMinP, PCFisher, PCLC, WI, Wald and VC (see Methods for details). Each PC-based test combines multiple PCs uniquely, which allow signals under various genetic architectures to be captured. PCO evaluates the six PC-based tests and takes the minimum p-value as the final test statistic (see Methods)</w:t>
      </w:r>
      <w:hyperlink r:id="rId48">
        <w:r>
          <w:rPr>
            <w:vertAlign w:val="superscript"/>
          </w:rPr>
          <w:t>25</w:t>
        </w:r>
      </w:hyperlink>
      <w:r>
        <w:t xml:space="preserve">. Only PCs with eigenvalues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k</m:t>
            </m:r>
          </m:sub>
        </m:sSub>
      </m:oMath>
      <w:r>
        <w:t xml:space="preserve">&gt; 0.1 are used in trans-PCO (See Supplementary Note). </w:t>
      </w:r>
      <w:r>
        <w:rPr>
          <w:highlight w:val="white"/>
        </w:rPr>
        <w:t xml:space="preserve">To avoid identifying associations driven by </w:t>
      </w:r>
      <w:r>
        <w:rPr>
          <w:i/>
          <w:highlight w:val="white"/>
        </w:rPr>
        <w:t>cis</w:t>
      </w:r>
      <w:r>
        <w:rPr>
          <w:highlight w:val="white"/>
        </w:rPr>
        <w:t>-effects, we excluded from the module all genes on the same chromosome as the test SNP. To correct for multiple testing, we performed 10 permutations to establish an empirical null distribution of p-values</w:t>
      </w:r>
      <w:r>
        <w:t xml:space="preserve"> (See Supplementary Note). </w:t>
      </w:r>
    </w:p>
    <w:p w14:paraId="4885631B" w14:textId="77777777" w:rsidR="00DE2CDE" w:rsidRDefault="00DE2CDE">
      <w:pPr>
        <w:rPr>
          <w:highlight w:val="white"/>
        </w:rPr>
      </w:pPr>
    </w:p>
    <w:p w14:paraId="4037EAE2" w14:textId="77777777" w:rsidR="00DE2CDE" w:rsidRDefault="00DE2CDE">
      <w:pPr>
        <w:rPr>
          <w:highlight w:val="white"/>
        </w:rPr>
      </w:pPr>
    </w:p>
    <w:p w14:paraId="3C3AC568" w14:textId="77777777" w:rsidR="00DE2CDE" w:rsidRDefault="00000000">
      <w:pPr>
        <w:jc w:val="center"/>
        <w:rPr>
          <w:highlight w:val="white"/>
        </w:rPr>
      </w:pPr>
      <w:r>
        <w:rPr>
          <w:noProof/>
          <w:highlight w:val="white"/>
        </w:rPr>
        <w:lastRenderedPageBreak/>
        <w:drawing>
          <wp:inline distT="114300" distB="114300" distL="114300" distR="114300" wp14:anchorId="58842F53" wp14:editId="62185E7D">
            <wp:extent cx="5943600" cy="1892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43600" cy="1892300"/>
                    </a:xfrm>
                    <a:prstGeom prst="rect">
                      <a:avLst/>
                    </a:prstGeom>
                    <a:ln/>
                  </pic:spPr>
                </pic:pic>
              </a:graphicData>
            </a:graphic>
          </wp:inline>
        </w:drawing>
      </w:r>
    </w:p>
    <w:p w14:paraId="35B3F070" w14:textId="77777777" w:rsidR="00DE2CDE" w:rsidRDefault="00000000">
      <w:pPr>
        <w:jc w:val="both"/>
      </w:pPr>
      <w:r>
        <w:rPr>
          <w:b/>
          <w:highlight w:val="white"/>
        </w:rPr>
        <w:t xml:space="preserve">Figure 1. </w:t>
      </w:r>
      <w:r>
        <w:rPr>
          <w:b/>
        </w:rPr>
        <w:t xml:space="preserve">Three main steps in </w:t>
      </w:r>
      <w:r>
        <w:rPr>
          <w:b/>
          <w:highlight w:val="white"/>
        </w:rPr>
        <w:t>trans-PCO</w:t>
      </w:r>
      <w:r>
        <w:rPr>
          <w:b/>
        </w:rPr>
        <w:t xml:space="preserve"> pipeline</w:t>
      </w:r>
      <w:r>
        <w:rPr>
          <w:b/>
          <w:highlight w:val="white"/>
        </w:rPr>
        <w:t>.</w:t>
      </w:r>
      <w:r>
        <w:rPr>
          <w:b/>
        </w:rPr>
        <w:t xml:space="preserve"> </w:t>
      </w:r>
      <w:r>
        <w:rPr>
          <w:highlight w:val="white"/>
        </w:rPr>
        <w:t xml:space="preserve">The first step of trans-PCO pre-processes RNA-seq data to reduce false positive </w:t>
      </w:r>
      <w:r>
        <w:rPr>
          <w:i/>
          <w:highlight w:val="white"/>
        </w:rPr>
        <w:t>trans</w:t>
      </w:r>
      <w:r>
        <w:rPr>
          <w:highlight w:val="white"/>
        </w:rPr>
        <w:t xml:space="preserve">-eQTL associations due to read alignment errors. The second step involves grouping genes into gene sets, such as co-expression modules or biological pathways. The last step tests for </w:t>
      </w:r>
      <w:r>
        <w:rPr>
          <w:i/>
          <w:highlight w:val="white"/>
        </w:rPr>
        <w:t>trans</w:t>
      </w:r>
      <w:r>
        <w:rPr>
          <w:highlight w:val="white"/>
        </w:rPr>
        <w:t>-eQTLs of each gene set by a PC-based multivariate association test</w:t>
      </w:r>
      <w:r>
        <w:rPr>
          <w:vertAlign w:val="superscript"/>
        </w:rPr>
        <w:t>17</w:t>
      </w:r>
      <w:r>
        <w:rPr>
          <w:highlight w:val="white"/>
        </w:rPr>
        <w:t xml:space="preserve">. </w:t>
      </w:r>
    </w:p>
    <w:p w14:paraId="531BC15E" w14:textId="77777777" w:rsidR="00DE2CDE" w:rsidRDefault="00000000">
      <w:pPr>
        <w:pStyle w:val="Heading2"/>
        <w:rPr>
          <w:highlight w:val="white"/>
        </w:rPr>
      </w:pPr>
      <w:r>
        <w:t>Trans-PCO outperforms existing methods</w:t>
      </w:r>
      <w:r>
        <w:rPr>
          <w:highlight w:val="white"/>
        </w:rPr>
        <w:t xml:space="preserve"> in simulations</w:t>
      </w:r>
    </w:p>
    <w:p w14:paraId="6AD61454" w14:textId="77777777" w:rsidR="00DE2CDE" w:rsidRDefault="00000000">
      <w:pPr>
        <w:jc w:val="both"/>
        <w:rPr>
          <w:highlight w:val="white"/>
        </w:rPr>
      </w:pPr>
      <w:r>
        <w:rPr>
          <w:highlight w:val="white"/>
        </w:rPr>
        <w:t xml:space="preserve">We performed simulations to evaluate the power of trans-PCO in detecting </w:t>
      </w:r>
      <w:r>
        <w:rPr>
          <w:i/>
          <w:highlight w:val="white"/>
        </w:rPr>
        <w:t>trans</w:t>
      </w:r>
      <w:r>
        <w:rPr>
          <w:highlight w:val="white"/>
        </w:rPr>
        <w:t xml:space="preserve">-eQTLs associated with multiple genes. We compared the power to (i) the standard univariate test (“MinP”), and (ii) the primary PC-based test (“PC1”) </w:t>
      </w:r>
      <w:r>
        <w:t xml:space="preserve">(see Methods). </w:t>
      </w:r>
      <w:r>
        <w:rPr>
          <w:highlight w:val="white"/>
        </w:rPr>
        <w:t>We used a co-expression gene module consisting of 101 genes from the DGN datas</w:t>
      </w:r>
      <w:r>
        <w:t xml:space="preserve">et (module 29).  </w:t>
      </w:r>
      <w:r>
        <w:rPr>
          <w:highlight w:val="white"/>
        </w:rPr>
        <w:t xml:space="preserve">In null simulations, we simulated the z-scores between a SNP and </w:t>
      </w:r>
      <m:oMath>
        <m:r>
          <w:rPr>
            <w:rFonts w:ascii="Cambria Math" w:eastAsia="Cambria Math" w:hAnsi="Cambria Math" w:cs="Cambria Math"/>
            <w:highlight w:val="white"/>
          </w:rPr>
          <m:t>K=101</m:t>
        </m:r>
      </m:oMath>
      <w:r>
        <w:rPr>
          <w:highlight w:val="white"/>
        </w:rPr>
        <w:t xml:space="preserve"> genes in a gene module following the null distribution, </w:t>
      </w: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N</m:t>
            </m:r>
          </m:e>
          <m:sub>
            <m:r>
              <w:rPr>
                <w:rFonts w:ascii="Cambria Math" w:eastAsia="Cambria Math" w:hAnsi="Cambria Math" w:cs="Cambria Math"/>
                <w:highlight w:val="white"/>
              </w:rPr>
              <m:t>K</m:t>
            </m:r>
          </m:sub>
        </m:sSub>
        <m:r>
          <w:rPr>
            <w:rFonts w:ascii="Cambria Math" w:eastAsia="Cambria Math" w:hAnsi="Cambria Math" w:cs="Cambria Math"/>
            <w:highlight w:val="white"/>
          </w:rPr>
          <m:t xml:space="preserve">(0, </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Σ</m:t>
            </m:r>
          </m:e>
          <m:sub>
            <m:r>
              <w:rPr>
                <w:rFonts w:ascii="Cambria Math" w:eastAsia="Cambria Math" w:hAnsi="Cambria Math" w:cs="Cambria Math"/>
                <w:highlight w:val="white"/>
              </w:rPr>
              <m:t>K×K</m:t>
            </m:r>
          </m:sub>
        </m:sSub>
        <m:r>
          <w:rPr>
            <w:rFonts w:ascii="Cambria Math" w:eastAsia="Cambria Math" w:hAnsi="Cambria Math" w:cs="Cambria Math"/>
            <w:highlight w:val="white"/>
          </w:rPr>
          <m:t>)</m:t>
        </m:r>
      </m:oMath>
      <w:r>
        <w:rPr>
          <w:highlight w:val="white"/>
        </w:rPr>
        <w:t xml:space="preserve">, where </w:t>
      </w:r>
      <m:oMath>
        <m:sSub>
          <m:sSubPr>
            <m:ctrlPr>
              <w:rPr>
                <w:rFonts w:ascii="Cambria Math" w:eastAsia="Cambria Math" w:hAnsi="Cambria Math" w:cs="Cambria Math"/>
                <w:highlight w:val="white"/>
              </w:rPr>
            </m:ctrlPr>
          </m:sSubPr>
          <m:e>
            <m:r>
              <w:rPr>
                <w:rFonts w:ascii="Cambria Math" w:hAnsi="Cambria Math"/>
              </w:rPr>
              <m:t>Σ</m:t>
            </m:r>
          </m:e>
          <m:sub>
            <m:r>
              <w:rPr>
                <w:rFonts w:ascii="Cambria Math" w:eastAsia="Cambria Math" w:hAnsi="Cambria Math" w:cs="Cambria Math"/>
                <w:highlight w:val="white"/>
              </w:rPr>
              <m:t>K×K</m:t>
            </m:r>
          </m:sub>
        </m:sSub>
      </m:oMath>
      <w:r>
        <w:rPr>
          <w:highlight w:val="white"/>
        </w:rPr>
        <w:t xml:space="preserve">is the residualized expression correlation matrix. </w:t>
      </w:r>
      <w:r>
        <w:t xml:space="preserve">In </w:t>
      </w:r>
      <w:r>
        <w:rPr>
          <w:highlight w:val="white"/>
        </w:rPr>
        <w:t xml:space="preserve">power simulations, we generated z-scores from the distribution </w:t>
      </w: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N</m:t>
            </m:r>
          </m:e>
          <m:sub>
            <m:r>
              <w:rPr>
                <w:rFonts w:ascii="Cambria Math" w:eastAsia="Cambria Math" w:hAnsi="Cambria Math" w:cs="Cambria Math"/>
                <w:highlight w:val="white"/>
              </w:rPr>
              <m:t>K</m:t>
            </m:r>
          </m:sub>
        </m:sSub>
        <m:r>
          <w:rPr>
            <w:rFonts w:ascii="Cambria Math" w:eastAsia="Cambria Math" w:hAnsi="Cambria Math" w:cs="Cambria Math"/>
            <w:highlight w:val="white"/>
          </w:rPr>
          <m:t>(</m:t>
        </m:r>
        <m:rad>
          <m:radPr>
            <m:degHide m:val="1"/>
            <m:ctrlPr>
              <w:rPr>
                <w:rFonts w:ascii="Cambria Math" w:eastAsia="Cambria Math" w:hAnsi="Cambria Math" w:cs="Cambria Math"/>
                <w:highlight w:val="white"/>
              </w:rPr>
            </m:ctrlPr>
          </m:radPr>
          <m:deg/>
          <m:e>
            <m:r>
              <w:rPr>
                <w:rFonts w:ascii="Cambria Math" w:eastAsia="Cambria Math" w:hAnsi="Cambria Math" w:cs="Cambria Math"/>
                <w:highlight w:val="white"/>
              </w:rPr>
              <m:t>n</m:t>
            </m:r>
          </m:e>
        </m:rad>
        <m:r>
          <w:rPr>
            <w:rFonts w:ascii="Cambria Math" w:eastAsia="Cambria Math" w:hAnsi="Cambria Math" w:cs="Cambria Math"/>
            <w:highlight w:val="white"/>
          </w:rPr>
          <m:t xml:space="preserve">β, </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Σ</m:t>
            </m:r>
          </m:e>
          <m:sub>
            <m:r>
              <w:rPr>
                <w:rFonts w:ascii="Cambria Math" w:eastAsia="Cambria Math" w:hAnsi="Cambria Math" w:cs="Cambria Math"/>
                <w:highlight w:val="white"/>
              </w:rPr>
              <m:t>K×K</m:t>
            </m:r>
          </m:sub>
        </m:sSub>
        <m:r>
          <w:rPr>
            <w:rFonts w:ascii="Cambria Math" w:eastAsia="Cambria Math" w:hAnsi="Cambria Math" w:cs="Cambria Math"/>
            <w:highlight w:val="white"/>
          </w:rPr>
          <m:t>)</m:t>
        </m:r>
      </m:oMath>
      <w:r>
        <w:rPr>
          <w:highlight w:val="white"/>
        </w:rPr>
        <w:t xml:space="preserve">, where </w:t>
      </w:r>
      <m:oMath>
        <m:r>
          <w:rPr>
            <w:rFonts w:ascii="Cambria Math" w:eastAsia="Cambria Math" w:hAnsi="Cambria Math" w:cs="Cambria Math"/>
            <w:highlight w:val="white"/>
          </w:rPr>
          <m:t>n</m:t>
        </m:r>
      </m:oMath>
      <w:r>
        <w:rPr>
          <w:highlight w:val="white"/>
        </w:rPr>
        <w:t xml:space="preserve"> is sample size (</w:t>
      </w:r>
      <w:r>
        <w:rPr>
          <w:i/>
          <w:highlight w:val="white"/>
        </w:rPr>
        <w:t>N</w:t>
      </w:r>
      <w:r>
        <w:rPr>
          <w:highlight w:val="white"/>
        </w:rPr>
        <w:t xml:space="preserve"> = 200,400,600, and 800) and </w:t>
      </w:r>
      <m:oMath>
        <m:r>
          <w:rPr>
            <w:rFonts w:ascii="Cambria Math" w:hAnsi="Cambria Math"/>
          </w:rPr>
          <m:t>β</m:t>
        </m:r>
      </m:oMath>
      <w:r>
        <w:rPr>
          <w:highlight w:val="white"/>
        </w:rPr>
        <w:t xml:space="preserve"> is a vector representing the true effect sizes of the SNP on </w:t>
      </w:r>
      <m:oMath>
        <m:r>
          <w:rPr>
            <w:rFonts w:ascii="Cambria Math" w:eastAsia="Cambria Math" w:hAnsi="Cambria Math" w:cs="Cambria Math"/>
            <w:highlight w:val="white"/>
          </w:rPr>
          <m:t>K</m:t>
        </m:r>
      </m:oMath>
      <w:r>
        <w:rPr>
          <w:highlight w:val="white"/>
        </w:rPr>
        <w:t xml:space="preserve"> genes. Among </w:t>
      </w:r>
      <m:oMath>
        <m:r>
          <w:rPr>
            <w:rFonts w:ascii="Cambria Math" w:eastAsia="Cambria Math" w:hAnsi="Cambria Math" w:cs="Cambria Math"/>
            <w:highlight w:val="white"/>
          </w:rPr>
          <m:t>K</m:t>
        </m:r>
      </m:oMath>
      <w:r>
        <w:rPr>
          <w:highlight w:val="white"/>
        </w:rPr>
        <w:t xml:space="preserve"> genes, a proportion </w:t>
      </w:r>
      <m:oMath>
        <m:r>
          <w:rPr>
            <w:rFonts w:ascii="Cambria Math" w:hAnsi="Cambria Math"/>
          </w:rPr>
          <m:t>γ</m:t>
        </m:r>
      </m:oMath>
      <w:r>
        <w:rPr>
          <w:highlight w:val="white"/>
        </w:rPr>
        <w:t xml:space="preserve"> of them are causal with non-zero effects. Therefore, we generated </w:t>
      </w:r>
      <m:oMath>
        <m:sSub>
          <m:sSubPr>
            <m:ctrlPr>
              <w:rPr>
                <w:rFonts w:ascii="Cambria Math" w:eastAsia="Cambria Math" w:hAnsi="Cambria Math" w:cs="Cambria Math"/>
                <w:highlight w:val="white"/>
              </w:rPr>
            </m:ctrlPr>
          </m:sSubPr>
          <m:e>
            <m:r>
              <w:rPr>
                <w:rFonts w:ascii="Cambria Math" w:hAnsi="Cambria Math"/>
              </w:rPr>
              <m:t>β</m:t>
            </m:r>
          </m:e>
          <m:sub>
            <m:r>
              <w:rPr>
                <w:rFonts w:ascii="Cambria Math" w:eastAsia="Cambria Math" w:hAnsi="Cambria Math" w:cs="Cambria Math"/>
                <w:highlight w:val="white"/>
              </w:rPr>
              <m:t>k</m:t>
            </m:r>
          </m:sub>
        </m:sSub>
      </m:oMath>
      <w:r>
        <w:rPr>
          <w:highlight w:val="white"/>
        </w:rPr>
        <w:t xml:space="preserve"> from a point normal distribution, where  </w:t>
      </w:r>
      <m:oMath>
        <m:sSub>
          <m:sSubPr>
            <m:ctrlPr>
              <w:rPr>
                <w:rFonts w:ascii="Cambria Math" w:eastAsia="Cambria Math" w:hAnsi="Cambria Math" w:cs="Cambria Math"/>
                <w:highlight w:val="white"/>
              </w:rPr>
            </m:ctrlPr>
          </m:sSubPr>
          <m:e>
            <m:r>
              <w:rPr>
                <w:rFonts w:ascii="Cambria Math" w:hAnsi="Cambria Math"/>
              </w:rPr>
              <m:t>β</m:t>
            </m:r>
          </m:e>
          <m:sub>
            <m:r>
              <w:rPr>
                <w:rFonts w:ascii="Cambria Math" w:eastAsia="Cambria Math" w:hAnsi="Cambria Math" w:cs="Cambria Math"/>
                <w:highlight w:val="white"/>
              </w:rPr>
              <m:t>k</m:t>
            </m:r>
          </m:sub>
        </m:sSub>
        <m:r>
          <w:rPr>
            <w:rFonts w:ascii="Cambria Math" w:eastAsia="Cambria Math" w:hAnsi="Cambria Math" w:cs="Cambria Math"/>
            <w:highlight w:val="white"/>
          </w:rPr>
          <m:t xml:space="preserve">~N(0, </m:t>
        </m:r>
        <m:sSub>
          <m:sSubPr>
            <m:ctrlPr>
              <w:rPr>
                <w:rFonts w:ascii="Cambria Math" w:eastAsia="Cambria Math" w:hAnsi="Cambria Math" w:cs="Cambria Math"/>
                <w:highlight w:val="white"/>
              </w:rPr>
            </m:ctrlPr>
          </m:sSubPr>
          <m:e>
            <m:sSup>
              <m:sSupPr>
                <m:ctrlPr>
                  <w:rPr>
                    <w:rFonts w:ascii="Cambria Math" w:eastAsia="Cambria Math" w:hAnsi="Cambria Math" w:cs="Cambria Math"/>
                    <w:highlight w:val="white"/>
                  </w:rPr>
                </m:ctrlPr>
              </m:sSupPr>
              <m:e>
                <m:r>
                  <w:rPr>
                    <w:rFonts w:ascii="Cambria Math" w:eastAsia="Cambria Math" w:hAnsi="Cambria Math" w:cs="Cambria Math"/>
                    <w:highlight w:val="white"/>
                  </w:rPr>
                  <m:t>σ</m:t>
                </m:r>
              </m:e>
              <m:sup>
                <m:r>
                  <w:rPr>
                    <w:rFonts w:ascii="Cambria Math" w:eastAsia="Cambria Math" w:hAnsi="Cambria Math" w:cs="Cambria Math"/>
                    <w:highlight w:val="white"/>
                  </w:rPr>
                  <m:t>2</m:t>
                </m:r>
              </m:sup>
            </m:sSup>
          </m:e>
          <m:sub>
            <m:r>
              <w:rPr>
                <w:rFonts w:ascii="Cambria Math" w:eastAsia="Cambria Math" w:hAnsi="Cambria Math" w:cs="Cambria Math"/>
                <w:highlight w:val="white"/>
              </w:rPr>
              <m:t>b</m:t>
            </m:r>
          </m:sub>
        </m:sSub>
        <m:r>
          <w:rPr>
            <w:rFonts w:ascii="Cambria Math" w:eastAsia="Cambria Math" w:hAnsi="Cambria Math" w:cs="Cambria Math"/>
            <w:highlight w:val="white"/>
          </w:rPr>
          <m:t>)</m:t>
        </m:r>
      </m:oMath>
      <w:r>
        <w:rPr>
          <w:highlight w:val="white"/>
        </w:rPr>
        <w:t xml:space="preserve"> for proportion </w:t>
      </w:r>
      <m:oMath>
        <m:r>
          <w:rPr>
            <w:rFonts w:ascii="Cambria Math" w:hAnsi="Cambria Math"/>
          </w:rPr>
          <m:t>γ</m:t>
        </m:r>
        <m:r>
          <w:rPr>
            <w:rFonts w:ascii="Cambria Math" w:eastAsia="Cambria Math" w:hAnsi="Cambria Math" w:cs="Cambria Math"/>
            <w:highlight w:val="white"/>
          </w:rPr>
          <m:t xml:space="preserve"> (γ=1%, 5%,10%,30% and 50%)</m:t>
        </m:r>
      </m:oMath>
      <w:r>
        <w:rPr>
          <w:highlight w:val="white"/>
        </w:rPr>
        <w:t xml:space="preserve">, and </w:t>
      </w:r>
      <m:oMath>
        <m:sSub>
          <m:sSubPr>
            <m:ctrlPr>
              <w:rPr>
                <w:rFonts w:ascii="Cambria Math" w:eastAsia="Cambria Math" w:hAnsi="Cambria Math" w:cs="Cambria Math"/>
                <w:highlight w:val="white"/>
              </w:rPr>
            </m:ctrlPr>
          </m:sSubPr>
          <m:e>
            <m:r>
              <w:rPr>
                <w:rFonts w:ascii="Cambria Math" w:hAnsi="Cambria Math"/>
              </w:rPr>
              <m:t>β</m:t>
            </m:r>
          </m:e>
          <m:sub>
            <m:r>
              <w:rPr>
                <w:rFonts w:ascii="Cambria Math" w:eastAsia="Cambria Math" w:hAnsi="Cambria Math" w:cs="Cambria Math"/>
                <w:highlight w:val="white"/>
              </w:rPr>
              <m:t>k</m:t>
            </m:r>
          </m:sub>
        </m:sSub>
        <m:r>
          <w:rPr>
            <w:rFonts w:ascii="Cambria Math" w:eastAsia="Cambria Math" w:hAnsi="Cambria Math" w:cs="Cambria Math"/>
            <w:highlight w:val="white"/>
          </w:rPr>
          <m:t>=0</m:t>
        </m:r>
      </m:oMath>
      <w:r>
        <w:rPr>
          <w:highlight w:val="white"/>
        </w:rPr>
        <w:t xml:space="preserve">, otherwise. The </w:t>
      </w:r>
      <w:r>
        <w:rPr>
          <w:i/>
          <w:highlight w:val="white"/>
        </w:rPr>
        <w:t>trans-</w:t>
      </w:r>
      <w:r>
        <w:rPr>
          <w:highlight w:val="white"/>
        </w:rPr>
        <w:t>genetic variance is</w:t>
      </w:r>
      <w:r>
        <w:rPr>
          <w:i/>
          <w:highlight w:val="white"/>
        </w:rPr>
        <w:t xml:space="preserve"> </w:t>
      </w:r>
      <m:oMath>
        <m:sSub>
          <m:sSubPr>
            <m:ctrlPr>
              <w:rPr>
                <w:rFonts w:ascii="Cambria Math" w:eastAsia="Cambria Math" w:hAnsi="Cambria Math" w:cs="Cambria Math"/>
                <w:highlight w:val="white"/>
              </w:rPr>
            </m:ctrlPr>
          </m:sSubPr>
          <m:e>
            <m:sSup>
              <m:sSupPr>
                <m:ctrlPr>
                  <w:rPr>
                    <w:rFonts w:ascii="Cambria Math" w:eastAsia="Cambria Math" w:hAnsi="Cambria Math" w:cs="Cambria Math"/>
                    <w:highlight w:val="white"/>
                  </w:rPr>
                </m:ctrlPr>
              </m:sSupPr>
              <m:e>
                <m:r>
                  <w:rPr>
                    <w:rFonts w:ascii="Cambria Math" w:hAnsi="Cambria Math"/>
                  </w:rPr>
                  <m:t>σ</m:t>
                </m:r>
              </m:e>
              <m:sup>
                <m:r>
                  <w:rPr>
                    <w:rFonts w:ascii="Cambria Math" w:eastAsia="Cambria Math" w:hAnsi="Cambria Math" w:cs="Cambria Math"/>
                    <w:highlight w:val="white"/>
                  </w:rPr>
                  <m:t>2</m:t>
                </m:r>
              </m:sup>
            </m:sSup>
          </m:e>
          <m:sub>
            <m:r>
              <w:rPr>
                <w:rFonts w:ascii="Cambria Math" w:eastAsia="Cambria Math" w:hAnsi="Cambria Math" w:cs="Cambria Math"/>
                <w:highlight w:val="white"/>
              </w:rPr>
              <m:t>b</m:t>
            </m:r>
          </m:sub>
        </m:sSub>
      </m:oMath>
      <w:r>
        <w:rPr>
          <w:highlight w:val="white"/>
        </w:rPr>
        <w:t xml:space="preserve">  (</w:t>
      </w:r>
      <m:oMath>
        <m:sSub>
          <m:sSubPr>
            <m:ctrlPr>
              <w:rPr>
                <w:rFonts w:ascii="Cambria Math" w:eastAsia="Cambria Math" w:hAnsi="Cambria Math" w:cs="Cambria Math"/>
                <w:highlight w:val="white"/>
              </w:rPr>
            </m:ctrlPr>
          </m:sSubPr>
          <m:e>
            <m:sSup>
              <m:sSupPr>
                <m:ctrlPr>
                  <w:rPr>
                    <w:rFonts w:ascii="Cambria Math" w:eastAsia="Cambria Math" w:hAnsi="Cambria Math" w:cs="Cambria Math"/>
                    <w:highlight w:val="white"/>
                  </w:rPr>
                </m:ctrlPr>
              </m:sSupPr>
              <m:e>
                <m:r>
                  <w:rPr>
                    <w:rFonts w:ascii="Cambria Math" w:hAnsi="Cambria Math"/>
                  </w:rPr>
                  <m:t>σ</m:t>
                </m:r>
              </m:e>
              <m:sup>
                <m:r>
                  <w:rPr>
                    <w:rFonts w:ascii="Cambria Math" w:eastAsia="Cambria Math" w:hAnsi="Cambria Math" w:cs="Cambria Math"/>
                    <w:highlight w:val="white"/>
                  </w:rPr>
                  <m:t>2</m:t>
                </m:r>
              </m:sup>
            </m:sSup>
          </m:e>
          <m:sub>
            <m:r>
              <w:rPr>
                <w:rFonts w:ascii="Cambria Math" w:eastAsia="Cambria Math" w:hAnsi="Cambria Math" w:cs="Cambria Math"/>
                <w:highlight w:val="white"/>
              </w:rPr>
              <m:t>b</m:t>
            </m:r>
          </m:sub>
        </m:sSub>
        <m:r>
          <w:rPr>
            <w:rFonts w:ascii="Cambria Math" w:eastAsia="Cambria Math" w:hAnsi="Cambria Math" w:cs="Cambria Math"/>
            <w:highlight w:val="white"/>
          </w:rPr>
          <m:t>=0.001</m:t>
        </m:r>
      </m:oMath>
      <w:r>
        <w:rPr>
          <w:highlight w:val="white"/>
        </w:rPr>
        <w:t xml:space="preserve">), which is a low and realistic per SNP heritability for </w:t>
      </w:r>
      <w:r>
        <w:rPr>
          <w:i/>
          <w:highlight w:val="white"/>
        </w:rPr>
        <w:t>trans</w:t>
      </w:r>
      <w:r>
        <w:rPr>
          <w:highlight w:val="white"/>
        </w:rPr>
        <w:t xml:space="preserve"> effects. We simulated 10,000 SNPs and performed 1000 simulations. </w:t>
      </w:r>
    </w:p>
    <w:p w14:paraId="31D6CAE9" w14:textId="77777777" w:rsidR="00DE2CDE" w:rsidRDefault="00DE2CDE">
      <w:pPr>
        <w:jc w:val="both"/>
        <w:rPr>
          <w:highlight w:val="white"/>
        </w:rPr>
      </w:pPr>
    </w:p>
    <w:p w14:paraId="183311CE" w14:textId="77777777" w:rsidR="00DE2CDE" w:rsidRDefault="00000000">
      <w:pPr>
        <w:jc w:val="both"/>
        <w:rPr>
          <w:highlight w:val="white"/>
        </w:rPr>
      </w:pPr>
      <w:r>
        <w:rPr>
          <w:highlight w:val="white"/>
        </w:rPr>
        <w:t xml:space="preserve">To compare the power of different approaches to identify </w:t>
      </w:r>
      <w:r>
        <w:rPr>
          <w:i/>
          <w:highlight w:val="white"/>
        </w:rPr>
        <w:t>trans</w:t>
      </w:r>
      <w:r>
        <w:rPr>
          <w:highlight w:val="white"/>
        </w:rPr>
        <w:t xml:space="preserve">-eQTLs, we defined significant univariate tests for a gene module based on the minimum p-values across </w:t>
      </w:r>
      <m:oMath>
        <m:r>
          <w:rPr>
            <w:rFonts w:ascii="Cambria Math" w:eastAsia="Cambria Math" w:hAnsi="Cambria Math" w:cs="Cambria Math"/>
            <w:highlight w:val="white"/>
          </w:rPr>
          <m:t>K</m:t>
        </m:r>
      </m:oMath>
      <w:r>
        <w:rPr>
          <w:highlight w:val="white"/>
        </w:rPr>
        <w:t xml:space="preserve"> genes. For the primary PC-based method, we used PC1 of the gene module co-expression matrix to represent the module and tested it for associations. In power simulations, we set significance levels at 10% FDR to be consistent with real data analysis. We computed power as the average proportion of significant tests out of 10,000 simulated SNPs across 1000 simulations. </w:t>
      </w:r>
    </w:p>
    <w:p w14:paraId="7A3ED869" w14:textId="77777777" w:rsidR="00DE2CDE" w:rsidRDefault="00DE2CDE">
      <w:pPr>
        <w:jc w:val="both"/>
        <w:rPr>
          <w:highlight w:val="white"/>
        </w:rPr>
      </w:pPr>
    </w:p>
    <w:p w14:paraId="58012669" w14:textId="77777777" w:rsidR="00DE2CDE" w:rsidRDefault="00000000">
      <w:pPr>
        <w:jc w:val="both"/>
      </w:pPr>
      <w:r>
        <w:rPr>
          <w:highlight w:val="white"/>
        </w:rPr>
        <w:t xml:space="preserve">Trans-PCO significantly outperformed the univariate test and the primary PC method across different sample sizes and proportions of causal genes </w:t>
      </w:r>
      <w:r>
        <w:rPr>
          <w:b/>
          <w:highlight w:val="white"/>
        </w:rPr>
        <w:t>(</w:t>
      </w:r>
      <w:r>
        <w:rPr>
          <w:b/>
        </w:rPr>
        <w:t>Figure 2</w:t>
      </w:r>
      <w:r>
        <w:rPr>
          <w:b/>
          <w:highlight w:val="white"/>
        </w:rPr>
        <w:t>)</w:t>
      </w:r>
      <w:r>
        <w:rPr>
          <w:highlight w:val="white"/>
        </w:rPr>
        <w:t xml:space="preserve">. Specifically, the power of trans-PCO increases rapidly with increasing sample sizes. At the sample size of 800, assuming 30% of </w:t>
      </w:r>
      <w:r>
        <w:rPr>
          <w:highlight w:val="white"/>
        </w:rPr>
        <w:lastRenderedPageBreak/>
        <w:t>genes have causal effects in the gene module, the power of tra</w:t>
      </w:r>
      <w:r>
        <w:t xml:space="preserve">ns-PCO is 74%, compared to 15% for the univariate test and 0.0018% for the primary PC method </w:t>
      </w:r>
      <w:r>
        <w:rPr>
          <w:b/>
        </w:rPr>
        <w:t>(Figure 2A)</w:t>
      </w:r>
      <w:r>
        <w:t>.</w:t>
      </w:r>
    </w:p>
    <w:p w14:paraId="3F2B6422" w14:textId="77777777" w:rsidR="00DE2CDE" w:rsidRDefault="00000000">
      <w:pPr>
        <w:jc w:val="both"/>
      </w:pPr>
      <w:r>
        <w:t xml:space="preserve"> </w:t>
      </w:r>
    </w:p>
    <w:p w14:paraId="7EAD4BF5" w14:textId="77777777" w:rsidR="00DE2CDE" w:rsidRDefault="00000000">
      <w:pPr>
        <w:jc w:val="both"/>
      </w:pPr>
      <w:r>
        <w:t xml:space="preserve">We also compared the power of each method across various causal gene proportions using a fixed sample size (n=500). </w:t>
      </w:r>
      <w:r>
        <w:rPr>
          <w:highlight w:val="white"/>
        </w:rPr>
        <w:t xml:space="preserve">All three methods have little power in detecting </w:t>
      </w:r>
      <w:r>
        <w:rPr>
          <w:i/>
          <w:highlight w:val="white"/>
        </w:rPr>
        <w:t>trans</w:t>
      </w:r>
      <w:r>
        <w:rPr>
          <w:highlight w:val="white"/>
        </w:rPr>
        <w:t>-eQTLs when the proportion of causal genes is below 10%. However, above this threshold, the power of trans</w:t>
      </w:r>
      <w:r>
        <w:rPr>
          <w:i/>
          <w:highlight w:val="white"/>
        </w:rPr>
        <w:t>-</w:t>
      </w:r>
      <w:r>
        <w:rPr>
          <w:highlight w:val="white"/>
        </w:rPr>
        <w:t>PCO increases dramatically: 36% at 30% causal genes and 86% at 50% causal genes. In contrast, the univariate and the primary PC methods remain almost powerless for nearly all simulated scenarios (</w:t>
      </w:r>
      <w:r>
        <w:rPr>
          <w:b/>
        </w:rPr>
        <w:t>Figure 2B</w:t>
      </w:r>
      <w:r>
        <w:rPr>
          <w:highlight w:val="white"/>
        </w:rPr>
        <w:t xml:space="preserve">). </w:t>
      </w:r>
      <w:r>
        <w:t>We note that the primary PC method appears to be almost powerless across the scenarios, which agrees with the previous observation that the primary PC can be less powerful than higher-order PCs in GWAS</w:t>
      </w:r>
      <w:hyperlink r:id="rId50">
        <w:r>
          <w:rPr>
            <w:vertAlign w:val="superscript"/>
          </w:rPr>
          <w:t>11</w:t>
        </w:r>
      </w:hyperlink>
      <w:r>
        <w:t>. Simula</w:t>
      </w:r>
      <w:r>
        <w:rPr>
          <w:highlight w:val="white"/>
        </w:rPr>
        <w:t>tion results at various genetic variances can be found in the su</w:t>
      </w:r>
      <w:r>
        <w:t xml:space="preserve">pplement (Figure S1). Null simulations demonstrated all three methods are well-controlled for false-positive inflations (Figure S2). </w:t>
      </w:r>
    </w:p>
    <w:p w14:paraId="5947ED83" w14:textId="77777777" w:rsidR="00DE2CDE" w:rsidRDefault="00DE2CDE">
      <w:pPr>
        <w:rPr>
          <w:highlight w:val="white"/>
        </w:rPr>
      </w:pPr>
    </w:p>
    <w:p w14:paraId="376FB001" w14:textId="77777777" w:rsidR="00DE2CDE" w:rsidRDefault="00000000">
      <w:pPr>
        <w:jc w:val="center"/>
        <w:rPr>
          <w:highlight w:val="white"/>
        </w:rPr>
      </w:pPr>
      <w:r>
        <w:rPr>
          <w:noProof/>
          <w:highlight w:val="white"/>
        </w:rPr>
        <w:drawing>
          <wp:inline distT="114300" distB="114300" distL="114300" distR="114300" wp14:anchorId="5BEDCB5B" wp14:editId="4C9F5C1E">
            <wp:extent cx="5943600" cy="1676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943600" cy="1676400"/>
                    </a:xfrm>
                    <a:prstGeom prst="rect">
                      <a:avLst/>
                    </a:prstGeom>
                    <a:ln/>
                  </pic:spPr>
                </pic:pic>
              </a:graphicData>
            </a:graphic>
          </wp:inline>
        </w:drawing>
      </w:r>
    </w:p>
    <w:p w14:paraId="52BFE20A" w14:textId="77777777" w:rsidR="00DE2CDE" w:rsidRDefault="00000000">
      <w:pPr>
        <w:jc w:val="both"/>
        <w:rPr>
          <w:color w:val="2A2A2A"/>
          <w:highlight w:val="white"/>
        </w:rPr>
      </w:pPr>
      <w:r>
        <w:rPr>
          <w:b/>
          <w:color w:val="2A2A2A"/>
          <w:highlight w:val="white"/>
        </w:rPr>
        <w:t>Figure 2. Power of trans-PCO across different sample sizes and causal gene proportions, in comparison to PC1 and univariate (MinP) methods. (A)</w:t>
      </w:r>
      <w:r>
        <w:rPr>
          <w:color w:val="2A2A2A"/>
          <w:highlight w:val="white"/>
        </w:rPr>
        <w:t xml:space="preserve"> </w:t>
      </w:r>
      <w:r>
        <w:rPr>
          <w:b/>
          <w:color w:val="2A2A2A"/>
          <w:highlight w:val="white"/>
        </w:rPr>
        <w:t>Power comparison across various sample sizes (</w:t>
      </w:r>
      <w:r>
        <w:rPr>
          <w:b/>
          <w:i/>
          <w:color w:val="2A2A2A"/>
          <w:highlight w:val="white"/>
        </w:rPr>
        <w:t>N</w:t>
      </w:r>
      <w:r>
        <w:rPr>
          <w:b/>
          <w:color w:val="2A2A2A"/>
          <w:highlight w:val="white"/>
        </w:rPr>
        <w:t xml:space="preserve"> = 200, 400, 600, and 800).</w:t>
      </w:r>
      <w:r>
        <w:rPr>
          <w:color w:val="2A2A2A"/>
          <w:highlight w:val="white"/>
        </w:rPr>
        <w:t xml:space="preserve"> </w:t>
      </w:r>
      <w:r>
        <w:rPr>
          <w:i/>
          <w:color w:val="2A2A2A"/>
          <w:highlight w:val="white"/>
        </w:rPr>
        <w:t>Trans-</w:t>
      </w:r>
      <w:r>
        <w:rPr>
          <w:color w:val="2A2A2A"/>
          <w:highlight w:val="white"/>
        </w:rPr>
        <w:t>genetic variance</w:t>
      </w:r>
      <m:oMath>
        <m:r>
          <w:rPr>
            <w:rFonts w:ascii="Cambria Math" w:eastAsia="Cambria Math" w:hAnsi="Cambria Math" w:cs="Cambria Math"/>
            <w:highlight w:val="white"/>
          </w:rPr>
          <m:t xml:space="preserve"> </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 xml:space="preserve"> </m:t>
            </m:r>
            <m:sSup>
              <m:sSupPr>
                <m:ctrlPr>
                  <w:rPr>
                    <w:rFonts w:ascii="Cambria Math" w:eastAsia="Cambria Math" w:hAnsi="Cambria Math" w:cs="Cambria Math"/>
                    <w:highlight w:val="white"/>
                  </w:rPr>
                </m:ctrlPr>
              </m:sSupPr>
              <m:e>
                <m:r>
                  <w:rPr>
                    <w:rFonts w:ascii="Cambria Math" w:eastAsia="Cambria Math" w:hAnsi="Cambria Math" w:cs="Cambria Math"/>
                    <w:highlight w:val="white"/>
                  </w:rPr>
                  <m:t>σ</m:t>
                </m:r>
              </m:e>
              <m:sup>
                <m:r>
                  <w:rPr>
                    <w:rFonts w:ascii="Cambria Math" w:eastAsia="Cambria Math" w:hAnsi="Cambria Math" w:cs="Cambria Math"/>
                    <w:highlight w:val="white"/>
                  </w:rPr>
                  <m:t>2</m:t>
                </m:r>
              </m:sup>
            </m:sSup>
          </m:e>
          <m:sub>
            <m:r>
              <w:rPr>
                <w:rFonts w:ascii="Cambria Math" w:eastAsia="Cambria Math" w:hAnsi="Cambria Math" w:cs="Cambria Math"/>
                <w:highlight w:val="white"/>
              </w:rPr>
              <m:t>b</m:t>
            </m:r>
          </m:sub>
        </m:sSub>
      </m:oMath>
      <w:r>
        <w:rPr>
          <w:highlight w:val="white"/>
        </w:rPr>
        <w:t xml:space="preserve"> was simulated to be 0.001</w:t>
      </w:r>
      <w:r>
        <w:rPr>
          <w:color w:val="2A2A2A"/>
          <w:highlight w:val="white"/>
        </w:rPr>
        <w:t xml:space="preserve"> and the proportion of causal genes in the gene module was 30%. Error bars representing 95% confidence intervals are plotted, but many are too small to be visible. See numerical results in Table S2. </w:t>
      </w:r>
      <w:r>
        <w:rPr>
          <w:b/>
          <w:color w:val="2A2A2A"/>
          <w:highlight w:val="white"/>
        </w:rPr>
        <w:t>(B)</w:t>
      </w:r>
      <w:r>
        <w:rPr>
          <w:color w:val="2A2A2A"/>
          <w:highlight w:val="white"/>
        </w:rPr>
        <w:t xml:space="preserve"> </w:t>
      </w:r>
      <w:r>
        <w:rPr>
          <w:b/>
          <w:color w:val="2A2A2A"/>
          <w:highlight w:val="white"/>
        </w:rPr>
        <w:t>Power comparison across different proportions of causal genes in the gene module.</w:t>
      </w:r>
      <w:r>
        <w:rPr>
          <w:color w:val="2A2A2A"/>
          <w:highlight w:val="white"/>
        </w:rPr>
        <w:t xml:space="preserve"> The simulated sample size was 500. Points show average power across 1000 </w:t>
      </w:r>
      <w:r>
        <w:rPr>
          <w:highlight w:val="white"/>
        </w:rPr>
        <w:t xml:space="preserve">simulations. </w:t>
      </w:r>
      <w:r>
        <w:rPr>
          <w:color w:val="2A2A2A"/>
          <w:highlight w:val="white"/>
        </w:rPr>
        <w:t xml:space="preserve">Error bars representing 95% confidence intervals are plotted, but many are too small to be visible. See numerical results in Table S2. </w:t>
      </w:r>
    </w:p>
    <w:p w14:paraId="264F8502" w14:textId="77777777" w:rsidR="00DE2CDE" w:rsidRDefault="00000000">
      <w:pPr>
        <w:pStyle w:val="Heading2"/>
        <w:pBdr>
          <w:top w:val="nil"/>
          <w:left w:val="nil"/>
          <w:bottom w:val="nil"/>
          <w:right w:val="nil"/>
          <w:between w:val="nil"/>
        </w:pBdr>
        <w:jc w:val="both"/>
        <w:rPr>
          <w:color w:val="000000"/>
        </w:rPr>
      </w:pPr>
      <w:bookmarkStart w:id="5" w:name="_4d34og8" w:colFirst="0" w:colLast="0"/>
      <w:bookmarkEnd w:id="5"/>
      <w:r>
        <w:t xml:space="preserve">Trans-PCO identifies 3899 </w:t>
      </w:r>
      <w:r>
        <w:rPr>
          <w:i/>
        </w:rPr>
        <w:t>trans</w:t>
      </w:r>
      <w:r>
        <w:t>-e</w:t>
      </w:r>
      <w:r>
        <w:rPr>
          <w:highlight w:val="white"/>
        </w:rPr>
        <w:t>SNP–module pairs</w:t>
      </w:r>
      <w:r>
        <w:t xml:space="preserve"> associated with </w:t>
      </w:r>
      <w:r>
        <w:rPr>
          <w:color w:val="000000"/>
        </w:rPr>
        <w:t xml:space="preserve">co-expression </w:t>
      </w:r>
      <w:r>
        <w:t>gene modules in the DGN dataset</w:t>
      </w:r>
    </w:p>
    <w:p w14:paraId="53AE5C5E" w14:textId="77777777" w:rsidR="00DE2CDE" w:rsidRDefault="00000000">
      <w:pPr>
        <w:jc w:val="both"/>
      </w:pPr>
      <w:r>
        <w:t xml:space="preserve">We used trans-PCO to identify </w:t>
      </w:r>
      <w:r>
        <w:rPr>
          <w:i/>
        </w:rPr>
        <w:t>trans</w:t>
      </w:r>
      <w:r>
        <w:t>-eQTLs associated with co-expression gene modules in RNA-seq data from whole blood samples of the DGN cohort (</w:t>
      </w:r>
      <w:r>
        <w:rPr>
          <w:i/>
        </w:rPr>
        <w:t>N</w:t>
      </w:r>
      <w:r>
        <w:t xml:space="preserve"> = 913)</w:t>
      </w:r>
      <w:hyperlink r:id="rId52">
        <w:r>
          <w:rPr>
            <w:vertAlign w:val="superscript"/>
          </w:rPr>
          <w:t>26</w:t>
        </w:r>
      </w:hyperlink>
      <w:r>
        <w:t>. WGCNA</w:t>
      </w:r>
      <w:hyperlink r:id="rId53">
        <w:r>
          <w:rPr>
            <w:vertAlign w:val="superscript"/>
          </w:rPr>
          <w:t>28</w:t>
        </w:r>
      </w:hyperlink>
      <w:r>
        <w:rPr>
          <w:highlight w:val="white"/>
        </w:rPr>
        <w:t xml:space="preserve"> identifie</w:t>
      </w:r>
      <w:r>
        <w:t>d 166 co-expression gene modules, with the number of genes in each module ranging between 625 (module 1, M1) and 10 (module 166, M166) (Supplementary Table S1). We t</w:t>
      </w:r>
      <w:r>
        <w:rPr>
          <w:highlight w:val="white"/>
        </w:rPr>
        <w:t xml:space="preserve">hen performed genome-wide scans of </w:t>
      </w:r>
      <w:r>
        <w:rPr>
          <w:i/>
          <w:highlight w:val="white"/>
        </w:rPr>
        <w:t>trans</w:t>
      </w:r>
      <w:r>
        <w:rPr>
          <w:highlight w:val="white"/>
        </w:rPr>
        <w:t>-eQTLs for each gene module.</w:t>
      </w:r>
      <w:r>
        <w:t xml:space="preserve"> </w:t>
      </w:r>
      <w:r>
        <w:rPr>
          <w:highlight w:val="white"/>
        </w:rPr>
        <w:t xml:space="preserve">At 10% FDR, trans-PCO identified </w:t>
      </w:r>
      <w:r>
        <w:t xml:space="preserve">significant </w:t>
      </w:r>
      <w:r>
        <w:rPr>
          <w:i/>
        </w:rPr>
        <w:t>trans</w:t>
      </w:r>
      <w:r>
        <w:t>-eQTLs for 102 out of 166 gene modules, corresponding to 3899</w:t>
      </w:r>
      <w:r>
        <w:rPr>
          <w:highlight w:val="white"/>
        </w:rPr>
        <w:t xml:space="preserve"> significant </w:t>
      </w:r>
      <w:r>
        <w:rPr>
          <w:i/>
          <w:highlight w:val="white"/>
        </w:rPr>
        <w:t>trans</w:t>
      </w:r>
      <w:r>
        <w:rPr>
          <w:highlight w:val="white"/>
        </w:rPr>
        <w:t>-eSNP–mo</w:t>
      </w:r>
      <w:r>
        <w:t xml:space="preserve">dule pairs. Many trans-eSNPs are in linkage-disequilibrium (LD). Using LD clumping to </w:t>
      </w:r>
      <w:r>
        <w:lastRenderedPageBreak/>
        <w:t xml:space="preserve">group trans-eSNPs into loci (R2&lt;0.2), we found 145 </w:t>
      </w:r>
      <w:r>
        <w:rPr>
          <w:i/>
        </w:rPr>
        <w:t>trans</w:t>
      </w:r>
      <w:r>
        <w:t>-loci–module pairs (</w:t>
      </w:r>
      <w:r>
        <w:rPr>
          <w:b/>
        </w:rPr>
        <w:t>Figure 3A</w:t>
      </w:r>
      <w:r>
        <w:t xml:space="preserve">, Supplementary Table S3). </w:t>
      </w:r>
    </w:p>
    <w:p w14:paraId="631A564B" w14:textId="77777777" w:rsidR="00DE2CDE" w:rsidRDefault="00DE2CDE">
      <w:pPr>
        <w:jc w:val="both"/>
        <w:rPr>
          <w:highlight w:val="white"/>
        </w:rPr>
      </w:pPr>
    </w:p>
    <w:p w14:paraId="046D546A" w14:textId="77777777" w:rsidR="00DE2CDE" w:rsidRDefault="00000000">
      <w:pPr>
        <w:jc w:val="both"/>
        <w:rPr>
          <w:highlight w:val="white"/>
        </w:rPr>
      </w:pPr>
      <w:r>
        <w:rPr>
          <w:highlight w:val="white"/>
        </w:rPr>
        <w:t xml:space="preserve">We compared </w:t>
      </w:r>
      <w:r>
        <w:rPr>
          <w:i/>
          <w:highlight w:val="white"/>
        </w:rPr>
        <w:t>trans</w:t>
      </w:r>
      <w:r>
        <w:rPr>
          <w:highlight w:val="white"/>
        </w:rPr>
        <w:t>-eQTL signals detected in DGN by trans-PCO to signals identified by the univariate meth</w:t>
      </w:r>
      <w:r>
        <w:t>od in Battle et al.</w:t>
      </w:r>
      <w:hyperlink r:id="rId54">
        <w:r>
          <w:rPr>
            <w:vertAlign w:val="superscript"/>
          </w:rPr>
          <w:t>26</w:t>
        </w:r>
      </w:hyperlink>
      <w:r>
        <w:t xml:space="preserve">. Out of 12,132 genes analyzed by trans-PCO, the univariate method detected 326 significant </w:t>
      </w:r>
      <w:r>
        <w:rPr>
          <w:i/>
        </w:rPr>
        <w:t>trans</w:t>
      </w:r>
      <w:r>
        <w:t>-eSNP</w:t>
      </w:r>
      <w:r>
        <w:rPr>
          <w:highlight w:val="white"/>
        </w:rPr>
        <w:t>–</w:t>
      </w:r>
      <w:r>
        <w:t>gene pairs for 128 genes</w:t>
      </w:r>
      <w:r>
        <w:rPr>
          <w:highlight w:val="white"/>
        </w:rPr>
        <w:t xml:space="preserve"> at 5% FDR</w:t>
      </w:r>
      <w:hyperlink r:id="rId55">
        <w:r>
          <w:rPr>
            <w:vertAlign w:val="superscript"/>
          </w:rPr>
          <w:t>26</w:t>
        </w:r>
      </w:hyperlink>
      <w:r>
        <w:rPr>
          <w:highlight w:val="white"/>
        </w:rPr>
        <w:t>. At t</w:t>
      </w:r>
      <w:r>
        <w:t xml:space="preserve">he same FDR level, trans-PCO identified 3031 significant </w:t>
      </w:r>
      <w:r>
        <w:rPr>
          <w:i/>
        </w:rPr>
        <w:t>trans</w:t>
      </w:r>
      <w:r>
        <w:t xml:space="preserve">-eSNP–gene module pairs for 75 gene modules. We compared the magnitude of the significant </w:t>
      </w:r>
      <w:r>
        <w:rPr>
          <w:i/>
        </w:rPr>
        <w:t>trans</w:t>
      </w:r>
      <w:r>
        <w:t xml:space="preserve">-eQTL effects detected by trans-PCO and the univariate </w:t>
      </w:r>
      <w:r>
        <w:rPr>
          <w:highlight w:val="white"/>
        </w:rPr>
        <w:t xml:space="preserve">method. More specifically, we compared the maximum univariate z-scores of SNPs and each gene in significant </w:t>
      </w:r>
      <w:r>
        <w:rPr>
          <w:i/>
          <w:highlight w:val="white"/>
        </w:rPr>
        <w:t>trans</w:t>
      </w:r>
      <w:r>
        <w:rPr>
          <w:highlight w:val="white"/>
        </w:rPr>
        <w:t xml:space="preserve">-eSNP–module pairs identified by trans-PCO to the z-scores of significant </w:t>
      </w:r>
      <w:r>
        <w:rPr>
          <w:i/>
          <w:highlight w:val="white"/>
        </w:rPr>
        <w:t>trans</w:t>
      </w:r>
      <w:r>
        <w:rPr>
          <w:highlight w:val="white"/>
        </w:rPr>
        <w:t>-e</w:t>
      </w:r>
      <w:r>
        <w:t>SNP</w:t>
      </w:r>
      <w:r>
        <w:rPr>
          <w:highlight w:val="white"/>
        </w:rPr>
        <w:t>–</w:t>
      </w:r>
      <w:r>
        <w:t xml:space="preserve">gene pairs </w:t>
      </w:r>
      <w:r>
        <w:rPr>
          <w:highlight w:val="white"/>
        </w:rPr>
        <w:t xml:space="preserve">by the univariate method. We found that the maximum z-scores of trans-PCO signals are much smaller than z-scores of the univariate method signals </w:t>
      </w:r>
      <w:r>
        <w:t>(</w:t>
      </w:r>
      <w:r>
        <w:rPr>
          <w:b/>
        </w:rPr>
        <w:t>Figure 3B</w:t>
      </w:r>
      <w:r>
        <w:t xml:space="preserve">), indicating that our multivariate approach can detect much smaller </w:t>
      </w:r>
      <w:r>
        <w:rPr>
          <w:i/>
        </w:rPr>
        <w:t>trans</w:t>
      </w:r>
      <w:r>
        <w:rPr>
          <w:highlight w:val="white"/>
        </w:rPr>
        <w:t xml:space="preserve"> effects than univariate methods. We also applied the primary PC method to DGN, and found trans-PCO is much more powerful than the primary </w:t>
      </w:r>
      <w:r>
        <w:t xml:space="preserve">PC method (see Supplementary Note). </w:t>
      </w:r>
    </w:p>
    <w:p w14:paraId="714C1FD3" w14:textId="77777777" w:rsidR="00DE2CDE" w:rsidRDefault="00000000">
      <w:pPr>
        <w:pStyle w:val="Heading3"/>
      </w:pPr>
      <w:bookmarkStart w:id="6" w:name="_2s8eyo1" w:colFirst="0" w:colLast="0"/>
      <w:bookmarkEnd w:id="6"/>
      <w:r>
        <w:rPr>
          <w:i/>
        </w:rPr>
        <w:t>Trans</w:t>
      </w:r>
      <w:r>
        <w:t xml:space="preserve">-eQTLs are enriched in variants with </w:t>
      </w:r>
      <w:r>
        <w:rPr>
          <w:i/>
        </w:rPr>
        <w:t>cis</w:t>
      </w:r>
      <w:r>
        <w:t>-regulatory effects on transcription factors</w:t>
      </w:r>
    </w:p>
    <w:p w14:paraId="106DE022" w14:textId="77777777" w:rsidR="00DE2CDE" w:rsidRDefault="00000000">
      <w:pPr>
        <w:jc w:val="both"/>
        <w:rPr>
          <w:highlight w:val="white"/>
        </w:rPr>
      </w:pPr>
      <w:r>
        <w:t xml:space="preserve">We found that only 31 </w:t>
      </w:r>
      <w:r>
        <w:rPr>
          <w:i/>
        </w:rPr>
        <w:t>trans</w:t>
      </w:r>
      <w:r>
        <w:t xml:space="preserve">-eSNPs (1%) are in coding regions, suggesting that a very small proportion of </w:t>
      </w:r>
      <w:r>
        <w:rPr>
          <w:i/>
        </w:rPr>
        <w:t>trans</w:t>
      </w:r>
      <w:r>
        <w:t xml:space="preserve">-eQTLs impact gene expression levels in </w:t>
      </w:r>
      <w:r>
        <w:rPr>
          <w:i/>
        </w:rPr>
        <w:t>trans</w:t>
      </w:r>
      <w:r>
        <w:t xml:space="preserve"> by altering protein coding sequences. Several studies have shown that </w:t>
      </w:r>
      <w:r>
        <w:rPr>
          <w:i/>
        </w:rPr>
        <w:t>trans</w:t>
      </w:r>
      <w:r>
        <w:t xml:space="preserve">-eQTLs have </w:t>
      </w:r>
      <w:r>
        <w:rPr>
          <w:i/>
        </w:rPr>
        <w:t>cis</w:t>
      </w:r>
      <w:r>
        <w:t>-regulatory effects, impacting the expression levels or splicing of nearby genes</w:t>
      </w:r>
      <w:hyperlink r:id="rId56">
        <w:r>
          <w:rPr>
            <w:vertAlign w:val="superscript"/>
          </w:rPr>
          <w:t>10,26</w:t>
        </w:r>
      </w:hyperlink>
      <w:r>
        <w:t xml:space="preserve">; thus, we evaluated our identified </w:t>
      </w:r>
      <w:r>
        <w:rPr>
          <w:i/>
        </w:rPr>
        <w:t>trans</w:t>
      </w:r>
      <w:r>
        <w:t xml:space="preserve">-eQTLs for concomitant </w:t>
      </w:r>
      <w:r>
        <w:rPr>
          <w:i/>
        </w:rPr>
        <w:t>cis</w:t>
      </w:r>
      <w:r>
        <w:t xml:space="preserve">-regulatory activity. We first overlapped </w:t>
      </w:r>
      <w:r>
        <w:rPr>
          <w:i/>
        </w:rPr>
        <w:t>trans</w:t>
      </w:r>
      <w:r>
        <w:t xml:space="preserve">-eSNPs with </w:t>
      </w:r>
      <w:r>
        <w:rPr>
          <w:i/>
        </w:rPr>
        <w:t>cis</w:t>
      </w:r>
      <w:r>
        <w:t xml:space="preserve">-eQTLs and </w:t>
      </w:r>
      <w:r>
        <w:rPr>
          <w:i/>
        </w:rPr>
        <w:t>cis</w:t>
      </w:r>
      <w:r>
        <w:t>-splicing QTLs (</w:t>
      </w:r>
      <w:r>
        <w:rPr>
          <w:i/>
        </w:rPr>
        <w:t>cis</w:t>
      </w:r>
      <w:r>
        <w:t>-sQTLs) in DGN</w:t>
      </w:r>
      <w:hyperlink r:id="rId57">
        <w:r>
          <w:rPr>
            <w:vertAlign w:val="superscript"/>
          </w:rPr>
          <w:t>33</w:t>
        </w:r>
      </w:hyperlink>
      <w:r>
        <w:t xml:space="preserve">. Of the 2955 </w:t>
      </w:r>
      <w:r>
        <w:rPr>
          <w:i/>
        </w:rPr>
        <w:t>trans</w:t>
      </w:r>
      <w:r>
        <w:t xml:space="preserve">-eSNPs, we found that 71% are significant </w:t>
      </w:r>
      <w:r>
        <w:rPr>
          <w:i/>
        </w:rPr>
        <w:t>cis</w:t>
      </w:r>
      <w:r>
        <w:t xml:space="preserve">-eSNPs in DGN, and 46% are significant </w:t>
      </w:r>
      <w:r>
        <w:rPr>
          <w:i/>
        </w:rPr>
        <w:t>cis</w:t>
      </w:r>
      <w:r>
        <w:t xml:space="preserve">-sSNPs, together accounting for 73% of all </w:t>
      </w:r>
      <w:r>
        <w:rPr>
          <w:i/>
        </w:rPr>
        <w:t>trans</w:t>
      </w:r>
      <w:r>
        <w:t xml:space="preserve">-eSNPs. To further examine whether the </w:t>
      </w:r>
      <w:r>
        <w:rPr>
          <w:i/>
        </w:rPr>
        <w:t>cis</w:t>
      </w:r>
      <w:r>
        <w:t xml:space="preserve"> and </w:t>
      </w:r>
      <w:r>
        <w:rPr>
          <w:i/>
        </w:rPr>
        <w:t>trans</w:t>
      </w:r>
      <w:r>
        <w:t xml:space="preserve"> effects are driven by the same variant, we performed colocalization analysis of </w:t>
      </w:r>
      <w:r>
        <w:rPr>
          <w:i/>
        </w:rPr>
        <w:t>trans</w:t>
      </w:r>
      <w:r>
        <w:t xml:space="preserve">-eQTLs with </w:t>
      </w:r>
      <w:r>
        <w:rPr>
          <w:i/>
        </w:rPr>
        <w:t>cis</w:t>
      </w:r>
      <w:r>
        <w:t xml:space="preserve">-eQTLs and </w:t>
      </w:r>
      <w:r>
        <w:rPr>
          <w:i/>
        </w:rPr>
        <w:t>cis</w:t>
      </w:r>
      <w:r>
        <w:t>-sQTLs using coloc</w:t>
      </w:r>
      <w:hyperlink r:id="rId58">
        <w:r>
          <w:rPr>
            <w:vertAlign w:val="superscript"/>
          </w:rPr>
          <w:t>32</w:t>
        </w:r>
      </w:hyperlink>
      <w:r>
        <w:t xml:space="preserve"> (see Methods). Specifically, we grouped </w:t>
      </w:r>
      <w:r>
        <w:rPr>
          <w:i/>
        </w:rPr>
        <w:t>trans</w:t>
      </w:r>
      <w:r>
        <w:t xml:space="preserve">-eSNP–gene module pairs into 179 </w:t>
      </w:r>
      <w:r>
        <w:rPr>
          <w:i/>
        </w:rPr>
        <w:t>trans</w:t>
      </w:r>
      <w:r>
        <w:t xml:space="preserve">-loci–gene module pairs (see Methods) and performed colocalization analyses between </w:t>
      </w:r>
      <w:r>
        <w:rPr>
          <w:i/>
        </w:rPr>
        <w:t>trans</w:t>
      </w:r>
      <w:r>
        <w:t xml:space="preserve">-eQTLs and </w:t>
      </w:r>
      <w:r>
        <w:rPr>
          <w:i/>
        </w:rPr>
        <w:t>cis</w:t>
      </w:r>
      <w:r>
        <w:t>-eQTLs/</w:t>
      </w:r>
      <w:r>
        <w:rPr>
          <w:i/>
        </w:rPr>
        <w:t>cis</w:t>
      </w:r>
      <w:r>
        <w:t xml:space="preserve">-sQTLs. 51 out of 179 </w:t>
      </w:r>
      <w:r>
        <w:rPr>
          <w:i/>
        </w:rPr>
        <w:t>trans</w:t>
      </w:r>
      <w:r>
        <w:t xml:space="preserve">-loci colocalized with a </w:t>
      </w:r>
      <w:r>
        <w:rPr>
          <w:i/>
        </w:rPr>
        <w:t>cis</w:t>
      </w:r>
      <w:r>
        <w:t xml:space="preserve">-eQTL (PP4&gt;0.75, </w:t>
      </w:r>
      <w:r>
        <w:rPr>
          <w:b/>
        </w:rPr>
        <w:t>Figure 3C</w:t>
      </w:r>
      <w:r>
        <w:t xml:space="preserve"> and Figure S3). 41 </w:t>
      </w:r>
      <w:r>
        <w:rPr>
          <w:i/>
        </w:rPr>
        <w:t>trans</w:t>
      </w:r>
      <w:r>
        <w:t xml:space="preserve">-loci colocalized with a </w:t>
      </w:r>
      <w:r>
        <w:rPr>
          <w:i/>
        </w:rPr>
        <w:t>cis</w:t>
      </w:r>
      <w:r>
        <w:t xml:space="preserve">-sQTL. Overall, 60 </w:t>
      </w:r>
      <w:r>
        <w:rPr>
          <w:i/>
        </w:rPr>
        <w:t>trans</w:t>
      </w:r>
      <w:r>
        <w:t xml:space="preserve">-loci share causal variants with at least one </w:t>
      </w:r>
      <w:r>
        <w:rPr>
          <w:i/>
        </w:rPr>
        <w:t>cis</w:t>
      </w:r>
      <w:r>
        <w:t xml:space="preserve">-eQTL or </w:t>
      </w:r>
      <w:r>
        <w:rPr>
          <w:i/>
        </w:rPr>
        <w:t>cis</w:t>
      </w:r>
      <w:r>
        <w:t>-sQTL (</w:t>
      </w:r>
      <w:r>
        <w:rPr>
          <w:b/>
        </w:rPr>
        <w:t>Figure 3C</w:t>
      </w:r>
      <w:r>
        <w:t>, Table S4), confirm</w:t>
      </w:r>
      <w:r>
        <w:rPr>
          <w:highlight w:val="white"/>
        </w:rPr>
        <w:t xml:space="preserve">ing that </w:t>
      </w:r>
      <w:r>
        <w:rPr>
          <w:i/>
          <w:highlight w:val="white"/>
        </w:rPr>
        <w:t>trans</w:t>
      </w:r>
      <w:r>
        <w:rPr>
          <w:highlight w:val="white"/>
        </w:rPr>
        <w:t xml:space="preserve">-eQTL effects are generally mediated through </w:t>
      </w:r>
      <w:r>
        <w:rPr>
          <w:i/>
          <w:highlight w:val="white"/>
        </w:rPr>
        <w:t>cis</w:t>
      </w:r>
      <w:r>
        <w:rPr>
          <w:highlight w:val="white"/>
        </w:rPr>
        <w:t xml:space="preserve">-gene regulation. Additionally, a large fraction of </w:t>
      </w:r>
      <w:r>
        <w:rPr>
          <w:i/>
          <w:highlight w:val="white"/>
        </w:rPr>
        <w:t>trans</w:t>
      </w:r>
      <w:r>
        <w:rPr>
          <w:highlight w:val="white"/>
        </w:rPr>
        <w:t xml:space="preserve">-loci (66%) do not colocalize with </w:t>
      </w:r>
      <w:r>
        <w:rPr>
          <w:i/>
          <w:highlight w:val="white"/>
        </w:rPr>
        <w:t>cis</w:t>
      </w:r>
      <w:r>
        <w:rPr>
          <w:highlight w:val="white"/>
        </w:rPr>
        <w:t xml:space="preserve">-eQTLs or </w:t>
      </w:r>
      <w:r>
        <w:rPr>
          <w:i/>
          <w:highlight w:val="white"/>
        </w:rPr>
        <w:t>cis</w:t>
      </w:r>
      <w:r>
        <w:rPr>
          <w:highlight w:val="white"/>
        </w:rPr>
        <w:t xml:space="preserve">-sQTLs. While power may have limited our ability to detect colocalization of some </w:t>
      </w:r>
      <w:r>
        <w:rPr>
          <w:i/>
          <w:highlight w:val="white"/>
        </w:rPr>
        <w:t>trans</w:t>
      </w:r>
      <w:r>
        <w:rPr>
          <w:highlight w:val="white"/>
        </w:rPr>
        <w:t xml:space="preserve">-eQTLs and </w:t>
      </w:r>
      <w:r>
        <w:rPr>
          <w:i/>
          <w:highlight w:val="white"/>
        </w:rPr>
        <w:t>cis</w:t>
      </w:r>
      <w:r>
        <w:rPr>
          <w:highlight w:val="white"/>
        </w:rPr>
        <w:t xml:space="preserve">-eQTLs, there might also exist unknown </w:t>
      </w:r>
      <w:r>
        <w:rPr>
          <w:i/>
          <w:highlight w:val="white"/>
        </w:rPr>
        <w:t>trans</w:t>
      </w:r>
      <w:r>
        <w:rPr>
          <w:highlight w:val="white"/>
        </w:rPr>
        <w:t xml:space="preserve">-regulatory mechanisms, independent of </w:t>
      </w:r>
      <w:r>
        <w:rPr>
          <w:i/>
          <w:highlight w:val="white"/>
        </w:rPr>
        <w:t>cis</w:t>
      </w:r>
      <w:r>
        <w:rPr>
          <w:highlight w:val="white"/>
        </w:rPr>
        <w:t xml:space="preserve"> gene expression or splicing, which is subject to future studies. </w:t>
      </w:r>
    </w:p>
    <w:p w14:paraId="623C4334" w14:textId="77777777" w:rsidR="00DE2CDE" w:rsidRDefault="00DE2CDE">
      <w:pPr>
        <w:jc w:val="both"/>
        <w:rPr>
          <w:highlight w:val="white"/>
        </w:rPr>
      </w:pPr>
    </w:p>
    <w:p w14:paraId="3CEB0D57" w14:textId="77777777" w:rsidR="00DE2CDE" w:rsidRDefault="00000000">
      <w:pPr>
        <w:jc w:val="both"/>
        <w:rPr>
          <w:highlight w:val="white"/>
        </w:rPr>
      </w:pPr>
      <w:r>
        <w:rPr>
          <w:highlight w:val="white"/>
        </w:rPr>
        <w:t>We also investigated</w:t>
      </w:r>
      <w:r>
        <w:t xml:space="preserve"> </w:t>
      </w:r>
      <w:r>
        <w:rPr>
          <w:highlight w:val="white"/>
        </w:rPr>
        <w:t xml:space="preserve">the types and functions of genes that are likely to mediate </w:t>
      </w:r>
      <w:r>
        <w:rPr>
          <w:i/>
          <w:highlight w:val="white"/>
        </w:rPr>
        <w:t>trans</w:t>
      </w:r>
      <w:r>
        <w:rPr>
          <w:highlight w:val="white"/>
        </w:rPr>
        <w:t xml:space="preserve">-eQTL effects. We found that the genes nearest </w:t>
      </w:r>
      <w:r>
        <w:rPr>
          <w:i/>
          <w:highlight w:val="white"/>
        </w:rPr>
        <w:t>trans</w:t>
      </w:r>
      <w:r>
        <w:rPr>
          <w:highlight w:val="white"/>
        </w:rPr>
        <w:t>-eQTLs are highly enriched in “RNA polymerase II trans</w:t>
      </w:r>
      <w:r>
        <w:t xml:space="preserve">cription regulatory region sequence-specific DNA binding” (adjusted </w:t>
      </w:r>
      <w:r>
        <w:rPr>
          <w:i/>
        </w:rPr>
        <w:t>P</w:t>
      </w:r>
      <w:r>
        <w:t xml:space="preserve"> = </w:t>
      </w:r>
      <m:oMath>
        <m:r>
          <w:rPr>
            <w:rFonts w:ascii="Cambria Math" w:eastAsia="Cambria Math" w:hAnsi="Cambria Math" w:cs="Cambria Math"/>
          </w:rPr>
          <m:t>1.26×1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-3</m:t>
            </m:r>
          </m:sup>
        </m:sSup>
      </m:oMath>
      <w:r>
        <w:t xml:space="preserve">) and “DNA-binding transcription factor activity” (adjusted </w:t>
      </w:r>
      <w:r>
        <w:rPr>
          <w:i/>
        </w:rPr>
        <w:t>P</w:t>
      </w:r>
      <w:r>
        <w:t xml:space="preserve"> = </w:t>
      </w:r>
      <m:oMath>
        <m:r>
          <w:rPr>
            <w:rFonts w:ascii="Cambria Math" w:eastAsia="Cambria Math" w:hAnsi="Cambria Math" w:cs="Cambria Math"/>
          </w:rPr>
          <m:t>1.39×1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-3</m:t>
            </m:r>
          </m:sup>
        </m:sSup>
      </m:oMath>
      <w:r>
        <w:t xml:space="preserve">, Table S5), suggesting that transcription factors are important mediators of </w:t>
      </w:r>
      <w:r>
        <w:rPr>
          <w:i/>
        </w:rPr>
        <w:t>trans</w:t>
      </w:r>
      <w:r>
        <w:t xml:space="preserve">-eQTL effects. Indeed, trans-PCO identified </w:t>
      </w:r>
      <w:r>
        <w:lastRenderedPageBreak/>
        <w:t xml:space="preserve">and replicated several well-known master </w:t>
      </w:r>
      <w:r>
        <w:rPr>
          <w:i/>
        </w:rPr>
        <w:t>trans</w:t>
      </w:r>
      <w:r>
        <w:t xml:space="preserve"> regulators in blood, such as </w:t>
      </w:r>
      <w:r>
        <w:rPr>
          <w:i/>
        </w:rPr>
        <w:t>IKZF1</w:t>
      </w:r>
      <w:hyperlink r:id="rId59">
        <w:r>
          <w:rPr>
            <w:vertAlign w:val="superscript"/>
          </w:rPr>
          <w:t>27,34,35</w:t>
        </w:r>
      </w:hyperlink>
      <w:r>
        <w:t xml:space="preserve">, </w:t>
      </w:r>
      <w:r>
        <w:rPr>
          <w:i/>
        </w:rPr>
        <w:t>NFKBIA</w:t>
      </w:r>
      <w:hyperlink r:id="rId60">
        <w:r>
          <w:rPr>
            <w:vertAlign w:val="superscript"/>
          </w:rPr>
          <w:t>27</w:t>
        </w:r>
      </w:hyperlink>
      <w:r>
        <w:rPr>
          <w:i/>
        </w:rPr>
        <w:t>, NFE2</w:t>
      </w:r>
      <w:hyperlink r:id="rId61">
        <w:r>
          <w:rPr>
            <w:vertAlign w:val="superscript"/>
          </w:rPr>
          <w:t>10,27,36</w:t>
        </w:r>
      </w:hyperlink>
      <w:r>
        <w:t xml:space="preserve">, and </w:t>
      </w:r>
      <w:r>
        <w:rPr>
          <w:i/>
        </w:rPr>
        <w:t>PLAGL1</w:t>
      </w:r>
      <w:hyperlink r:id="rId62">
        <w:r>
          <w:rPr>
            <w:vertAlign w:val="superscript"/>
          </w:rPr>
          <w:t>27,35</w:t>
        </w:r>
      </w:hyperlink>
      <w:r>
        <w:t xml:space="preserve"> (</w:t>
      </w:r>
      <w:r>
        <w:rPr>
          <w:b/>
        </w:rPr>
        <w:t>Figure 3A</w:t>
      </w:r>
      <w:r>
        <w:t xml:space="preserve">). We also found colocalization of these </w:t>
      </w:r>
      <w:r>
        <w:rPr>
          <w:i/>
        </w:rPr>
        <w:t>trans</w:t>
      </w:r>
      <w:r>
        <w:t xml:space="preserve">-eQTLs with </w:t>
      </w:r>
      <w:r>
        <w:rPr>
          <w:i/>
        </w:rPr>
        <w:t>cis</w:t>
      </w:r>
      <w:r>
        <w:t xml:space="preserve">-eQTLs at the </w:t>
      </w:r>
      <w:r>
        <w:rPr>
          <w:i/>
        </w:rPr>
        <w:t>NFKBIA</w:t>
      </w:r>
      <w:r>
        <w:t xml:space="preserve">, </w:t>
      </w:r>
      <w:r>
        <w:rPr>
          <w:i/>
        </w:rPr>
        <w:t>NFE2</w:t>
      </w:r>
      <w:r>
        <w:t xml:space="preserve"> and </w:t>
      </w:r>
      <w:r>
        <w:rPr>
          <w:i/>
        </w:rPr>
        <w:t>PLAGL1</w:t>
      </w:r>
      <w:r>
        <w:t xml:space="preserve"> loci (</w:t>
      </w:r>
      <w:r>
        <w:rPr>
          <w:b/>
        </w:rPr>
        <w:t>Figure 3D</w:t>
      </w:r>
      <w:r>
        <w:t xml:space="preserve">, Figure S3), supporting the conclusion that these genes are likely the </w:t>
      </w:r>
      <w:r>
        <w:rPr>
          <w:i/>
        </w:rPr>
        <w:t>cis</w:t>
      </w:r>
      <w:r>
        <w:t xml:space="preserve">-mediating genes. </w:t>
      </w:r>
    </w:p>
    <w:p w14:paraId="206B8837" w14:textId="77777777" w:rsidR="00DE2CDE" w:rsidRDefault="00000000">
      <w:pPr>
        <w:pStyle w:val="Heading3"/>
        <w:rPr>
          <w:color w:val="000000"/>
          <w:highlight w:val="white"/>
        </w:rPr>
      </w:pPr>
      <w:bookmarkStart w:id="7" w:name="_17dp8vu" w:colFirst="0" w:colLast="0"/>
      <w:bookmarkEnd w:id="7"/>
      <w:r>
        <w:t xml:space="preserve">High quality map of </w:t>
      </w:r>
      <w:r>
        <w:rPr>
          <w:i/>
        </w:rPr>
        <w:t>trans</w:t>
      </w:r>
      <w:r>
        <w:t xml:space="preserve">-eSNP to gene module associations improves functional interpretation </w:t>
      </w:r>
    </w:p>
    <w:p w14:paraId="58557601" w14:textId="77777777" w:rsidR="00DE2CDE" w:rsidRDefault="00000000">
      <w:pPr>
        <w:jc w:val="both"/>
      </w:pPr>
      <w:r>
        <w:t xml:space="preserve">Most of the gene modules used in trans-PCO have functional annotations, which allows us to interpret the functional roles of the </w:t>
      </w:r>
      <w:r>
        <w:rPr>
          <w:i/>
        </w:rPr>
        <w:t>trans</w:t>
      </w:r>
      <w:r>
        <w:t>-eQTLs identified by the method. We first functionally annotated the 166 co-expression modules using g:Profiler</w:t>
      </w:r>
      <w:hyperlink r:id="rId63">
        <w:r>
          <w:rPr>
            <w:vertAlign w:val="superscript"/>
          </w:rPr>
          <w:t>37</w:t>
        </w:r>
      </w:hyperlink>
      <w:r>
        <w:t>, wh</w:t>
      </w:r>
      <w:r>
        <w:rPr>
          <w:highlight w:val="white"/>
        </w:rPr>
        <w:t xml:space="preserve">ich performs functional enrichment analysis on gene sets using predefined </w:t>
      </w:r>
      <w:r>
        <w:t xml:space="preserve">gene ontology and pathway annotations. This allowed us to annotate 131 of the 166 modules with at least one significantly enriched gene ontology or pathway (Table S6). </w:t>
      </w:r>
    </w:p>
    <w:p w14:paraId="619CDDE7" w14:textId="77777777" w:rsidR="00DE2CDE" w:rsidRDefault="00DE2CDE">
      <w:pPr>
        <w:jc w:val="both"/>
      </w:pPr>
    </w:p>
    <w:p w14:paraId="59F9C314" w14:textId="77777777" w:rsidR="00DE2CDE" w:rsidRDefault="00000000">
      <w:pPr>
        <w:jc w:val="both"/>
      </w:pPr>
      <w:r>
        <w:t>These annotations</w:t>
      </w:r>
      <w:r>
        <w:rPr>
          <w:highlight w:val="white"/>
        </w:rPr>
        <w:t xml:space="preserve"> helped us interpret the function of identified </w:t>
      </w:r>
      <w:r>
        <w:rPr>
          <w:i/>
          <w:highlight w:val="white"/>
        </w:rPr>
        <w:t>trans</w:t>
      </w:r>
      <w:r>
        <w:rPr>
          <w:highlight w:val="white"/>
        </w:rPr>
        <w:t xml:space="preserve"> effects. For example, the </w:t>
      </w:r>
      <w:r>
        <w:rPr>
          <w:i/>
          <w:highlight w:val="white"/>
        </w:rPr>
        <w:t>trans</w:t>
      </w:r>
      <w:r>
        <w:rPr>
          <w:highlight w:val="white"/>
        </w:rPr>
        <w:t xml:space="preserve">-eQTL signal near </w:t>
      </w:r>
      <w:r>
        <w:rPr>
          <w:i/>
          <w:highlight w:val="white"/>
        </w:rPr>
        <w:t>IKZF1</w:t>
      </w:r>
      <w:r>
        <w:rPr>
          <w:highlight w:val="white"/>
        </w:rPr>
        <w:t xml:space="preserve"> (on chromosome 7) is significantly associated with 27 gene modu</w:t>
      </w:r>
      <w:r>
        <w:t xml:space="preserve">les. </w:t>
      </w:r>
      <w:r>
        <w:rPr>
          <w:i/>
        </w:rPr>
        <w:t>IKZF1</w:t>
      </w:r>
      <w:r>
        <w:t xml:space="preserve"> encodes a transcription factor IKAROS that belongs to the family of zinc finger DNA binding proteins</w:t>
      </w:r>
      <w:hyperlink r:id="rId64">
        <w:r>
          <w:rPr>
            <w:vertAlign w:val="superscript"/>
          </w:rPr>
          <w:t>38</w:t>
        </w:r>
      </w:hyperlink>
      <w:r>
        <w:t xml:space="preserve">. The </w:t>
      </w:r>
      <w:r>
        <w:rPr>
          <w:i/>
        </w:rPr>
        <w:t>IKZF1</w:t>
      </w:r>
      <w:r>
        <w:t xml:space="preserve"> (IKAROS) </w:t>
      </w:r>
      <w:r>
        <w:rPr>
          <w:i/>
        </w:rPr>
        <w:t>trans</w:t>
      </w:r>
      <w:r>
        <w:t xml:space="preserve">-target gene module 159 (M159) is significantly enriched in the “positive regulation of transcription of Notch receptor target” (adjusted </w:t>
      </w:r>
      <w:r>
        <w:rPr>
          <w:i/>
        </w:rPr>
        <w:t>P</w:t>
      </w:r>
      <w:r>
        <w:t xml:space="preserve"> = </w:t>
      </w:r>
      <m:oMath>
        <m:r>
          <w:rPr>
            <w:rFonts w:ascii="Cambria Math" w:eastAsia="Cambria Math" w:hAnsi="Cambria Math" w:cs="Cambria Math"/>
          </w:rPr>
          <m:t>6.82×1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-3</m:t>
            </m:r>
          </m:sup>
        </m:sSup>
      </m:oMath>
      <w:r>
        <w:t xml:space="preserve">, </w:t>
      </w:r>
      <w:r>
        <w:rPr>
          <w:b/>
        </w:rPr>
        <w:t>Figure 3E</w:t>
      </w:r>
      <w:r>
        <w:t xml:space="preserve">). Reassuringly, it was previously found that IKAROS is a repressor of many Notch targets, and our </w:t>
      </w:r>
      <w:r>
        <w:rPr>
          <w:i/>
        </w:rPr>
        <w:t>trans</w:t>
      </w:r>
      <w:r>
        <w:t xml:space="preserve">-eQTL signal further supports the </w:t>
      </w:r>
      <w:r>
        <w:rPr>
          <w:i/>
        </w:rPr>
        <w:t>trans</w:t>
      </w:r>
      <w:r>
        <w:t xml:space="preserve"> regulation of Notch signaling pathway by IKAROS</w:t>
      </w:r>
      <w:hyperlink r:id="rId65">
        <w:r>
          <w:rPr>
            <w:vertAlign w:val="superscript"/>
          </w:rPr>
          <w:t>39</w:t>
        </w:r>
      </w:hyperlink>
      <w:r>
        <w:t xml:space="preserve">. </w:t>
      </w:r>
      <w:r>
        <w:rPr>
          <w:i/>
        </w:rPr>
        <w:t>IKZF1</w:t>
      </w:r>
      <w:r>
        <w:t xml:space="preserve"> </w:t>
      </w:r>
      <w:r>
        <w:rPr>
          <w:i/>
        </w:rPr>
        <w:t>trans</w:t>
      </w:r>
      <w:r>
        <w:t xml:space="preserve">-target module 3 (M3) is significantly enriched in the gene ontology term “defense response to virus” (Figure S4, adjusted </w:t>
      </w:r>
      <w:r>
        <w:rPr>
          <w:i/>
        </w:rPr>
        <w:t>P</w:t>
      </w:r>
      <w:r>
        <w:t xml:space="preserve"> = </w:t>
      </w:r>
      <m:oMath>
        <m:r>
          <w:rPr>
            <w:rFonts w:ascii="Cambria Math" w:eastAsia="Cambria Math" w:hAnsi="Cambria Math" w:cs="Cambria Math"/>
          </w:rPr>
          <m:t>8.7×1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-31</m:t>
            </m:r>
          </m:sup>
        </m:sSup>
      </m:oMath>
      <w:r>
        <w:t xml:space="preserve">) and M35 is significantly enriched in the innate immune system (adjusted </w:t>
      </w:r>
      <w:r>
        <w:rPr>
          <w:i/>
        </w:rPr>
        <w:t>P</w:t>
      </w:r>
      <w:r>
        <w:t xml:space="preserve"> = </w:t>
      </w:r>
      <m:oMath>
        <m:r>
          <w:rPr>
            <w:rFonts w:ascii="Cambria Math" w:eastAsia="Cambria Math" w:hAnsi="Cambria Math" w:cs="Cambria Math"/>
          </w:rPr>
          <m:t>4.09×1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-17</m:t>
            </m:r>
          </m:sup>
        </m:sSup>
      </m:oMath>
      <w:r>
        <w:t xml:space="preserve">). This data supports the conclusion that the </w:t>
      </w:r>
      <w:r>
        <w:rPr>
          <w:i/>
        </w:rPr>
        <w:t>IKZF1</w:t>
      </w:r>
      <w:r>
        <w:t xml:space="preserve"> locus plays a </w:t>
      </w:r>
      <w:r>
        <w:rPr>
          <w:i/>
        </w:rPr>
        <w:t>trans</w:t>
      </w:r>
      <w:r>
        <w:t>-regulatory role in immune responses (</w:t>
      </w:r>
      <w:r>
        <w:rPr>
          <w:b/>
        </w:rPr>
        <w:t>Figure 3E</w:t>
      </w:r>
      <w:r>
        <w:t xml:space="preserve">). </w:t>
      </w:r>
      <w:r>
        <w:rPr>
          <w:highlight w:val="white"/>
        </w:rPr>
        <w:t xml:space="preserve">The </w:t>
      </w:r>
      <w:r>
        <w:rPr>
          <w:i/>
          <w:highlight w:val="white"/>
        </w:rPr>
        <w:t>trans</w:t>
      </w:r>
      <w:r>
        <w:rPr>
          <w:highlight w:val="white"/>
        </w:rPr>
        <w:t xml:space="preserve">-eQTLs near </w:t>
      </w:r>
      <w:r>
        <w:rPr>
          <w:i/>
          <w:highlight w:val="white"/>
        </w:rPr>
        <w:t>NFKBIA</w:t>
      </w:r>
      <w:r>
        <w:rPr>
          <w:highlight w:val="white"/>
        </w:rPr>
        <w:t>, which encode NF-kappa-B inhibitor subunit A, are significantly associated with module 66 (M66) (</w:t>
      </w:r>
      <w:r>
        <w:t xml:space="preserve">adjusted </w:t>
      </w:r>
      <w:r>
        <w:rPr>
          <w:i/>
        </w:rPr>
        <w:t>P</w:t>
      </w:r>
      <w:r>
        <w:t xml:space="preserve"> </w:t>
      </w:r>
      <m:oMath>
        <m:r>
          <w:rPr>
            <w:rFonts w:ascii="Cambria Math" w:eastAsia="Cambria Math" w:hAnsi="Cambria Math" w:cs="Cambria Math"/>
          </w:rPr>
          <m:t>&lt;1.8×1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-7</m:t>
            </m:r>
          </m:sup>
        </m:sSup>
      </m:oMath>
      <w:r>
        <w:rPr>
          <w:highlight w:val="white"/>
        </w:rPr>
        <w:t>, adjusted</w:t>
      </w:r>
      <w:r>
        <w:t xml:space="preserve"> </w:t>
      </w:r>
      <w:r>
        <w:rPr>
          <w:i/>
        </w:rPr>
        <w:t>P</w:t>
      </w:r>
      <w:r>
        <w:t xml:space="preserve"> </w:t>
      </w:r>
      <m:oMath>
        <m:r>
          <w:rPr>
            <w:rFonts w:ascii="Cambria Math" w:eastAsia="Cambria Math" w:hAnsi="Cambria Math" w:cs="Cambria Math"/>
          </w:rPr>
          <m:t>&lt;9.9×1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-2</m:t>
            </m:r>
          </m:sup>
        </m:sSup>
      </m:oMath>
      <w:r>
        <w:rPr>
          <w:highlight w:val="white"/>
        </w:rPr>
        <w:t xml:space="preserve">). Interestingly, we found that M66 is highly enriched in NF-kappa-B signaling pathway (adjusted </w:t>
      </w:r>
      <w:r>
        <w:rPr>
          <w:i/>
          <w:highlight w:val="white"/>
        </w:rPr>
        <w:t>P</w:t>
      </w:r>
      <w:r>
        <w:rPr>
          <w:highlight w:val="white"/>
        </w:rPr>
        <w:t xml:space="preserve"> = </w:t>
      </w:r>
      <m:oMath>
        <m:r>
          <w:rPr>
            <w:rFonts w:ascii="Cambria Math" w:eastAsia="Cambria Math" w:hAnsi="Cambria Math" w:cs="Cambria Math"/>
            <w:highlight w:val="white"/>
          </w:rPr>
          <m:t>8.35×1</m:t>
        </m:r>
        <m:sSup>
          <m:sSupPr>
            <m:ctrlPr>
              <w:rPr>
                <w:rFonts w:ascii="Cambria Math" w:eastAsia="Cambria Math" w:hAnsi="Cambria Math" w:cs="Cambria Math"/>
                <w:highlight w:val="white"/>
              </w:rPr>
            </m:ctrlPr>
          </m:sSupPr>
          <m:e>
            <m:r>
              <w:rPr>
                <w:rFonts w:ascii="Cambria Math" w:eastAsia="Cambria Math" w:hAnsi="Cambria Math" w:cs="Cambria Math"/>
                <w:highlight w:val="white"/>
              </w:rPr>
              <m:t>0</m:t>
            </m:r>
          </m:e>
          <m:sup>
            <m:r>
              <w:rPr>
                <w:rFonts w:ascii="Cambria Math" w:eastAsia="Cambria Math" w:hAnsi="Cambria Math" w:cs="Cambria Math"/>
                <w:highlight w:val="white"/>
              </w:rPr>
              <m:t>-5</m:t>
            </m:r>
          </m:sup>
        </m:sSup>
      </m:oMath>
      <w:r>
        <w:rPr>
          <w:highlight w:val="white"/>
        </w:rPr>
        <w:t xml:space="preserve">, </w:t>
      </w:r>
      <w:r>
        <w:rPr>
          <w:b/>
          <w:highlight w:val="white"/>
        </w:rPr>
        <w:t>Figure 3E</w:t>
      </w:r>
      <w:r>
        <w:rPr>
          <w:highlight w:val="white"/>
        </w:rPr>
        <w:t xml:space="preserve">), which supports the </w:t>
      </w:r>
      <w:r>
        <w:rPr>
          <w:i/>
          <w:highlight w:val="white"/>
        </w:rPr>
        <w:t>trans</w:t>
      </w:r>
      <w:r>
        <w:rPr>
          <w:highlight w:val="white"/>
        </w:rPr>
        <w:t xml:space="preserve"> regulation of the NF-kappa-B signaling pathway by </w:t>
      </w:r>
      <w:r>
        <w:rPr>
          <w:i/>
          <w:highlight w:val="white"/>
        </w:rPr>
        <w:t>NFKBIA</w:t>
      </w:r>
      <w:r>
        <w:rPr>
          <w:highlight w:val="white"/>
        </w:rPr>
        <w:t xml:space="preserve">. The complete list of </w:t>
      </w:r>
      <w:r>
        <w:rPr>
          <w:i/>
          <w:highlight w:val="white"/>
        </w:rPr>
        <w:t>trans</w:t>
      </w:r>
      <w:r>
        <w:rPr>
          <w:highlight w:val="white"/>
        </w:rPr>
        <w:t>-eQTLs signal</w:t>
      </w:r>
      <w:r>
        <w:t xml:space="preserve">s and functional annotations of </w:t>
      </w:r>
      <w:r>
        <w:rPr>
          <w:i/>
        </w:rPr>
        <w:t>trans</w:t>
      </w:r>
      <w:r>
        <w:t xml:space="preserve">-target gene modules can be found in Supplementary Table S3 and Table S6. </w:t>
      </w:r>
    </w:p>
    <w:p w14:paraId="5DBDC023" w14:textId="77777777" w:rsidR="00DE2CDE" w:rsidRDefault="00000000">
      <w:pPr>
        <w:pStyle w:val="Heading2"/>
        <w:jc w:val="both"/>
      </w:pPr>
      <w:bookmarkStart w:id="8" w:name="_3rdcrjn" w:colFirst="0" w:colLast="0"/>
      <w:bookmarkEnd w:id="8"/>
      <w:r>
        <w:t>Trans-PCO</w:t>
      </w:r>
      <w:r>
        <w:rPr>
          <w:i/>
        </w:rPr>
        <w:t xml:space="preserve"> </w:t>
      </w:r>
      <w:r>
        <w:t>identifies 965</w:t>
      </w:r>
      <w:r>
        <w:rPr>
          <w:i/>
        </w:rPr>
        <w:t xml:space="preserve"> trans</w:t>
      </w:r>
      <w:r>
        <w:t xml:space="preserve">-eSNP–module pairs associated with well-defined biological processes </w:t>
      </w:r>
    </w:p>
    <w:p w14:paraId="5380F1CE" w14:textId="77777777" w:rsidR="00DE2CDE" w:rsidRDefault="00000000">
      <w:pPr>
        <w:jc w:val="both"/>
      </w:pPr>
      <w:r>
        <w:t>To further demonstrate the utility of trans-PCO, we applied trans-PCO to 50 MSigDB hallmark gene sets, which represent well-defined biological processes</w:t>
      </w:r>
      <w:hyperlink r:id="rId66">
        <w:r>
          <w:rPr>
            <w:vertAlign w:val="superscript"/>
          </w:rPr>
          <w:t>29</w:t>
        </w:r>
      </w:hyperlink>
      <w:r>
        <w:t xml:space="preserve">, including DNA repair, coagulation, heme metabolism, Notch signaling etc. (Table S14). Each gene set contains between 32 and 200 genes. In DGN, we identified 965 significant </w:t>
      </w:r>
      <w:r>
        <w:rPr>
          <w:i/>
        </w:rPr>
        <w:t>trans</w:t>
      </w:r>
      <w:r>
        <w:t xml:space="preserve">-eSNP–module pairs, corresponding to 41 gene sets and 43 </w:t>
      </w:r>
      <w:r>
        <w:rPr>
          <w:i/>
        </w:rPr>
        <w:t>trans</w:t>
      </w:r>
      <w:r>
        <w:t xml:space="preserve">-loci–module pairs (R2&lt;0.2), at 10% FDR level (Figure S5, Table S15). </w:t>
      </w:r>
    </w:p>
    <w:p w14:paraId="14C945AE" w14:textId="77777777" w:rsidR="00DE2CDE" w:rsidRDefault="00DE2CDE">
      <w:pPr>
        <w:jc w:val="both"/>
      </w:pPr>
    </w:p>
    <w:p w14:paraId="0882CF86" w14:textId="77777777" w:rsidR="00DE2CDE" w:rsidRDefault="00000000">
      <w:pPr>
        <w:jc w:val="both"/>
      </w:pPr>
      <w:r>
        <w:rPr>
          <w:i/>
        </w:rPr>
        <w:t>Trans</w:t>
      </w:r>
      <w:r>
        <w:t xml:space="preserve">-eQTLs associated with well-defined biological processes facilitate interpretation of the </w:t>
      </w:r>
      <w:r>
        <w:rPr>
          <w:i/>
        </w:rPr>
        <w:t>trans</w:t>
      </w:r>
      <w:r>
        <w:t xml:space="preserve">-eQTL signals. For example, we identified several </w:t>
      </w:r>
      <w:r>
        <w:rPr>
          <w:i/>
        </w:rPr>
        <w:t>trans</w:t>
      </w:r>
      <w:r>
        <w:t xml:space="preserve">-eQTL signals at the </w:t>
      </w:r>
      <w:r>
        <w:rPr>
          <w:i/>
        </w:rPr>
        <w:t>NLRC5</w:t>
      </w:r>
      <w:r>
        <w:t xml:space="preserve"> locus </w:t>
      </w:r>
      <w:r>
        <w:lastRenderedPageBreak/>
        <w:t xml:space="preserve">(Table S15). The </w:t>
      </w:r>
      <w:r>
        <w:rPr>
          <w:i/>
        </w:rPr>
        <w:t>trans</w:t>
      </w:r>
      <w:r>
        <w:t xml:space="preserve"> target gene set is the “interferon alpha response” gene set, suggesting </w:t>
      </w:r>
      <w:r>
        <w:rPr>
          <w:i/>
        </w:rPr>
        <w:t>trans</w:t>
      </w:r>
      <w:r>
        <w:t xml:space="preserve"> regulation from </w:t>
      </w:r>
      <w:r>
        <w:rPr>
          <w:i/>
        </w:rPr>
        <w:t>NLRC5</w:t>
      </w:r>
      <w:r>
        <w:t xml:space="preserve"> to the interferon signaling pathway. Reassuringly, earlier studies have confirmed that </w:t>
      </w:r>
      <w:r>
        <w:rPr>
          <w:i/>
        </w:rPr>
        <w:t>NLRC5</w:t>
      </w:r>
      <w:r>
        <w:t xml:space="preserve"> is a master regulator for MHC class II genes and negatively regulates the interferon signaling pathway</w:t>
      </w:r>
      <w:hyperlink r:id="rId67">
        <w:r>
          <w:rPr>
            <w:vertAlign w:val="superscript"/>
          </w:rPr>
          <w:t>40,41</w:t>
        </w:r>
      </w:hyperlink>
      <w:r>
        <w:t xml:space="preserve">. The </w:t>
      </w:r>
      <w:r>
        <w:rPr>
          <w:i/>
        </w:rPr>
        <w:t>trans</w:t>
      </w:r>
      <w:r>
        <w:t xml:space="preserve">-eQTL signals also validated our previous interpretations of </w:t>
      </w:r>
      <w:r>
        <w:rPr>
          <w:i/>
        </w:rPr>
        <w:t>trans</w:t>
      </w:r>
      <w:r>
        <w:t xml:space="preserve">-eQTLs associated with co-expression gene modules. For example, in agreement with our analysis of co-expression modules, we found that the </w:t>
      </w:r>
      <w:r>
        <w:rPr>
          <w:i/>
        </w:rPr>
        <w:t>IKZF1</w:t>
      </w:r>
      <w:r>
        <w:t xml:space="preserve"> locus is significantly associated with several immune-related biological processes, such as interferon gamma response (Table S15, </w:t>
      </w:r>
      <w:r>
        <w:rPr>
          <w:b/>
        </w:rPr>
        <w:t>Figure 3E</w:t>
      </w:r>
      <w:r>
        <w:t xml:space="preserve">). </w:t>
      </w:r>
    </w:p>
    <w:p w14:paraId="1D5FFAB5" w14:textId="77777777" w:rsidR="00DE2CDE" w:rsidRDefault="00DE2CDE">
      <w:pPr>
        <w:jc w:val="both"/>
      </w:pPr>
    </w:p>
    <w:p w14:paraId="0621BFFC" w14:textId="77777777" w:rsidR="00DE2CDE" w:rsidRDefault="00000000">
      <w:pPr>
        <w:jc w:val="center"/>
        <w:rPr>
          <w:b/>
        </w:rPr>
      </w:pPr>
      <w:r>
        <w:rPr>
          <w:b/>
          <w:noProof/>
        </w:rPr>
        <w:lastRenderedPageBreak/>
        <w:drawing>
          <wp:inline distT="114300" distB="114300" distL="114300" distR="114300" wp14:anchorId="189DC09E" wp14:editId="76F33F71">
            <wp:extent cx="5943600" cy="7289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5943600" cy="7289800"/>
                    </a:xfrm>
                    <a:prstGeom prst="rect">
                      <a:avLst/>
                    </a:prstGeom>
                    <a:ln/>
                  </pic:spPr>
                </pic:pic>
              </a:graphicData>
            </a:graphic>
          </wp:inline>
        </w:drawing>
      </w:r>
    </w:p>
    <w:p w14:paraId="57CECBEF" w14:textId="77777777" w:rsidR="00DE2CDE" w:rsidRDefault="00000000">
      <w:pPr>
        <w:jc w:val="both"/>
      </w:pPr>
      <w:r>
        <w:rPr>
          <w:b/>
        </w:rPr>
        <w:t>Figure 3. Trans-PCO i</w:t>
      </w:r>
      <w:r>
        <w:rPr>
          <w:b/>
          <w:highlight w:val="white"/>
        </w:rPr>
        <w:t xml:space="preserve">dentifies </w:t>
      </w:r>
      <w:r>
        <w:rPr>
          <w:b/>
          <w:i/>
          <w:highlight w:val="white"/>
        </w:rPr>
        <w:t>trans</w:t>
      </w:r>
      <w:r>
        <w:rPr>
          <w:b/>
          <w:highlight w:val="white"/>
        </w:rPr>
        <w:t>-eQTLs associated with co-ex</w:t>
      </w:r>
      <w:r>
        <w:rPr>
          <w:b/>
        </w:rPr>
        <w:t>pression gene modules in DGN. (A)</w:t>
      </w:r>
      <w:r>
        <w:t xml:space="preserve"> </w:t>
      </w:r>
      <w:r>
        <w:rPr>
          <w:b/>
        </w:rPr>
        <w:t xml:space="preserve">Significant </w:t>
      </w:r>
      <w:r>
        <w:rPr>
          <w:b/>
          <w:i/>
        </w:rPr>
        <w:t>trans</w:t>
      </w:r>
      <w:r>
        <w:rPr>
          <w:b/>
        </w:rPr>
        <w:t>-eQTL signals associated with 166 co-expression modules in DGN.</w:t>
      </w:r>
      <w:r>
        <w:t xml:space="preserve"> Chromosomal positions of </w:t>
      </w:r>
      <w:r>
        <w:rPr>
          <w:i/>
        </w:rPr>
        <w:t>trans</w:t>
      </w:r>
      <w:r>
        <w:t>-eSNPs are on the x-axis, and gene modules are on the y-axis. Point sizes are -Log</w:t>
      </w:r>
      <w:r>
        <w:rPr>
          <w:vertAlign w:val="subscript"/>
        </w:rPr>
        <w:t>10</w:t>
      </w:r>
      <w:r>
        <w:t>(</w:t>
      </w:r>
      <w:r>
        <w:rPr>
          <w:i/>
        </w:rPr>
        <w:t>P</w:t>
      </w:r>
      <w:r>
        <w:t xml:space="preserve">) values of significant </w:t>
      </w:r>
      <w:r>
        <w:rPr>
          <w:i/>
        </w:rPr>
        <w:t>trans</w:t>
      </w:r>
      <w:r>
        <w:t>-eQTLs. Purple and orange represent odd and even chromosomes, respectively. (</w:t>
      </w:r>
      <w:r>
        <w:rPr>
          <w:b/>
        </w:rPr>
        <w:t>B)</w:t>
      </w:r>
      <w:r>
        <w:t xml:space="preserve"> Comparison of the magnitude of significant </w:t>
      </w:r>
      <w:r>
        <w:rPr>
          <w:i/>
        </w:rPr>
        <w:t>trans</w:t>
      </w:r>
      <w:r>
        <w:t>-</w:t>
      </w:r>
      <w:r>
        <w:lastRenderedPageBreak/>
        <w:t xml:space="preserve">eQTLs effects detected by trans-PCO and the univariate method. X-axis shows signal categories: trans-PCO specific signals (Trans-PCO), univariate test specific signals (Univariate), and signals identified by both methods (Both). The maximum z-scores of each SNP and each gene in a gene module is used to represent the SNP-module pair. The numbers on top are the number of signals in each category. Line type represents the target type of signals (gene module vs single gene). Y-axis is the absolute value of the z-scores of the signals. </w:t>
      </w:r>
      <w:r>
        <w:rPr>
          <w:b/>
        </w:rPr>
        <w:t>(C)</w:t>
      </w:r>
      <w:r>
        <w:t xml:space="preserve"> </w:t>
      </w:r>
      <w:r>
        <w:rPr>
          <w:b/>
        </w:rPr>
        <w:t xml:space="preserve">Colocalization of </w:t>
      </w:r>
      <w:r>
        <w:rPr>
          <w:b/>
          <w:i/>
        </w:rPr>
        <w:t>trans</w:t>
      </w:r>
      <w:r>
        <w:rPr>
          <w:b/>
        </w:rPr>
        <w:t xml:space="preserve">-eQTLs and </w:t>
      </w:r>
      <w:r>
        <w:rPr>
          <w:b/>
          <w:i/>
        </w:rPr>
        <w:t>cis</w:t>
      </w:r>
      <w:r>
        <w:rPr>
          <w:b/>
        </w:rPr>
        <w:t>-e/sQTLs.</w:t>
      </w:r>
      <w:r>
        <w:t xml:space="preserve"> The gray bar represents the </w:t>
      </w:r>
      <w:r>
        <w:rPr>
          <w:i/>
        </w:rPr>
        <w:t>trans</w:t>
      </w:r>
      <w:r>
        <w:t xml:space="preserve">-loci used for colocalization analyses. The bar highlighted in blue represents </w:t>
      </w:r>
      <w:r>
        <w:rPr>
          <w:i/>
        </w:rPr>
        <w:t>trans-</w:t>
      </w:r>
      <w:r>
        <w:t xml:space="preserve">loci colocalized with </w:t>
      </w:r>
      <w:r>
        <w:rPr>
          <w:i/>
        </w:rPr>
        <w:t>cis</w:t>
      </w:r>
      <w:r>
        <w:t xml:space="preserve">-sQTLs, red for </w:t>
      </w:r>
      <w:r>
        <w:rPr>
          <w:i/>
        </w:rPr>
        <w:t>cis</w:t>
      </w:r>
      <w:r>
        <w:t xml:space="preserve">-eQTLs, and mixed color for either </w:t>
      </w:r>
      <w:r>
        <w:rPr>
          <w:i/>
        </w:rPr>
        <w:t>cis</w:t>
      </w:r>
      <w:r>
        <w:t xml:space="preserve">-eQTLs or </w:t>
      </w:r>
      <w:r>
        <w:rPr>
          <w:i/>
        </w:rPr>
        <w:t>cis</w:t>
      </w:r>
      <w:r>
        <w:t xml:space="preserve">-sQTLs. </w:t>
      </w:r>
      <w:r>
        <w:rPr>
          <w:b/>
          <w:highlight w:val="white"/>
        </w:rPr>
        <w:t>(D)</w:t>
      </w:r>
      <w:r>
        <w:rPr>
          <w:highlight w:val="white"/>
        </w:rPr>
        <w:t xml:space="preserve"> </w:t>
      </w:r>
      <w:r>
        <w:rPr>
          <w:b/>
          <w:highlight w:val="white"/>
        </w:rPr>
        <w:t xml:space="preserve">Colocalization of </w:t>
      </w:r>
      <w:r>
        <w:rPr>
          <w:b/>
          <w:i/>
          <w:highlight w:val="white"/>
        </w:rPr>
        <w:t>trans</w:t>
      </w:r>
      <w:r>
        <w:rPr>
          <w:b/>
          <w:highlight w:val="white"/>
        </w:rPr>
        <w:t xml:space="preserve">-eQTLs of Module 66 and </w:t>
      </w:r>
      <w:r>
        <w:rPr>
          <w:b/>
          <w:i/>
          <w:highlight w:val="white"/>
        </w:rPr>
        <w:t>cis</w:t>
      </w:r>
      <w:r>
        <w:rPr>
          <w:b/>
          <w:highlight w:val="white"/>
        </w:rPr>
        <w:t xml:space="preserve">-eQTLs of </w:t>
      </w:r>
      <w:r>
        <w:rPr>
          <w:b/>
          <w:i/>
          <w:highlight w:val="white"/>
        </w:rPr>
        <w:t>NFKBIA</w:t>
      </w:r>
      <w:r>
        <w:rPr>
          <w:b/>
          <w:highlight w:val="white"/>
        </w:rPr>
        <w:t>.</w:t>
      </w:r>
      <w:r>
        <w:rPr>
          <w:highlight w:val="white"/>
        </w:rPr>
        <w:t xml:space="preserve"> </w:t>
      </w:r>
      <w:r>
        <w:rPr>
          <w:b/>
          <w:highlight w:val="white"/>
        </w:rPr>
        <w:t>(E)</w:t>
      </w:r>
      <w:r>
        <w:rPr>
          <w:highlight w:val="white"/>
        </w:rPr>
        <w:t xml:space="preserve"> </w:t>
      </w:r>
      <w:r>
        <w:rPr>
          <w:b/>
          <w:highlight w:val="white"/>
        </w:rPr>
        <w:t xml:space="preserve">Functional annotations of gene sets facilitate functional interpretation of </w:t>
      </w:r>
      <w:r>
        <w:rPr>
          <w:b/>
          <w:i/>
          <w:highlight w:val="white"/>
        </w:rPr>
        <w:t>trans</w:t>
      </w:r>
      <w:r>
        <w:rPr>
          <w:b/>
          <w:highlight w:val="white"/>
        </w:rPr>
        <w:t xml:space="preserve">-eQTL signals. </w:t>
      </w:r>
      <w:r>
        <w:t xml:space="preserve">The </w:t>
      </w:r>
      <w:r>
        <w:rPr>
          <w:i/>
        </w:rPr>
        <w:t>trans</w:t>
      </w:r>
      <w:r>
        <w:t xml:space="preserve">-eQTLs near </w:t>
      </w:r>
      <w:r>
        <w:rPr>
          <w:i/>
        </w:rPr>
        <w:t>NFKBIA</w:t>
      </w:r>
      <w:r>
        <w:t xml:space="preserve"> and </w:t>
      </w:r>
      <w:r>
        <w:rPr>
          <w:i/>
        </w:rPr>
        <w:t>IKZF1</w:t>
      </w:r>
      <w:r>
        <w:t xml:space="preserve"> are associated with several gene modules. The bar plots show the functional enrichments in modules. The numerical values of enrichments are in Table S6. </w:t>
      </w:r>
    </w:p>
    <w:p w14:paraId="3372822A" w14:textId="77777777" w:rsidR="00DE2CDE" w:rsidRDefault="00000000">
      <w:pPr>
        <w:pStyle w:val="Heading2"/>
      </w:pPr>
      <w:r>
        <w:t xml:space="preserve">Trans-PCO improves understanding of </w:t>
      </w:r>
      <w:r>
        <w:rPr>
          <w:i/>
        </w:rPr>
        <w:t>trans</w:t>
      </w:r>
      <w:r>
        <w:t xml:space="preserve"> regulatory effects of disease-associated loci</w:t>
      </w:r>
    </w:p>
    <w:p w14:paraId="4AF86624" w14:textId="77777777" w:rsidR="00DE2CDE" w:rsidRDefault="00000000">
      <w:pPr>
        <w:jc w:val="both"/>
      </w:pPr>
      <w:r>
        <w:t xml:space="preserve">To understand </w:t>
      </w:r>
      <w:r>
        <w:rPr>
          <w:i/>
        </w:rPr>
        <w:t>trans</w:t>
      </w:r>
      <w:r>
        <w:t xml:space="preserve"> regulatory effects of genetic variants associated with complex traits, we performed colocalization analysis of </w:t>
      </w:r>
      <w:r>
        <w:rPr>
          <w:i/>
        </w:rPr>
        <w:t>trans</w:t>
      </w:r>
      <w:r>
        <w:t xml:space="preserve">-eQTL signals </w:t>
      </w:r>
      <w:r>
        <w:rPr>
          <w:highlight w:val="white"/>
        </w:rPr>
        <w:t>with GWA</w:t>
      </w:r>
      <w:r>
        <w:t>S loci of 46 complex traits and diseases, including 29 blood traits and 8 other common complex traits (such as height and BMI) from the UK Biobank</w:t>
      </w:r>
      <w:hyperlink r:id="rId69">
        <w:r>
          <w:rPr>
            <w:vertAlign w:val="superscript"/>
          </w:rPr>
          <w:t>36,42</w:t>
        </w:r>
      </w:hyperlink>
      <w:r>
        <w:t xml:space="preserve"> and 9 autoimmune diseases</w:t>
      </w:r>
      <w:hyperlink r:id="rId70">
        <w:r>
          <w:rPr>
            <w:vertAlign w:val="superscript"/>
          </w:rPr>
          <w:t>33,43–49</w:t>
        </w:r>
      </w:hyperlink>
      <w:r>
        <w:t xml:space="preserve"> (Methods and Table S7). </w:t>
      </w:r>
    </w:p>
    <w:p w14:paraId="36734799" w14:textId="77777777" w:rsidR="00DE2CDE" w:rsidRDefault="00DE2CDE">
      <w:pPr>
        <w:jc w:val="both"/>
      </w:pPr>
    </w:p>
    <w:p w14:paraId="7F8E8E39" w14:textId="77777777" w:rsidR="00DE2CDE" w:rsidRDefault="00000000">
      <w:pPr>
        <w:jc w:val="both"/>
        <w:rPr>
          <w:highlight w:val="white"/>
        </w:rPr>
      </w:pPr>
      <w:r>
        <w:t xml:space="preserve">We </w:t>
      </w:r>
      <w:r>
        <w:rPr>
          <w:highlight w:val="white"/>
        </w:rPr>
        <w:t xml:space="preserve">grouped the </w:t>
      </w:r>
      <w:r>
        <w:rPr>
          <w:i/>
          <w:highlight w:val="white"/>
        </w:rPr>
        <w:t>trans</w:t>
      </w:r>
      <w:r>
        <w:rPr>
          <w:highlight w:val="white"/>
        </w:rPr>
        <w:t xml:space="preserve">-eSNPs into 200kb regions (or </w:t>
      </w:r>
      <w:r>
        <w:rPr>
          <w:i/>
          <w:highlight w:val="white"/>
        </w:rPr>
        <w:t>trans</w:t>
      </w:r>
      <w:r>
        <w:rPr>
          <w:highlight w:val="white"/>
        </w:rPr>
        <w:t xml:space="preserve">-loci) for colocalization analyses (see Methods). The 3899 </w:t>
      </w:r>
      <w:r>
        <w:rPr>
          <w:i/>
          <w:highlight w:val="white"/>
        </w:rPr>
        <w:t>trans</w:t>
      </w:r>
      <w:r>
        <w:rPr>
          <w:highlight w:val="white"/>
        </w:rPr>
        <w:t xml:space="preserve">-eQTLs associated with co-expression gene modules were grouped into 179 </w:t>
      </w:r>
      <w:r>
        <w:rPr>
          <w:i/>
          <w:highlight w:val="white"/>
        </w:rPr>
        <w:t>trans</w:t>
      </w:r>
      <w:r>
        <w:rPr>
          <w:highlight w:val="white"/>
        </w:rPr>
        <w:t xml:space="preserve">-loci–module pairs. 42 out of 46 complex traits have at least one GWAS loci colocalized with one of 179 </w:t>
      </w:r>
      <w:r>
        <w:rPr>
          <w:i/>
          <w:highlight w:val="white"/>
        </w:rPr>
        <w:t>trans</w:t>
      </w:r>
      <w:r>
        <w:rPr>
          <w:highlight w:val="white"/>
        </w:rPr>
        <w:t xml:space="preserve">-loci–module pairs. </w:t>
      </w:r>
      <w:r>
        <w:t xml:space="preserve">On average across all traits, 8.8% of </w:t>
      </w:r>
      <w:r>
        <w:rPr>
          <w:i/>
        </w:rPr>
        <w:t>trans</w:t>
      </w:r>
      <w:r>
        <w:t>-loci colocalize with GWAS loci (</w:t>
      </w:r>
      <w:r>
        <w:rPr>
          <w:b/>
        </w:rPr>
        <w:t>Figure 4A</w:t>
      </w:r>
      <w:r>
        <w:t>, Table S8). We observed a higher proportion of colocalization with blood traits (mean proportion 12.0%) than non-blood traits (mean proportion 1.5%). Although we expect some higher proportions of colocalization with blood traits to occur in a whole blood sample, our results may also indicate some residual effects due to cell composition--despite corrections for cell composition using both gene expression PCs and estimated cell-type proportions</w:t>
      </w:r>
      <w:hyperlink r:id="rId71">
        <w:r>
          <w:rPr>
            <w:vertAlign w:val="superscript"/>
          </w:rPr>
          <w:t>26</w:t>
        </w:r>
      </w:hyperlink>
      <w:r>
        <w:t xml:space="preserve">, such that some </w:t>
      </w:r>
      <w:r>
        <w:rPr>
          <w:i/>
        </w:rPr>
        <w:t>trans</w:t>
      </w:r>
      <w:r>
        <w:t xml:space="preserve">-eQTLs may regulate the abundance of cell proportions and therefore are associated genes that are specifically expressed in certain cell types. </w:t>
      </w:r>
      <w:r>
        <w:rPr>
          <w:highlight w:val="white"/>
        </w:rPr>
        <w:t xml:space="preserve">Our results are consistent with a recent study by the eQTLGen consortium, which has shown that </w:t>
      </w:r>
      <w:r>
        <w:rPr>
          <w:i/>
          <w:highlight w:val="white"/>
        </w:rPr>
        <w:t>trans</w:t>
      </w:r>
      <w:r>
        <w:rPr>
          <w:highlight w:val="white"/>
        </w:rPr>
        <w:t>-eQTLs in whole blood reflect a combination of cell-type composition and intracellular effects</w:t>
      </w:r>
      <w:hyperlink r:id="rId72">
        <w:r>
          <w:rPr>
            <w:vertAlign w:val="superscript"/>
          </w:rPr>
          <w:t>10</w:t>
        </w:r>
      </w:hyperlink>
      <w:r>
        <w:t xml:space="preserve">. </w:t>
      </w:r>
    </w:p>
    <w:p w14:paraId="1AF31227" w14:textId="77777777" w:rsidR="00DE2CDE" w:rsidRDefault="00DE2CDE">
      <w:pPr>
        <w:jc w:val="center"/>
        <w:rPr>
          <w:highlight w:val="white"/>
        </w:rPr>
      </w:pPr>
    </w:p>
    <w:p w14:paraId="7A0C15F1" w14:textId="77777777" w:rsidR="00DE2CDE" w:rsidRDefault="00000000">
      <w:pPr>
        <w:jc w:val="center"/>
        <w:rPr>
          <w:highlight w:val="white"/>
        </w:rPr>
      </w:pPr>
      <w:r>
        <w:rPr>
          <w:noProof/>
          <w:highlight w:val="white"/>
        </w:rPr>
        <w:lastRenderedPageBreak/>
        <w:drawing>
          <wp:inline distT="114300" distB="114300" distL="114300" distR="114300" wp14:anchorId="6CD5CE48" wp14:editId="6157804A">
            <wp:extent cx="5943600" cy="7531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5943600" cy="7531100"/>
                    </a:xfrm>
                    <a:prstGeom prst="rect">
                      <a:avLst/>
                    </a:prstGeom>
                    <a:ln/>
                  </pic:spPr>
                </pic:pic>
              </a:graphicData>
            </a:graphic>
          </wp:inline>
        </w:drawing>
      </w:r>
    </w:p>
    <w:p w14:paraId="3CB2AC19" w14:textId="77777777" w:rsidR="00DE2CDE" w:rsidRDefault="00000000">
      <w:pPr>
        <w:jc w:val="both"/>
      </w:pPr>
      <w:r>
        <w:rPr>
          <w:b/>
          <w:highlight w:val="white"/>
        </w:rPr>
        <w:t xml:space="preserve">Figure 4. Colocalization of </w:t>
      </w:r>
      <w:r>
        <w:rPr>
          <w:b/>
          <w:i/>
          <w:highlight w:val="white"/>
        </w:rPr>
        <w:t>trans</w:t>
      </w:r>
      <w:r>
        <w:rPr>
          <w:b/>
          <w:highlight w:val="white"/>
        </w:rPr>
        <w:t>-eQTLs with GWAS loci of 42 complex traits with at least one colocalization region. (A)</w:t>
      </w:r>
      <w:r>
        <w:rPr>
          <w:highlight w:val="white"/>
        </w:rPr>
        <w:t xml:space="preserve"> </w:t>
      </w:r>
      <w:r>
        <w:rPr>
          <w:b/>
          <w:highlight w:val="white"/>
        </w:rPr>
        <w:t xml:space="preserve">The number of colocalized </w:t>
      </w:r>
      <w:r>
        <w:rPr>
          <w:b/>
          <w:i/>
          <w:highlight w:val="white"/>
        </w:rPr>
        <w:t>trans</w:t>
      </w:r>
      <w:r>
        <w:rPr>
          <w:b/>
          <w:highlight w:val="white"/>
        </w:rPr>
        <w:t xml:space="preserve">-loci associated with co-expression gene modules with GWAS loci. </w:t>
      </w:r>
      <w:r>
        <w:rPr>
          <w:highlight w:val="white"/>
        </w:rPr>
        <w:t>The traits are first ordered by broad categories:</w:t>
      </w:r>
      <w:r>
        <w:rPr>
          <w:b/>
          <w:highlight w:val="white"/>
        </w:rPr>
        <w:t xml:space="preserve"> </w:t>
      </w:r>
      <w:r>
        <w:rPr>
          <w:highlight w:val="white"/>
        </w:rPr>
        <w:lastRenderedPageBreak/>
        <w:t>blood traits, autoimmune diseases, and other traits in UKBB. The traits within each category are then ordered by the total number of colocalized regions.</w:t>
      </w:r>
      <w:r>
        <w:t xml:space="preserve"> </w:t>
      </w:r>
      <w:r>
        <w:rPr>
          <w:b/>
        </w:rPr>
        <w:t>(B)</w:t>
      </w:r>
      <w:r>
        <w:rPr>
          <w:b/>
          <w:highlight w:val="white"/>
        </w:rPr>
        <w:t xml:space="preserve"> Heatmap of the number of colocalized </w:t>
      </w:r>
      <w:r>
        <w:rPr>
          <w:b/>
          <w:i/>
          <w:highlight w:val="white"/>
        </w:rPr>
        <w:t>trans</w:t>
      </w:r>
      <w:r>
        <w:rPr>
          <w:b/>
          <w:highlight w:val="white"/>
        </w:rPr>
        <w:t xml:space="preserve">-loci associated with co-expression gene modules with GWAS loci between each module and trait. </w:t>
      </w:r>
      <w:r>
        <w:rPr>
          <w:highlight w:val="white"/>
        </w:rPr>
        <w:t>The traits are first ordered by broad categories:</w:t>
      </w:r>
      <w:r>
        <w:rPr>
          <w:b/>
          <w:highlight w:val="white"/>
        </w:rPr>
        <w:t xml:space="preserve"> </w:t>
      </w:r>
      <w:r>
        <w:rPr>
          <w:highlight w:val="white"/>
        </w:rPr>
        <w:t>white blood cells (Orange), red blood cells (Red), platelet cells (Blue), autoimmune diseases (Green) and other traits in UKBB (Black). The traits within each category are then ordered by the number of colocalized gene modules.</w:t>
      </w:r>
      <w:r>
        <w:rPr>
          <w:b/>
          <w:highlight w:val="white"/>
        </w:rPr>
        <w:t xml:space="preserve"> </w:t>
      </w:r>
      <w:r>
        <w:rPr>
          <w:highlight w:val="white"/>
        </w:rPr>
        <w:t>The blue shades represent the number of colocalized regions.</w:t>
      </w:r>
      <w:r>
        <w:rPr>
          <w:b/>
          <w:highlight w:val="white"/>
        </w:rPr>
        <w:t xml:space="preserve"> (C) Heritability enrichment of Module 4 (M4) in blood traits.</w:t>
      </w:r>
      <w:r>
        <w:rPr>
          <w:highlight w:val="white"/>
        </w:rPr>
        <w:t xml:space="preserve"> Heritability enrichment was estimated by using S-LDSC. Error bars are 95% confidence intervals</w:t>
      </w:r>
      <w:r>
        <w:t xml:space="preserve">. </w:t>
      </w:r>
      <w:r>
        <w:rPr>
          <w:b/>
        </w:rPr>
        <w:t>(D)</w:t>
      </w:r>
      <w:r>
        <w:t xml:space="preserve"> </w:t>
      </w:r>
      <w:r>
        <w:rPr>
          <w:b/>
        </w:rPr>
        <w:t xml:space="preserve">Colocalization of mean platelet volume associated locus near </w:t>
      </w:r>
      <w:r>
        <w:rPr>
          <w:b/>
          <w:i/>
        </w:rPr>
        <w:t xml:space="preserve">ARHGEF3 </w:t>
      </w:r>
      <w:r>
        <w:rPr>
          <w:b/>
        </w:rPr>
        <w:t xml:space="preserve">and </w:t>
      </w:r>
      <w:r>
        <w:rPr>
          <w:b/>
          <w:i/>
        </w:rPr>
        <w:t>trans</w:t>
      </w:r>
      <w:r>
        <w:rPr>
          <w:b/>
        </w:rPr>
        <w:t>-eQTL of M4.</w:t>
      </w:r>
      <w:r>
        <w:t xml:space="preserve"> </w:t>
      </w:r>
      <w:r>
        <w:rPr>
          <w:b/>
        </w:rPr>
        <w:t>(E)</w:t>
      </w:r>
      <w:r>
        <w:rPr>
          <w:b/>
          <w:highlight w:val="white"/>
        </w:rPr>
        <w:t xml:space="preserve"> Heatmap of the number of colocalized </w:t>
      </w:r>
      <w:r>
        <w:rPr>
          <w:b/>
          <w:i/>
          <w:highlight w:val="white"/>
        </w:rPr>
        <w:t>trans</w:t>
      </w:r>
      <w:r>
        <w:rPr>
          <w:b/>
          <w:highlight w:val="white"/>
        </w:rPr>
        <w:t xml:space="preserve">-loci associated with MSigDB hallmark gene sets with GWAS loci across modules and blood traits. </w:t>
      </w:r>
      <w:r>
        <w:rPr>
          <w:highlight w:val="white"/>
        </w:rPr>
        <w:t>The blue shades represent the number of colocalized regions.</w:t>
      </w:r>
      <w:r>
        <w:rPr>
          <w:b/>
          <w:highlight w:val="white"/>
        </w:rPr>
        <w:t xml:space="preserve"> (F) </w:t>
      </w:r>
      <w:r>
        <w:rPr>
          <w:b/>
        </w:rPr>
        <w:t xml:space="preserve">Colocalization of GWAS loci associated red blood cell traits and </w:t>
      </w:r>
      <w:r>
        <w:rPr>
          <w:b/>
          <w:i/>
        </w:rPr>
        <w:t>trans</w:t>
      </w:r>
      <w:r>
        <w:rPr>
          <w:b/>
        </w:rPr>
        <w:t xml:space="preserve">-eQTLs associated with heme metabolism. </w:t>
      </w:r>
      <w:r>
        <w:t xml:space="preserve">Six loci associated with red blood cell traits are associated with heme metabolism in </w:t>
      </w:r>
      <w:r>
        <w:rPr>
          <w:i/>
        </w:rPr>
        <w:t>trans</w:t>
      </w:r>
      <w:r>
        <w:t>. Numerical results can be found in Table S16. Colocalization plots of the other loci are in Figure S6.</w:t>
      </w:r>
    </w:p>
    <w:p w14:paraId="2D810423" w14:textId="77777777" w:rsidR="00DE2CDE" w:rsidRDefault="00DE2CDE">
      <w:pPr>
        <w:jc w:val="both"/>
      </w:pPr>
    </w:p>
    <w:p w14:paraId="49889060" w14:textId="77777777" w:rsidR="00DE2CDE" w:rsidRDefault="00000000">
      <w:pPr>
        <w:jc w:val="both"/>
        <w:rPr>
          <w:highlight w:val="white"/>
        </w:rPr>
      </w:pPr>
      <w:r>
        <w:t xml:space="preserve">Nevertheless, we found several </w:t>
      </w:r>
      <w:r>
        <w:rPr>
          <w:i/>
        </w:rPr>
        <w:t>trans</w:t>
      </w:r>
      <w:r>
        <w:t>-eQTLs that colocalized with GWAS loci, which revealed specific interpretable pathways or functional gene sets (</w:t>
      </w:r>
      <w:r>
        <w:rPr>
          <w:b/>
        </w:rPr>
        <w:t>Figure 4B</w:t>
      </w:r>
      <w:r>
        <w:t xml:space="preserve">, Table S9). For example, </w:t>
      </w:r>
      <w:r>
        <w:rPr>
          <w:i/>
        </w:rPr>
        <w:t>trans</w:t>
      </w:r>
      <w:r>
        <w:t>-eQTLs associated with co-expression module 4 (M4) colocalized with 24 out of 29 blood traits (</w:t>
      </w:r>
      <w:r>
        <w:rPr>
          <w:b/>
        </w:rPr>
        <w:t>Figure 4B</w:t>
      </w:r>
      <w:r>
        <w:t xml:space="preserve">). M4 is highly enriched for genes involved in platelet activation (adjusted </w:t>
      </w:r>
      <w:r>
        <w:rPr>
          <w:i/>
        </w:rPr>
        <w:t>P</w:t>
      </w:r>
      <w:r>
        <w:t xml:space="preserve"> = </w:t>
      </w:r>
      <m:oMath>
        <m:r>
          <w:rPr>
            <w:rFonts w:ascii="Cambria Math" w:eastAsia="Cambria Math" w:hAnsi="Cambria Math" w:cs="Cambria Math"/>
          </w:rPr>
          <m:t>1.12×1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-12</m:t>
            </m:r>
          </m:sup>
        </m:sSup>
      </m:oMath>
      <w:r>
        <w:t xml:space="preserve">, Figure S4, Table S6). One of the colocalized </w:t>
      </w:r>
      <w:r>
        <w:rPr>
          <w:i/>
        </w:rPr>
        <w:t>trans</w:t>
      </w:r>
      <w:r>
        <w:t xml:space="preserve">-eSNPs associated with M4 is in the introns of the </w:t>
      </w:r>
      <w:r>
        <w:rPr>
          <w:i/>
        </w:rPr>
        <w:t xml:space="preserve">ARHGEF3 </w:t>
      </w:r>
      <w:r>
        <w:t>gene (</w:t>
      </w:r>
      <w:r>
        <w:rPr>
          <w:b/>
        </w:rPr>
        <w:t>Figure 4D</w:t>
      </w:r>
      <w:r>
        <w:t>), which has been shown to play a significant role in platelet size in mice</w:t>
      </w:r>
      <w:hyperlink r:id="rId74">
        <w:r>
          <w:rPr>
            <w:vertAlign w:val="superscript"/>
          </w:rPr>
          <w:t>50</w:t>
        </w:r>
      </w:hyperlink>
      <w:r>
        <w:t xml:space="preserve">. </w:t>
      </w:r>
      <w:r>
        <w:rPr>
          <w:highlight w:val="white"/>
        </w:rPr>
        <w:t>To further support the interpretation of colo</w:t>
      </w:r>
      <w:r>
        <w:t>calized signals, we estimated heritability enrichment of M4 in blood traits using stratified LDscore regression</w:t>
      </w:r>
      <w:hyperlink r:id="rId75">
        <w:r>
          <w:rPr>
            <w:vertAlign w:val="superscript"/>
          </w:rPr>
          <w:t>51</w:t>
        </w:r>
      </w:hyperlink>
      <w:r>
        <w:t xml:space="preserve"> (S-LDSC, </w:t>
      </w:r>
      <w:r>
        <w:rPr>
          <w:b/>
        </w:rPr>
        <w:t>Figure 4C</w:t>
      </w:r>
      <w:r>
        <w:t>). We reasoned that an enrichment of trait he</w:t>
      </w:r>
      <w:r>
        <w:rPr>
          <w:highlight w:val="white"/>
        </w:rPr>
        <w:t xml:space="preserve">ritability near genes in a module would strongly support the involvement of a module in the genetic etiology of a trait. Strikingly, we found that M4 is significantly enriched in the heritability of multiple blood traits, and the enrichment was especially strong for </w:t>
      </w:r>
      <w:r>
        <w:t xml:space="preserve">platelet traits such as platelet distribution width (enrichment = </w:t>
      </w:r>
      <m:oMath>
        <m:r>
          <w:rPr>
            <w:rFonts w:ascii="Cambria Math" w:eastAsia="Cambria Math" w:hAnsi="Cambria Math" w:cs="Cambria Math"/>
          </w:rPr>
          <m:t>6.5×</m:t>
        </m:r>
      </m:oMath>
      <w:r>
        <w:t xml:space="preserve">, </w:t>
      </w:r>
      <w:r>
        <w:rPr>
          <w:i/>
        </w:rPr>
        <w:t>P</w:t>
      </w:r>
      <w:r>
        <w:t xml:space="preserve"> = </w:t>
      </w:r>
      <m:oMath>
        <m:r>
          <w:rPr>
            <w:rFonts w:ascii="Cambria Math" w:eastAsia="Cambria Math" w:hAnsi="Cambria Math" w:cs="Cambria Math"/>
          </w:rPr>
          <m:t>7.0×1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-5</m:t>
            </m:r>
          </m:sup>
        </m:sSup>
      </m:oMath>
      <w:r>
        <w:t xml:space="preserve">) and mean platelet volume (enrichment = </w:t>
      </w:r>
      <m:oMath>
        <m:r>
          <w:rPr>
            <w:rFonts w:ascii="Cambria Math" w:eastAsia="Cambria Math" w:hAnsi="Cambria Math" w:cs="Cambria Math"/>
          </w:rPr>
          <m:t>6.7×</m:t>
        </m:r>
      </m:oMath>
      <w:r>
        <w:t xml:space="preserve">, </w:t>
      </w:r>
      <w:r>
        <w:rPr>
          <w:i/>
        </w:rPr>
        <w:t>P</w:t>
      </w:r>
      <w:r>
        <w:t xml:space="preserve"> = </w:t>
      </w:r>
      <m:oMath>
        <m:r>
          <w:rPr>
            <w:rFonts w:ascii="Cambria Math" w:eastAsia="Cambria Math" w:hAnsi="Cambria Math" w:cs="Cambria Math"/>
          </w:rPr>
          <m:t>1.2×1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-5</m:t>
            </m:r>
          </m:sup>
        </m:sSup>
      </m:oMath>
      <w:r>
        <w:t xml:space="preserve">, </w:t>
      </w:r>
      <w:r>
        <w:rPr>
          <w:b/>
        </w:rPr>
        <w:t>Figure 4C</w:t>
      </w:r>
      <w:r>
        <w:t xml:space="preserve">, Table S10). Additionally, we identified that the </w:t>
      </w:r>
      <w:r>
        <w:rPr>
          <w:i/>
        </w:rPr>
        <w:t>ARHGEF3</w:t>
      </w:r>
      <w:r>
        <w:t xml:space="preserve"> locus is significantly associated with the MSigDB coagulation hallmark gene set (Table S15). These findings strengthen the model where genetic variation near </w:t>
      </w:r>
      <w:r>
        <w:rPr>
          <w:i/>
        </w:rPr>
        <w:t>ARHGEF3</w:t>
      </w:r>
      <w:r>
        <w:t xml:space="preserve"> impacts the expression levels of multiple genes that are involved in platelet biology and that also harbor nearby genetic variation associated with platelet traits. </w:t>
      </w:r>
    </w:p>
    <w:p w14:paraId="17178EAA" w14:textId="77777777" w:rsidR="00DE2CDE" w:rsidRDefault="00000000">
      <w:pPr>
        <w:tabs>
          <w:tab w:val="left" w:pos="5688"/>
        </w:tabs>
        <w:jc w:val="both"/>
      </w:pPr>
      <w:r>
        <w:tab/>
      </w:r>
    </w:p>
    <w:p w14:paraId="7DC8D6C9" w14:textId="77777777" w:rsidR="00DE2CDE" w:rsidRDefault="00000000">
      <w:pPr>
        <w:jc w:val="both"/>
      </w:pPr>
      <w:r>
        <w:t xml:space="preserve">We also performed colocalization analysis of </w:t>
      </w:r>
      <w:r>
        <w:rPr>
          <w:i/>
        </w:rPr>
        <w:t>trans</w:t>
      </w:r>
      <w:r>
        <w:t xml:space="preserve">-eQTLs associated MSigDB hall mark gene sets </w:t>
      </w:r>
      <w:r>
        <w:rPr>
          <w:b/>
        </w:rPr>
        <w:t>(Figure 4E</w:t>
      </w:r>
      <w:r>
        <w:t>, Table S16</w:t>
      </w:r>
      <w:r>
        <w:rPr>
          <w:b/>
        </w:rPr>
        <w:t>)</w:t>
      </w:r>
      <w:r>
        <w:t>. One of the gene sets represents heme metabolism, which is an essential</w:t>
      </w:r>
      <w:r>
        <w:rPr>
          <w:i/>
        </w:rPr>
        <w:t xml:space="preserve"> </w:t>
      </w:r>
      <w:r>
        <w:t xml:space="preserve">process underlying erythroblast differentiation and red blood cell counts. We found that six </w:t>
      </w:r>
      <w:r>
        <w:rPr>
          <w:i/>
        </w:rPr>
        <w:t>trans</w:t>
      </w:r>
      <w:r>
        <w:t xml:space="preserve">-eQTL loci of heme metabolism significantly colocalized with GWAS loci associated with red blood cell traits, such as hemoglobin concentration, red blood cell count, and reticulocyte count (PP4=0.76-1.00, </w:t>
      </w:r>
      <w:r>
        <w:rPr>
          <w:b/>
        </w:rPr>
        <w:t>Figure 4F</w:t>
      </w:r>
      <w:r>
        <w:t xml:space="preserve">, Figure S6, Table S16). Our results provide evidence that these six loci regulate heme metabolism in </w:t>
      </w:r>
      <w:r>
        <w:rPr>
          <w:i/>
        </w:rPr>
        <w:t xml:space="preserve">trans, </w:t>
      </w:r>
      <w:r>
        <w:t>which is an essential</w:t>
      </w:r>
      <w:r>
        <w:rPr>
          <w:i/>
        </w:rPr>
        <w:t xml:space="preserve"> </w:t>
      </w:r>
      <w:r>
        <w:t xml:space="preserve">process underlying erythroblast differentiation and red blood cell counts. </w:t>
      </w:r>
    </w:p>
    <w:p w14:paraId="1CE4E4B8" w14:textId="77777777" w:rsidR="00DE2CDE" w:rsidRDefault="00DE2CDE">
      <w:pPr>
        <w:jc w:val="both"/>
      </w:pPr>
    </w:p>
    <w:p w14:paraId="14271886" w14:textId="77777777" w:rsidR="00DE2CDE" w:rsidRDefault="00000000">
      <w:pPr>
        <w:jc w:val="both"/>
      </w:pPr>
      <w:r>
        <w:lastRenderedPageBreak/>
        <w:t xml:space="preserve">In another example, we found a </w:t>
      </w:r>
      <w:r>
        <w:rPr>
          <w:i/>
        </w:rPr>
        <w:t>trans</w:t>
      </w:r>
      <w:r>
        <w:t xml:space="preserve">-eQTL near </w:t>
      </w:r>
      <w:r>
        <w:rPr>
          <w:i/>
        </w:rPr>
        <w:t>IKZF1</w:t>
      </w:r>
      <w:r>
        <w:t xml:space="preserve"> for M3 that colocalizes with 11 blood traits, seven of which are related to white blood cells (Table S9). As mentioned previously, M3 is significantly enriched for gene ontology terms including “defense response to virus” (adjusted </w:t>
      </w:r>
      <w:r>
        <w:rPr>
          <w:i/>
        </w:rPr>
        <w:t>P</w:t>
      </w:r>
      <w:r>
        <w:t xml:space="preserve"> = </w:t>
      </w:r>
      <m:oMath>
        <m:r>
          <w:rPr>
            <w:rFonts w:ascii="Cambria Math" w:eastAsia="Cambria Math" w:hAnsi="Cambria Math" w:cs="Cambria Math"/>
          </w:rPr>
          <m:t>8.7×1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-31</m:t>
            </m:r>
          </m:sup>
        </m:sSup>
      </m:oMath>
      <w:r>
        <w:t xml:space="preserve">) and “negative regulation of viral processes” (adjusted </w:t>
      </w:r>
      <w:r>
        <w:rPr>
          <w:i/>
        </w:rPr>
        <w:t>P</w:t>
      </w:r>
      <w:r>
        <w:t xml:space="preserve"> = </w:t>
      </w:r>
      <m:oMath>
        <m:r>
          <w:rPr>
            <w:rFonts w:ascii="Cambria Math" w:eastAsia="Cambria Math" w:hAnsi="Cambria Math" w:cs="Cambria Math"/>
          </w:rPr>
          <m:t>1.07×1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-17</m:t>
            </m:r>
          </m:sup>
        </m:sSup>
      </m:oMath>
      <w:r>
        <w:t>, Table S6). The enric</w:t>
      </w:r>
      <w:r>
        <w:rPr>
          <w:highlight w:val="white"/>
        </w:rPr>
        <w:t>hments are driven by many genes related t</w:t>
      </w:r>
      <w:r>
        <w:t xml:space="preserve">o interferon (e.g., </w:t>
      </w:r>
      <w:r>
        <w:rPr>
          <w:i/>
        </w:rPr>
        <w:t>IFI6</w:t>
      </w:r>
      <w:r>
        <w:t xml:space="preserve">, </w:t>
      </w:r>
      <w:r>
        <w:rPr>
          <w:i/>
        </w:rPr>
        <w:t>IFI16</w:t>
      </w:r>
      <w:r>
        <w:t xml:space="preserve">, </w:t>
      </w:r>
      <w:r>
        <w:rPr>
          <w:i/>
        </w:rPr>
        <w:t>IRF7</w:t>
      </w:r>
      <w:r>
        <w:t>), which are proteins released by host cells in response to the presence of viruses and indicate immune related functions (Table S1, Table S6). Additionally, our heritability analysis of genes in M3 identified enrichments for multiple traits associated with blood cell-type count including neutrophil count (enrichment = 2.3</w:t>
      </w:r>
      <m:oMath>
        <m:r>
          <w:rPr>
            <w:rFonts w:ascii="Cambria Math" w:eastAsia="Cambria Math" w:hAnsi="Cambria Math" w:cs="Cambria Math"/>
          </w:rPr>
          <m:t>×</m:t>
        </m:r>
      </m:oMath>
      <w:r>
        <w:t xml:space="preserve">, </w:t>
      </w:r>
      <w:r>
        <w:rPr>
          <w:i/>
        </w:rPr>
        <w:t>P</w:t>
      </w:r>
      <w:r>
        <w:t xml:space="preserve"> = </w:t>
      </w:r>
      <m:oMath>
        <m:r>
          <w:rPr>
            <w:rFonts w:ascii="Cambria Math" w:eastAsia="Cambria Math" w:hAnsi="Cambria Math" w:cs="Cambria Math"/>
          </w:rPr>
          <m:t>1.7×1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-4</m:t>
            </m:r>
          </m:sup>
        </m:sSup>
      </m:oMath>
      <w:r>
        <w:t>) and white blood cell count (enrichment = 2.1</w:t>
      </w:r>
      <m:oMath>
        <m:r>
          <w:rPr>
            <w:rFonts w:ascii="Cambria Math" w:eastAsia="Cambria Math" w:hAnsi="Cambria Math" w:cs="Cambria Math"/>
          </w:rPr>
          <m:t>×</m:t>
        </m:r>
      </m:oMath>
      <w:r>
        <w:t xml:space="preserve">, </w:t>
      </w:r>
      <w:r>
        <w:rPr>
          <w:i/>
        </w:rPr>
        <w:t>P</w:t>
      </w:r>
      <w:r>
        <w:t xml:space="preserve"> = </w:t>
      </w:r>
      <m:oMath>
        <m:r>
          <w:rPr>
            <w:rFonts w:ascii="Cambria Math" w:eastAsia="Cambria Math" w:hAnsi="Cambria Math" w:cs="Cambria Math"/>
          </w:rPr>
          <m:t>1.3×1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-4</m:t>
            </m:r>
          </m:sup>
        </m:sSup>
      </m:oMath>
      <w:r>
        <w:t xml:space="preserve">, Figure S7). Our analyses support that the white blood cell associated locus </w:t>
      </w:r>
      <w:r>
        <w:rPr>
          <w:i/>
        </w:rPr>
        <w:t>IKZF1</w:t>
      </w:r>
      <w:r>
        <w:t xml:space="preserve"> regulates immune response pathways in </w:t>
      </w:r>
      <w:r>
        <w:rPr>
          <w:i/>
        </w:rPr>
        <w:t>trans</w:t>
      </w:r>
      <w:r>
        <w:t xml:space="preserve">. </w:t>
      </w:r>
    </w:p>
    <w:p w14:paraId="3AE49091" w14:textId="77777777" w:rsidR="00DE2CDE" w:rsidRDefault="00DE2CDE">
      <w:pPr>
        <w:jc w:val="both"/>
        <w:rPr>
          <w:highlight w:val="white"/>
        </w:rPr>
      </w:pPr>
    </w:p>
    <w:p w14:paraId="6D8AD3E1" w14:textId="77777777" w:rsidR="00DE2CDE" w:rsidRDefault="00000000">
      <w:pPr>
        <w:jc w:val="both"/>
        <w:rPr>
          <w:highlight w:val="white"/>
        </w:rPr>
      </w:pPr>
      <w:r>
        <w:rPr>
          <w:highlight w:val="white"/>
        </w:rPr>
        <w:t xml:space="preserve">Taken together, our functional map of </w:t>
      </w:r>
      <w:r>
        <w:rPr>
          <w:i/>
          <w:highlight w:val="white"/>
        </w:rPr>
        <w:t>trans</w:t>
      </w:r>
      <w:r>
        <w:rPr>
          <w:highlight w:val="white"/>
        </w:rPr>
        <w:t xml:space="preserve">-eQTLs revealed concrete examples where genetic variants associated with complex traits also influence a biological pathway or a coherent set of genes with similar functions. Thus, </w:t>
      </w:r>
      <w:r>
        <w:rPr>
          <w:i/>
          <w:highlight w:val="white"/>
        </w:rPr>
        <w:t>trans</w:t>
      </w:r>
      <w:r>
        <w:rPr>
          <w:highlight w:val="white"/>
        </w:rPr>
        <w:t xml:space="preserve">-eQTL of gene sets have the potential to reveal </w:t>
      </w:r>
      <w:r>
        <w:rPr>
          <w:i/>
          <w:highlight w:val="white"/>
        </w:rPr>
        <w:t>trans</w:t>
      </w:r>
      <w:r>
        <w:rPr>
          <w:highlight w:val="white"/>
        </w:rPr>
        <w:t xml:space="preserve">-regulatory mechanisms underlying complex traits and diseases. The complete list of colocalization signals for each trait can be found in Supplementary Table S9. </w:t>
      </w:r>
    </w:p>
    <w:p w14:paraId="01EF4A57" w14:textId="77777777" w:rsidR="00DE2CDE" w:rsidRDefault="00000000">
      <w:pPr>
        <w:pStyle w:val="Heading2"/>
        <w:jc w:val="both"/>
      </w:pPr>
      <w:bookmarkStart w:id="9" w:name="_26in1rg" w:colFirst="0" w:colLast="0"/>
      <w:bookmarkEnd w:id="9"/>
      <w:r>
        <w:t xml:space="preserve">Summary-statistics–based trans-PCO identified 10,167 </w:t>
      </w:r>
      <w:r>
        <w:rPr>
          <w:i/>
        </w:rPr>
        <w:t>trans</w:t>
      </w:r>
      <w:r>
        <w:t>-eSNP</w:t>
      </w:r>
      <w:r>
        <w:rPr>
          <w:highlight w:val="white"/>
        </w:rPr>
        <w:t>–</w:t>
      </w:r>
      <w:r>
        <w:t>module pairs in eQTLGen</w:t>
      </w:r>
    </w:p>
    <w:p w14:paraId="540398C9" w14:textId="77777777" w:rsidR="00DE2CDE" w:rsidRDefault="00000000">
      <w:pPr>
        <w:jc w:val="both"/>
      </w:pPr>
      <w:r>
        <w:t>We developed summary-statistics–based trans-PCO to increase its applicability to gene expression datasets of large sample sizes, such as eQTLGen</w:t>
      </w:r>
      <w:hyperlink r:id="rId76">
        <w:r>
          <w:rPr>
            <w:vertAlign w:val="superscript"/>
          </w:rPr>
          <w:t>10</w:t>
        </w:r>
      </w:hyperlink>
      <w:r>
        <w:t xml:space="preserve"> (N=31,684, whole blood). To ensure that summary-statistics–based trans-PCO signals are well-controlled for test statistics inflation and false positives, we added two steps to the original pipeline. First, we carefully select gene sets to minimize the noise when approximating the gene correlation matrices. When only summary statistics are available, the correlation matrix of each gene set is approximated with the correlations of z-scores of the insignificantly associated SNPs of each gene. A low ratio of SNPs to genes (&lt;50) results in a noisy approximation of correlation matrices and test statistics inflation (Figure 6A, Methods, and Supplementary Note). Therefore, we only use gene modules with ratios greater than 50 to test for </w:t>
      </w:r>
      <w:r>
        <w:rPr>
          <w:i/>
        </w:rPr>
        <w:t>trans</w:t>
      </w:r>
      <w:r>
        <w:t>-eQTLs, which we show are well-controlled for inflation (</w:t>
      </w:r>
      <w:r>
        <w:rPr>
          <w:b/>
        </w:rPr>
        <w:t>Figure 5A</w:t>
      </w:r>
      <w:r>
        <w:t xml:space="preserve">, Figure S8). Second, we remove genes that are cross-mappable to the test SNP loci (see details in Methods) in the association test to reduce false positives caused by multi-mapping reads. </w:t>
      </w:r>
    </w:p>
    <w:p w14:paraId="2909452B" w14:textId="77777777" w:rsidR="00DE2CDE" w:rsidRDefault="00DE2CDE">
      <w:pPr>
        <w:jc w:val="both"/>
      </w:pPr>
    </w:p>
    <w:p w14:paraId="63AF4D8C" w14:textId="77777777" w:rsidR="00DE2CDE" w:rsidRDefault="00000000">
      <w:pPr>
        <w:jc w:val="both"/>
      </w:pPr>
      <w:r>
        <w:t xml:space="preserve">The eQTLGen study performed the standard univariate </w:t>
      </w:r>
      <w:r>
        <w:rPr>
          <w:i/>
        </w:rPr>
        <w:t>trans</w:t>
      </w:r>
      <w:r>
        <w:t xml:space="preserve">-eQTL mapping on a subset of 10,317 GWAS SNPs and the summary statistics of these </w:t>
      </w:r>
      <w:r>
        <w:rPr>
          <w:i/>
        </w:rPr>
        <w:t>trans</w:t>
      </w:r>
      <w:r>
        <w:t xml:space="preserve">-eQTLs are available. We applied the summary-statistics–based trans-PCO to these summary statistics to identify </w:t>
      </w:r>
      <w:r>
        <w:rPr>
          <w:i/>
        </w:rPr>
        <w:t>trans</w:t>
      </w:r>
      <w:r>
        <w:t xml:space="preserve">-eQTLs associated co-expression gene modules and MSigDB hallmark gene sets. </w:t>
      </w:r>
    </w:p>
    <w:p w14:paraId="573EE646" w14:textId="77777777" w:rsidR="00DE2CDE" w:rsidRDefault="00DE2CDE">
      <w:pPr>
        <w:jc w:val="both"/>
      </w:pPr>
    </w:p>
    <w:p w14:paraId="2314F348" w14:textId="77777777" w:rsidR="00DE2CDE" w:rsidRDefault="00000000">
      <w:pPr>
        <w:jc w:val="both"/>
      </w:pPr>
      <w:r>
        <w:t xml:space="preserve">Of the 166 co-expression gene modules identified in DGN, we used 129 modules with reliable correlation matrix approximations to ensure the </w:t>
      </w:r>
      <w:r>
        <w:rPr>
          <w:i/>
        </w:rPr>
        <w:t>trans</w:t>
      </w:r>
      <w:r>
        <w:t>-eQTL signals are well-controlled for inflation (</w:t>
      </w:r>
      <w:r>
        <w:rPr>
          <w:b/>
        </w:rPr>
        <w:t>Figure 5A</w:t>
      </w:r>
      <w:r>
        <w:t xml:space="preserve">, Figure S8, Methods, and Supplementary Note). Similarly, Of the 50 MSigDB hallmark gene sets, we only used 11 gene sets with accurate correlation matrix approximations (Figure </w:t>
      </w:r>
      <w:r>
        <w:lastRenderedPageBreak/>
        <w:t xml:space="preserve">S17). In total, there were 4533 genes in the tested co-expression gene modules and hallmark gene sets. For co-expression gene modules, we identified 8116 </w:t>
      </w:r>
      <w:r>
        <w:rPr>
          <w:i/>
        </w:rPr>
        <w:t>trans</w:t>
      </w:r>
      <w:r>
        <w:t>-eSNP–gene co-expression module pairs, corresponding to 2161 eQTLGen test SNPs and 122 gene modules (</w:t>
      </w:r>
      <w:r>
        <w:rPr>
          <w:b/>
        </w:rPr>
        <w:t>Figure 5B</w:t>
      </w:r>
      <w:r>
        <w:t xml:space="preserve">, Table S11). For hallmark gene sets, we found 2051 significant </w:t>
      </w:r>
      <w:r>
        <w:rPr>
          <w:i/>
        </w:rPr>
        <w:t>trans</w:t>
      </w:r>
      <w:r>
        <w:t>-eSNP–hallmark gene set pairs, corresponding to 1018 SNPs and all 11 hallmark gene sets, using Bonferroni correction (Table S17). As in eQTLGen, we did not perform LD clumping on trans-eSNPs, because they were GWAS SNPs associated with different traits and diseases. Notably, the univariate method used in eQTLGen</w:t>
      </w:r>
      <w:r>
        <w:rPr>
          <w:vertAlign w:val="superscript"/>
        </w:rPr>
        <w:t>12</w:t>
      </w:r>
      <w:r>
        <w:t xml:space="preserve"> identified 1050 hub SNPs targeting more than 10 genes at 5% FDR, 89% of which are also identified by trans-PCO (</w:t>
      </w:r>
      <w:r>
        <w:rPr>
          <w:b/>
        </w:rPr>
        <w:t>Figure 5C</w:t>
      </w:r>
      <w:r>
        <w:t xml:space="preserve">). </w:t>
      </w:r>
    </w:p>
    <w:p w14:paraId="75C5E18D" w14:textId="77777777" w:rsidR="00DE2CDE" w:rsidRDefault="00DE2CDE">
      <w:pPr>
        <w:jc w:val="both"/>
      </w:pPr>
    </w:p>
    <w:p w14:paraId="436ADA9B" w14:textId="77777777" w:rsidR="00DE2CDE" w:rsidRDefault="00000000">
      <w:pPr>
        <w:jc w:val="both"/>
      </w:pPr>
      <w:r>
        <w:t xml:space="preserve">The large sample size in eQTLGen improves the power of </w:t>
      </w:r>
      <w:r>
        <w:rPr>
          <w:i/>
        </w:rPr>
        <w:t>trans</w:t>
      </w:r>
      <w:r>
        <w:t xml:space="preserve">-eQTL detection. Of the 3899 significant </w:t>
      </w:r>
      <w:r>
        <w:rPr>
          <w:i/>
        </w:rPr>
        <w:t>trans</w:t>
      </w:r>
      <w:r>
        <w:t xml:space="preserve">-eSNP–co-expression module pairs in DGN, 38 pairs were also tested in eQTLGen. Reassuringly, we found that all 38 </w:t>
      </w:r>
      <w:r>
        <w:rPr>
          <w:i/>
        </w:rPr>
        <w:t>trans</w:t>
      </w:r>
      <w:r>
        <w:t xml:space="preserve"> signals were replicated in eQTLGen (under a replication </w:t>
      </w:r>
      <w:r>
        <w:rPr>
          <w:i/>
        </w:rPr>
        <w:t>P</w:t>
      </w:r>
      <w:r>
        <w:t xml:space="preserve"> value cutoff of 0.1/38, Table S12) and all association p-values were highly significant (</w:t>
      </w:r>
      <w:r>
        <w:rPr>
          <w:i/>
        </w:rPr>
        <w:t>P</w:t>
      </w:r>
      <w:r>
        <w:t xml:space="preserve"> </w:t>
      </w:r>
      <m:oMath>
        <m:r>
          <w:rPr>
            <w:rFonts w:ascii="Cambria Math" w:eastAsia="Cambria Math" w:hAnsi="Cambria Math" w:cs="Cambria Math"/>
          </w:rPr>
          <m:t>&lt;1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-12</m:t>
            </m:r>
          </m:sup>
        </m:sSup>
      </m:oMath>
      <w:r>
        <w:t xml:space="preserve">, Figure S9). In contrast, most of the </w:t>
      </w:r>
      <w:r>
        <w:rPr>
          <w:i/>
        </w:rPr>
        <w:t>trans</w:t>
      </w:r>
      <w:r>
        <w:t xml:space="preserve">-eQTL signals in eQTLGen were not found in DGN. For example, of the 7577 SNP-module pairs analyzed in both datasets, there were 7291 pairs (96%) that were uniquely identified in eQTLGen (which is defined as at least 1 MB away from </w:t>
      </w:r>
      <w:r>
        <w:rPr>
          <w:i/>
        </w:rPr>
        <w:t>trans</w:t>
      </w:r>
      <w:r>
        <w:t xml:space="preserve">-eQTL SNPs in DGN). This is not surprising, because the association p-values are much smaller in the eQTLGen dataset due to the larger sample size (Figure S10).  Similarly, eight significant </w:t>
      </w:r>
      <w:r>
        <w:rPr>
          <w:i/>
        </w:rPr>
        <w:t>trans</w:t>
      </w:r>
      <w:r>
        <w:t>-eSNP–hallmark gene set pairs in DGN were tested in eQTLGen, and all of them were replicated.</w:t>
      </w:r>
    </w:p>
    <w:p w14:paraId="755133DD" w14:textId="77777777" w:rsidR="00DE2CDE" w:rsidRDefault="00DE2CDE">
      <w:pPr>
        <w:jc w:val="both"/>
      </w:pPr>
    </w:p>
    <w:p w14:paraId="473F9108" w14:textId="77777777" w:rsidR="00DE2CDE" w:rsidRDefault="00000000">
      <w:pPr>
        <w:jc w:val="both"/>
        <w:rPr>
          <w:highlight w:val="white"/>
        </w:rPr>
      </w:pPr>
      <w:r>
        <w:t xml:space="preserve">The nearest genes of eQTLGen </w:t>
      </w:r>
      <w:r>
        <w:rPr>
          <w:i/>
        </w:rPr>
        <w:t>trans</w:t>
      </w:r>
      <w:r>
        <w:t xml:space="preserve">-eQTLs are significantly enriched in DNA binding activity (adjusted </w:t>
      </w:r>
      <w:r>
        <w:rPr>
          <w:i/>
        </w:rPr>
        <w:t>P</w:t>
      </w:r>
      <w:r>
        <w:t xml:space="preserve"> = </w:t>
      </w:r>
      <m:oMath>
        <m:r>
          <w:rPr>
            <w:rFonts w:ascii="Cambria Math" w:hAnsi="Cambria Math"/>
          </w:rPr>
          <m:t>3.73×</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and transcription factor binding (adjusted </w:t>
      </w:r>
      <w:r>
        <w:rPr>
          <w:i/>
        </w:rPr>
        <w:t>P</w:t>
      </w:r>
      <w:r>
        <w:t xml:space="preserve"> = </w:t>
      </w:r>
      <m:oMath>
        <m:r>
          <w:rPr>
            <w:rFonts w:ascii="Cambria Math" w:hAnsi="Cambria Math"/>
          </w:rPr>
          <m:t>1.74×</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 as well as immune responses, such as cytokine receptor activity (adjusted </w:t>
      </w:r>
      <w:r>
        <w:rPr>
          <w:i/>
        </w:rPr>
        <w:t>P</w:t>
      </w:r>
      <w:r>
        <w:t xml:space="preserve"> = </w:t>
      </w:r>
      <m:oMath>
        <m:r>
          <w:rPr>
            <w:rFonts w:ascii="Cambria Math" w:hAnsi="Cambria Math"/>
          </w:rPr>
          <m:t>7.27×1</m:t>
        </m:r>
        <m:sSup>
          <m:sSupPr>
            <m:ctrlPr>
              <w:rPr>
                <w:rFonts w:ascii="Cambria Math" w:hAnsi="Cambria Math"/>
              </w:rPr>
            </m:ctrlPr>
          </m:sSupPr>
          <m:e>
            <m:r>
              <w:rPr>
                <w:rFonts w:ascii="Cambria Math" w:hAnsi="Cambria Math"/>
              </w:rPr>
              <m:t>0</m:t>
            </m:r>
          </m:e>
          <m:sup>
            <m:r>
              <w:rPr>
                <w:rFonts w:ascii="Cambria Math" w:hAnsi="Cambria Math"/>
              </w:rPr>
              <m:t>-7</m:t>
            </m:r>
          </m:sup>
        </m:sSup>
      </m:oMath>
      <w:r>
        <w:t xml:space="preserve">) or MHC class II receptor activity (adjusted </w:t>
      </w:r>
      <w:r>
        <w:rPr>
          <w:i/>
        </w:rPr>
        <w:t>P</w:t>
      </w:r>
      <w:r>
        <w:t xml:space="preserve"> = </w:t>
      </w:r>
      <m:oMath>
        <m:r>
          <w:rPr>
            <w:rFonts w:ascii="Cambria Math" w:hAnsi="Cambria Math"/>
          </w:rPr>
          <m:t>9.93×1</m:t>
        </m:r>
        <m:sSup>
          <m:sSupPr>
            <m:ctrlPr>
              <w:rPr>
                <w:rFonts w:ascii="Cambria Math" w:hAnsi="Cambria Math"/>
              </w:rPr>
            </m:ctrlPr>
          </m:sSupPr>
          <m:e>
            <m:r>
              <w:rPr>
                <w:rFonts w:ascii="Cambria Math" w:hAnsi="Cambria Math"/>
              </w:rPr>
              <m:t>0</m:t>
            </m:r>
          </m:e>
          <m:sup>
            <m:r>
              <w:rPr>
                <w:rFonts w:ascii="Cambria Math" w:hAnsi="Cambria Math"/>
              </w:rPr>
              <m:t>-5</m:t>
            </m:r>
          </m:sup>
        </m:sSup>
      </m:oMath>
      <w:r>
        <w:t xml:space="preserve">, </w:t>
      </w:r>
      <w:r>
        <w:rPr>
          <w:b/>
        </w:rPr>
        <w:t>Figure 5B</w:t>
      </w:r>
      <w:r>
        <w:t xml:space="preserve">, Table S13). We found that the enrichment of immune responses was driven by </w:t>
      </w:r>
      <w:r>
        <w:rPr>
          <w:i/>
        </w:rPr>
        <w:t>trans</w:t>
      </w:r>
      <w:r>
        <w:t xml:space="preserve">-eQTLs in the HLA region on chromosome 6 (such as </w:t>
      </w:r>
      <w:r>
        <w:rPr>
          <w:i/>
        </w:rPr>
        <w:t>HLA-DRA</w:t>
      </w:r>
      <w:r>
        <w:t xml:space="preserve">, </w:t>
      </w:r>
      <w:r>
        <w:rPr>
          <w:i/>
        </w:rPr>
        <w:t>HLA-DRB1 etc</w:t>
      </w:r>
      <w:r>
        <w:t xml:space="preserve">, Table S11) or near cytokine receptor genes (such as </w:t>
      </w:r>
      <w:r>
        <w:rPr>
          <w:i/>
        </w:rPr>
        <w:t xml:space="preserve">IL23R, IL1R1, CXCR4 and </w:t>
      </w:r>
      <w:r>
        <w:t>genes on the chemokine receptor gene cluster region</w:t>
      </w:r>
      <w:r>
        <w:rPr>
          <w:i/>
        </w:rPr>
        <w:t>: CCR2, CCR3, CCR5 etc</w:t>
      </w:r>
      <w:r>
        <w:t xml:space="preserve">). These </w:t>
      </w:r>
      <w:r>
        <w:rPr>
          <w:i/>
        </w:rPr>
        <w:t>trans</w:t>
      </w:r>
      <w:r>
        <w:t xml:space="preserve">-eQTLs are associated with several autoimmune diseases, such as type 1 diabetes, autoimmune thyroid diseases, cutaneous lupus erythematosus and inflammatory bowel disease (Table S11). The trans-PCO signals help us understand the </w:t>
      </w:r>
      <w:r>
        <w:rPr>
          <w:i/>
        </w:rPr>
        <w:t>trans</w:t>
      </w:r>
      <w:r>
        <w:t xml:space="preserve"> regulatory mechanism of these loci. For example, we found that the </w:t>
      </w:r>
      <w:r>
        <w:rPr>
          <w:i/>
        </w:rPr>
        <w:t>trans</w:t>
      </w:r>
      <w:r>
        <w:t xml:space="preserve"> target gene modules of the HLA loci are enriched in immune related functions, such as cytokine production (M44), B cell differentiation (M54), IgE binding (M60), TNF signaling pathway (M62), T cell activation (M63 and M87), and cytokine signaling pathway (M62 and M76, </w:t>
      </w:r>
      <w:r>
        <w:rPr>
          <w:b/>
        </w:rPr>
        <w:t>Figure 5D</w:t>
      </w:r>
      <w:r>
        <w:t xml:space="preserve">). The </w:t>
      </w:r>
      <w:r>
        <w:rPr>
          <w:i/>
        </w:rPr>
        <w:t>IL23R</w:t>
      </w:r>
      <w:r>
        <w:t xml:space="preserve"> locus is associated with cytokine signaling pathway (M76) in </w:t>
      </w:r>
      <w:r>
        <w:rPr>
          <w:i/>
        </w:rPr>
        <w:t>trans</w:t>
      </w:r>
      <w:r>
        <w:t>. The chemokine receptor genes were associated with several gene modules including cytokine production (M44), IgE binding (M60) and T cell activation (M87). T</w:t>
      </w:r>
      <w:r>
        <w:rPr>
          <w:highlight w:val="white"/>
        </w:rPr>
        <w:t xml:space="preserve">hese </w:t>
      </w:r>
      <w:r>
        <w:rPr>
          <w:i/>
          <w:highlight w:val="white"/>
        </w:rPr>
        <w:t>trans</w:t>
      </w:r>
      <w:r>
        <w:rPr>
          <w:highlight w:val="white"/>
        </w:rPr>
        <w:t xml:space="preserve">-eQTL signals support the conclusion that genetic loci associated with autoimmune disease regulate immune related pathways in </w:t>
      </w:r>
      <w:r>
        <w:rPr>
          <w:i/>
          <w:highlight w:val="white"/>
        </w:rPr>
        <w:t>trans</w:t>
      </w:r>
      <w:r>
        <w:rPr>
          <w:highlight w:val="white"/>
        </w:rPr>
        <w:t xml:space="preserve">. </w:t>
      </w:r>
    </w:p>
    <w:p w14:paraId="6CABC189" w14:textId="77777777" w:rsidR="00DE2CDE" w:rsidRDefault="00DE2CDE">
      <w:pPr>
        <w:jc w:val="both"/>
        <w:rPr>
          <w:highlight w:val="white"/>
        </w:rPr>
      </w:pPr>
    </w:p>
    <w:p w14:paraId="142C989D" w14:textId="77777777" w:rsidR="00DE2CDE" w:rsidRDefault="00000000">
      <w:pPr>
        <w:jc w:val="center"/>
        <w:rPr>
          <w:highlight w:val="white"/>
        </w:rPr>
      </w:pPr>
      <w:r>
        <w:rPr>
          <w:noProof/>
          <w:highlight w:val="white"/>
        </w:rPr>
        <w:lastRenderedPageBreak/>
        <w:drawing>
          <wp:inline distT="114300" distB="114300" distL="114300" distR="114300" wp14:anchorId="74E17284" wp14:editId="07F337C7">
            <wp:extent cx="5943600" cy="6616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7"/>
                    <a:srcRect/>
                    <a:stretch>
                      <a:fillRect/>
                    </a:stretch>
                  </pic:blipFill>
                  <pic:spPr>
                    <a:xfrm>
                      <a:off x="0" y="0"/>
                      <a:ext cx="5943600" cy="6616700"/>
                    </a:xfrm>
                    <a:prstGeom prst="rect">
                      <a:avLst/>
                    </a:prstGeom>
                    <a:ln/>
                  </pic:spPr>
                </pic:pic>
              </a:graphicData>
            </a:graphic>
          </wp:inline>
        </w:drawing>
      </w:r>
    </w:p>
    <w:p w14:paraId="0DE76B9F" w14:textId="77777777" w:rsidR="00DE2CDE" w:rsidRDefault="00000000">
      <w:pPr>
        <w:jc w:val="both"/>
        <w:rPr>
          <w:highlight w:val="yellow"/>
        </w:rPr>
      </w:pPr>
      <w:r>
        <w:rPr>
          <w:b/>
          <w:highlight w:val="white"/>
        </w:rPr>
        <w:t xml:space="preserve">Figure 5. </w:t>
      </w:r>
      <w:r>
        <w:rPr>
          <w:b/>
        </w:rPr>
        <w:t>Trans-PCO i</w:t>
      </w:r>
      <w:r>
        <w:rPr>
          <w:b/>
          <w:highlight w:val="white"/>
        </w:rPr>
        <w:t xml:space="preserve">dentifies </w:t>
      </w:r>
      <w:r>
        <w:rPr>
          <w:b/>
          <w:i/>
          <w:highlight w:val="white"/>
        </w:rPr>
        <w:t>trans</w:t>
      </w:r>
      <w:r>
        <w:rPr>
          <w:b/>
          <w:highlight w:val="white"/>
        </w:rPr>
        <w:t>-eQTLs associated with co-ex</w:t>
      </w:r>
      <w:r>
        <w:rPr>
          <w:b/>
        </w:rPr>
        <w:t>pression gene modules and MSigDB hallmark gene sets in eQTLGen. (A)</w:t>
      </w:r>
      <w:r>
        <w:t xml:space="preserve"> </w:t>
      </w:r>
      <w:r>
        <w:rPr>
          <w:b/>
        </w:rPr>
        <w:t>Summary-statistics–based trans-PCO is well controlled for test statistics inflations.</w:t>
      </w:r>
      <w:r>
        <w:t xml:space="preserve"> We show gene module 1 (size 625) as an example. </w:t>
      </w:r>
      <w:r>
        <w:rPr>
          <w:highlight w:val="white"/>
        </w:rPr>
        <w:t xml:space="preserve">SNP to gene ratios used for correlation matrix estimation are in different shapes and colors. Red-yellow shades represent higher ratios (&gt;=50) and blue shades represent lower ratios. Gray area shows 95% CI. Trans-PCO used a minimum ratio of 50. </w:t>
      </w:r>
      <w:r>
        <w:rPr>
          <w:b/>
          <w:highlight w:val="white"/>
        </w:rPr>
        <w:t>(B)</w:t>
      </w:r>
      <w:r>
        <w:rPr>
          <w:highlight w:val="white"/>
        </w:rPr>
        <w:t xml:space="preserve"> </w:t>
      </w:r>
      <w:r>
        <w:rPr>
          <w:b/>
        </w:rPr>
        <w:t xml:space="preserve">8199 significant </w:t>
      </w:r>
      <w:r>
        <w:rPr>
          <w:b/>
          <w:i/>
        </w:rPr>
        <w:t>trans</w:t>
      </w:r>
      <w:r>
        <w:rPr>
          <w:b/>
        </w:rPr>
        <w:t>-eSNP–module pairs associated with co-expression modules in eQTLGen.</w:t>
      </w:r>
      <w:r>
        <w:t xml:space="preserve"> Chromosomal positions of </w:t>
      </w:r>
      <w:r>
        <w:rPr>
          <w:i/>
        </w:rPr>
        <w:t>trans</w:t>
      </w:r>
      <w:r>
        <w:t>-eSNPs are on the x-axis and gene modules are on the y-axis. Point sizes are -Log</w:t>
      </w:r>
      <w:r>
        <w:rPr>
          <w:vertAlign w:val="subscript"/>
        </w:rPr>
        <w:t>10</w:t>
      </w:r>
      <w:r>
        <w:t>(</w:t>
      </w:r>
      <w:r>
        <w:rPr>
          <w:i/>
        </w:rPr>
        <w:t>P</w:t>
      </w:r>
      <w:r>
        <w:t xml:space="preserve">) </w:t>
      </w:r>
      <w:r>
        <w:lastRenderedPageBreak/>
        <w:t xml:space="preserve">values of significant </w:t>
      </w:r>
      <w:r>
        <w:rPr>
          <w:i/>
        </w:rPr>
        <w:t>trans</w:t>
      </w:r>
      <w:r>
        <w:t xml:space="preserve">-eQTLs. </w:t>
      </w:r>
      <w:r>
        <w:rPr>
          <w:b/>
        </w:rPr>
        <w:t>(C)</w:t>
      </w:r>
      <w:r>
        <w:t xml:space="preserve"> </w:t>
      </w:r>
      <w:r>
        <w:rPr>
          <w:b/>
        </w:rPr>
        <w:t>The majority of hub SNPs targeting more than 10 genes in the original eQTLGen study are identified by trans-PCO.</w:t>
      </w:r>
      <w:r>
        <w:t xml:space="preserve"> Light blue bar represents the total number of </w:t>
      </w:r>
      <w:r>
        <w:rPr>
          <w:i/>
        </w:rPr>
        <w:t>trans</w:t>
      </w:r>
      <w:r>
        <w:t xml:space="preserve">-eQTLs in the original eQTLGen study at 5% FDR level. Dark blue bar represents the </w:t>
      </w:r>
      <w:r>
        <w:rPr>
          <w:i/>
        </w:rPr>
        <w:t>trans</w:t>
      </w:r>
      <w:r>
        <w:t xml:space="preserve">-eQTLs also detected by trans-PCO under Bonferroni correction that are associated with co-expression modules or MSigDB gene sets. The bar on the right shows the </w:t>
      </w:r>
      <w:r>
        <w:rPr>
          <w:i/>
        </w:rPr>
        <w:t>trans</w:t>
      </w:r>
      <w:r>
        <w:t xml:space="preserve">-eQTLs detected only by trans-PCO. </w:t>
      </w:r>
      <w:r>
        <w:rPr>
          <w:b/>
          <w:highlight w:val="white"/>
        </w:rPr>
        <w:t>(D)</w:t>
      </w:r>
      <w:r>
        <w:t xml:space="preserve"> </w:t>
      </w:r>
      <w:r>
        <w:rPr>
          <w:b/>
        </w:rPr>
        <w:t xml:space="preserve">The HLA locus is associated with several immune related gene modules in </w:t>
      </w:r>
      <w:r>
        <w:rPr>
          <w:b/>
          <w:i/>
        </w:rPr>
        <w:t>trans</w:t>
      </w:r>
      <w:r>
        <w:rPr>
          <w:b/>
        </w:rPr>
        <w:t xml:space="preserve">. </w:t>
      </w:r>
      <w:r>
        <w:t xml:space="preserve">The bar plots show the functional enrichment of co-expression gene modules. </w:t>
      </w:r>
    </w:p>
    <w:p w14:paraId="0218692A" w14:textId="77777777" w:rsidR="00DE2CDE" w:rsidRDefault="00000000">
      <w:pPr>
        <w:pStyle w:val="Heading1"/>
        <w:jc w:val="both"/>
      </w:pPr>
      <w:bookmarkStart w:id="10" w:name="_lnxbz9" w:colFirst="0" w:colLast="0"/>
      <w:bookmarkEnd w:id="10"/>
      <w:r>
        <w:t>Discussion</w:t>
      </w:r>
    </w:p>
    <w:p w14:paraId="7D871EC9" w14:textId="77777777" w:rsidR="00DE2CDE" w:rsidRDefault="00000000">
      <w:pPr>
        <w:jc w:val="both"/>
      </w:pPr>
      <w:r>
        <w:t xml:space="preserve">In summary, we developed a powerful method, trans-PCO, to detect </w:t>
      </w:r>
      <w:r>
        <w:rPr>
          <w:i/>
        </w:rPr>
        <w:t>trans</w:t>
      </w:r>
      <w:r>
        <w:t xml:space="preserve">-eQTLs associated with expression levels of co-expressed or co-regulated genes. The multivariate approach of trans-PCO can detect much smaller </w:t>
      </w:r>
      <w:r>
        <w:rPr>
          <w:i/>
        </w:rPr>
        <w:t>trans</w:t>
      </w:r>
      <w:r>
        <w:t xml:space="preserve"> effects (</w:t>
      </w:r>
      <w:r>
        <w:rPr>
          <w:b/>
        </w:rPr>
        <w:t xml:space="preserve">Figure 3B, </w:t>
      </w:r>
      <w:r>
        <w:t>Figure S13) and is substantially more powerful than existing methods. (</w:t>
      </w:r>
      <w:r>
        <w:rPr>
          <w:b/>
        </w:rPr>
        <w:t>Figure 2</w:t>
      </w:r>
      <w:r>
        <w:t xml:space="preserve">). Trans-PCO is also flexible. It can be applied to both RNA-seq data with genotypes or summary statistics, and the user can employ various definitions of gene sets. Applying trans-PCO to both the DGN and the eQTLGen datasets, we identified nearly 15,000 </w:t>
      </w:r>
      <w:r>
        <w:rPr>
          <w:i/>
        </w:rPr>
        <w:t>trans</w:t>
      </w:r>
      <w:r>
        <w:t xml:space="preserve">-eSNP–module pairs associated with co-expression modules and well-defined biological processes. </w:t>
      </w:r>
      <w:r>
        <w:rPr>
          <w:i/>
        </w:rPr>
        <w:t>Trans</w:t>
      </w:r>
      <w:r>
        <w:t xml:space="preserve">-eQTLs with annotated gene modules facilitate our understanding of the </w:t>
      </w:r>
      <w:r>
        <w:rPr>
          <w:i/>
        </w:rPr>
        <w:t>trans</w:t>
      </w:r>
      <w:r>
        <w:t xml:space="preserve">-eQTL signals. These </w:t>
      </w:r>
      <w:r>
        <w:rPr>
          <w:i/>
        </w:rPr>
        <w:t>trans</w:t>
      </w:r>
      <w:r>
        <w:t xml:space="preserve">-eQTLs also improve our understanding of the </w:t>
      </w:r>
      <w:r>
        <w:rPr>
          <w:i/>
        </w:rPr>
        <w:t>trans</w:t>
      </w:r>
      <w:r>
        <w:t xml:space="preserve"> regulatory effects of disease associated loci. </w:t>
      </w:r>
      <w:r>
        <w:rPr>
          <w:highlight w:val="white"/>
        </w:rPr>
        <w:t xml:space="preserve">We highlight multiple examples where our map of </w:t>
      </w:r>
      <w:r>
        <w:rPr>
          <w:i/>
          <w:highlight w:val="white"/>
        </w:rPr>
        <w:t>trans</w:t>
      </w:r>
      <w:r>
        <w:rPr>
          <w:highlight w:val="white"/>
        </w:rPr>
        <w:t xml:space="preserve"> effects helps us identify how trait-associated variants impact gene regulatory networks and pathways. For example, we found six genetic loci associated with red blood cell traits to have significant </w:t>
      </w:r>
      <w:r>
        <w:rPr>
          <w:i/>
          <w:highlight w:val="white"/>
        </w:rPr>
        <w:t>trans-</w:t>
      </w:r>
      <w:r>
        <w:rPr>
          <w:highlight w:val="white"/>
        </w:rPr>
        <w:t>associations with the heme metabolism gene set. It is possible that these genetic loci are “peripheral master regulators” that regulate core processes of red blood cell production.</w:t>
      </w:r>
    </w:p>
    <w:p w14:paraId="43B4FD82" w14:textId="77777777" w:rsidR="00DE2CDE" w:rsidRDefault="00DE2CDE">
      <w:pPr>
        <w:jc w:val="both"/>
      </w:pPr>
    </w:p>
    <w:p w14:paraId="116E31C8" w14:textId="77777777" w:rsidR="00DE2CDE" w:rsidRDefault="00000000">
      <w:pPr>
        <w:jc w:val="both"/>
        <w:rPr>
          <w:highlight w:val="white"/>
        </w:rPr>
      </w:pPr>
      <w:r>
        <w:t xml:space="preserve">A limitation of multivariate association tests, including trans-PCO, is that they do not explicitly identify which genes in the gene sets are significantly associated with the test SNP. Furthermore, while functional annotations of gene sets facilitate our understanding of the </w:t>
      </w:r>
      <w:r>
        <w:rPr>
          <w:i/>
        </w:rPr>
        <w:t>trans</w:t>
      </w:r>
      <w:r>
        <w:t xml:space="preserve">-eQTL signals, it is possible that the genes driving </w:t>
      </w:r>
      <w:r>
        <w:rPr>
          <w:i/>
        </w:rPr>
        <w:t>trans</w:t>
      </w:r>
      <w:r>
        <w:t xml:space="preserve">-associations are different from the genes driving functional enrichment of the gene sets. Therefore, the biological interpretation of </w:t>
      </w:r>
      <w:r>
        <w:rPr>
          <w:i/>
        </w:rPr>
        <w:t>trans</w:t>
      </w:r>
      <w:r>
        <w:t>-eQTL signals should be supported with other evidence before it is considered definitive.</w:t>
      </w:r>
      <w:r>
        <w:rPr>
          <w:highlight w:val="white"/>
        </w:rPr>
        <w:t xml:space="preserve"> While the exact molecular mechanism requires further validation, the large number of </w:t>
      </w:r>
      <w:r>
        <w:rPr>
          <w:i/>
          <w:highlight w:val="white"/>
        </w:rPr>
        <w:t>trans</w:t>
      </w:r>
      <w:r>
        <w:rPr>
          <w:highlight w:val="white"/>
        </w:rPr>
        <w:t xml:space="preserve">-eQTLs identified by trans-PCO in our study opens up new opportunities to understand complex traits-associated loci and underlying mechanisms. </w:t>
      </w:r>
    </w:p>
    <w:p w14:paraId="4B78790F" w14:textId="77777777" w:rsidR="00DE2CDE" w:rsidRDefault="00DE2CDE">
      <w:pPr>
        <w:jc w:val="both"/>
      </w:pPr>
    </w:p>
    <w:p w14:paraId="67C8FF27" w14:textId="77777777" w:rsidR="00DE2CDE" w:rsidRDefault="00000000">
      <w:pPr>
        <w:jc w:val="both"/>
      </w:pPr>
      <w:r>
        <w:rPr>
          <w:i/>
        </w:rPr>
        <w:t>Trans</w:t>
      </w:r>
      <w:r>
        <w:t xml:space="preserve">-eQTLs identified in bulk tissues can be a combination of cell composition </w:t>
      </w:r>
      <w:r>
        <w:rPr>
          <w:i/>
        </w:rPr>
        <w:t>trans</w:t>
      </w:r>
      <w:r>
        <w:t xml:space="preserve">-eQTLs, which are driven by cell type proportions, and intracellular </w:t>
      </w:r>
      <w:r>
        <w:rPr>
          <w:i/>
        </w:rPr>
        <w:t>trans</w:t>
      </w:r>
      <w:r>
        <w:t xml:space="preserve">-eQTLs, which capture </w:t>
      </w:r>
      <w:r>
        <w:rPr>
          <w:i/>
        </w:rPr>
        <w:t>trans</w:t>
      </w:r>
      <w:r>
        <w:t xml:space="preserve"> regulatory effects in a single cell type. To get higher proportions of intracellular eQTLs, the common approach is to correct for cell type proportions in association tests. For example, the eQTLGen study</w:t>
      </w:r>
      <w:r>
        <w:rPr>
          <w:vertAlign w:val="superscript"/>
        </w:rPr>
        <w:t>12</w:t>
      </w:r>
      <w:r>
        <w:t xml:space="preserve"> corrected for cell proportion effect by using gene expression PCs. They validated some trans-eQTLs using single-cell RNA sequencing data, indicating that these </w:t>
      </w:r>
      <w:r>
        <w:rPr>
          <w:i/>
        </w:rPr>
        <w:t>trans</w:t>
      </w:r>
      <w:r>
        <w:t xml:space="preserve">-eQTLs were intracellular </w:t>
      </w:r>
      <w:r>
        <w:rPr>
          <w:i/>
        </w:rPr>
        <w:t>trans</w:t>
      </w:r>
      <w:r>
        <w:t xml:space="preserve">-eQTLs. In our analysis of DGN dataset, we included the estimated cell proportions as covariates, in addition to gene expression PCs. This strategy might have given </w:t>
      </w:r>
      <w:r>
        <w:lastRenderedPageBreak/>
        <w:t xml:space="preserve">rise to higher proportions of intracellular </w:t>
      </w:r>
      <w:r>
        <w:rPr>
          <w:i/>
        </w:rPr>
        <w:t>trans</w:t>
      </w:r>
      <w:r>
        <w:t xml:space="preserve">-eQTLs. Co-expression gene modules could also capture cell proportion effects. In our study, we removed cell proportions from gene expression levels before clustering genes into co-expression modules. While this can correct for cell proportion effects in the co-expression modules to some extent, we note that it does not guarantee their complete removal. </w:t>
      </w:r>
    </w:p>
    <w:p w14:paraId="24F158AE" w14:textId="77777777" w:rsidR="00DE2CDE" w:rsidRDefault="00DE2CDE">
      <w:pPr>
        <w:jc w:val="both"/>
      </w:pPr>
    </w:p>
    <w:p w14:paraId="59E3D90F" w14:textId="77777777" w:rsidR="00DE2CDE" w:rsidRDefault="00000000">
      <w:pPr>
        <w:jc w:val="both"/>
      </w:pPr>
      <w:r>
        <w:t xml:space="preserve">Many studies, including ours, seek to avoid cell composition effects. However, by closely examining trans-eQTLs discovered in our study, we think cell composition </w:t>
      </w:r>
      <w:r>
        <w:rPr>
          <w:i/>
        </w:rPr>
        <w:t>trans</w:t>
      </w:r>
      <w:r>
        <w:t xml:space="preserve">-eQTLs can be biologically interesting too. For example, the </w:t>
      </w:r>
      <w:r>
        <w:rPr>
          <w:i/>
        </w:rPr>
        <w:t>IKZF1</w:t>
      </w:r>
      <w:r>
        <w:t xml:space="preserve"> locus is significantly associated with several gene modules enriched with viral defense and other immune related functions in </w:t>
      </w:r>
      <w:r>
        <w:rPr>
          <w:i/>
        </w:rPr>
        <w:t>trans</w:t>
      </w:r>
      <w:r>
        <w:t>. The locus is also significantly associated with white blood cell proportions. Gi</w:t>
      </w:r>
      <w:r>
        <w:rPr>
          <w:highlight w:val="white"/>
        </w:rPr>
        <w:t xml:space="preserve">ven the general function of white blood cells in fighting infections, these observations raise the possibility that the </w:t>
      </w:r>
      <w:r>
        <w:rPr>
          <w:i/>
          <w:highlight w:val="white"/>
        </w:rPr>
        <w:t>trans</w:t>
      </w:r>
      <w:r>
        <w:rPr>
          <w:highlight w:val="white"/>
        </w:rPr>
        <w:t xml:space="preserve">-eQTLs near </w:t>
      </w:r>
      <w:r>
        <w:rPr>
          <w:i/>
          <w:highlight w:val="white"/>
        </w:rPr>
        <w:t>IKZF1</w:t>
      </w:r>
      <w:r>
        <w:rPr>
          <w:highlight w:val="white"/>
        </w:rPr>
        <w:t xml:space="preserve"> regulate antiviral activity by affecting white blood cell-type proportion. Supporting this hypothesis, we found earlier that genetic variants near </w:t>
      </w:r>
      <w:r>
        <w:rPr>
          <w:i/>
          <w:highlight w:val="white"/>
        </w:rPr>
        <w:t>IKZF1</w:t>
      </w:r>
      <w:r>
        <w:rPr>
          <w:highlight w:val="white"/>
        </w:rPr>
        <w:t xml:space="preserve"> are also associated with expression levels of genes in M159, which are enriched in genes involved in the Notch signaling pathway. The Notch signaling pathway plays a central role in cell proliferation, cell fate, and cell differentiation</w:t>
      </w:r>
      <w:hyperlink r:id="rId78">
        <w:r>
          <w:rPr>
            <w:vertAlign w:val="superscript"/>
          </w:rPr>
          <w:t>52</w:t>
        </w:r>
      </w:hyperlink>
      <w:r>
        <w:rPr>
          <w:highlight w:val="white"/>
        </w:rPr>
        <w:t xml:space="preserve">; thus, our analyses reveal a plausible mode of action whereby genetic variants near </w:t>
      </w:r>
      <w:r>
        <w:rPr>
          <w:i/>
          <w:highlight w:val="white"/>
        </w:rPr>
        <w:t>IKZF1</w:t>
      </w:r>
      <w:r>
        <w:rPr>
          <w:highlight w:val="white"/>
        </w:rPr>
        <w:t xml:space="preserve"> impact multiple immune-related functions by influencing white blood cell-type proportions.</w:t>
      </w:r>
      <w:r>
        <w:t xml:space="preserve"> In future studies, it could be interesting to specifically identify cell proportion effects and understand their role in complex traits. </w:t>
      </w:r>
    </w:p>
    <w:p w14:paraId="150B0A17" w14:textId="77777777" w:rsidR="00DE2CDE" w:rsidRDefault="00DE2CDE">
      <w:pPr>
        <w:jc w:val="both"/>
        <w:rPr>
          <w:highlight w:val="white"/>
        </w:rPr>
      </w:pPr>
    </w:p>
    <w:p w14:paraId="638ECE93" w14:textId="77777777" w:rsidR="00DE2CDE" w:rsidRDefault="00000000">
      <w:pPr>
        <w:jc w:val="both"/>
        <w:rPr>
          <w:highlight w:val="white"/>
        </w:rPr>
      </w:pPr>
      <w:r>
        <w:rPr>
          <w:highlight w:val="white"/>
        </w:rPr>
        <w:t xml:space="preserve">All the </w:t>
      </w:r>
      <w:r>
        <w:rPr>
          <w:i/>
          <w:highlight w:val="white"/>
        </w:rPr>
        <w:t>trans</w:t>
      </w:r>
      <w:r>
        <w:rPr>
          <w:highlight w:val="white"/>
        </w:rPr>
        <w:t xml:space="preserve">-eQTL signals, with functional annotation of the gene sets, can be downloaded and browsed in </w:t>
      </w:r>
      <w:hyperlink r:id="rId79">
        <w:r>
          <w:rPr>
            <w:color w:val="1155CC"/>
            <w:u w:val="single"/>
          </w:rPr>
          <w:t>www.networks-liulab.org/transPCO</w:t>
        </w:r>
      </w:hyperlink>
      <w:r>
        <w:t>,</w:t>
      </w:r>
      <w:r>
        <w:rPr>
          <w:highlight w:val="white"/>
        </w:rPr>
        <w:t xml:space="preserve"> which will facilitate interpretation of </w:t>
      </w:r>
      <w:r>
        <w:rPr>
          <w:i/>
          <w:highlight w:val="white"/>
        </w:rPr>
        <w:t>trans</w:t>
      </w:r>
      <w:r>
        <w:rPr>
          <w:highlight w:val="white"/>
        </w:rPr>
        <w:t xml:space="preserve"> regulatory effects of disease associated loci. </w:t>
      </w:r>
    </w:p>
    <w:p w14:paraId="7897BC69" w14:textId="77777777" w:rsidR="00DE2CDE" w:rsidRDefault="00DE2CDE">
      <w:pPr>
        <w:jc w:val="both"/>
      </w:pPr>
    </w:p>
    <w:p w14:paraId="7023EE45" w14:textId="77777777" w:rsidR="00DE2CDE" w:rsidRDefault="00000000">
      <w:pPr>
        <w:ind w:left="720"/>
        <w:jc w:val="both"/>
      </w:pPr>
      <w:r>
        <w:br w:type="page"/>
      </w:r>
    </w:p>
    <w:p w14:paraId="2D78BD16" w14:textId="77777777" w:rsidR="00DE2CDE" w:rsidRDefault="00000000">
      <w:pPr>
        <w:pStyle w:val="Heading1"/>
        <w:jc w:val="both"/>
      </w:pPr>
      <w:bookmarkStart w:id="11" w:name="_35nkun2" w:colFirst="0" w:colLast="0"/>
      <w:bookmarkEnd w:id="11"/>
      <w:r>
        <w:lastRenderedPageBreak/>
        <w:t>Methods</w:t>
      </w:r>
    </w:p>
    <w:p w14:paraId="0BFABDC0" w14:textId="77777777" w:rsidR="00DE2CDE" w:rsidRDefault="00000000">
      <w:pPr>
        <w:pStyle w:val="Heading2"/>
        <w:jc w:val="both"/>
      </w:pPr>
      <w:bookmarkStart w:id="12" w:name="_1ksv4uv" w:colFirst="0" w:colLast="0"/>
      <w:bookmarkEnd w:id="12"/>
      <w:r>
        <w:t>Trans-PCO pipeline</w:t>
      </w:r>
    </w:p>
    <w:p w14:paraId="2D4E308A" w14:textId="77777777" w:rsidR="00DE2CDE" w:rsidRDefault="00000000">
      <w:pPr>
        <w:jc w:val="both"/>
      </w:pPr>
      <w:r>
        <w:t xml:space="preserve">We test if a genetic variant is associated with genes in a module through </w:t>
      </w:r>
      <w:r>
        <w:rPr>
          <w:i/>
        </w:rPr>
        <w:t>trans</w:t>
      </w:r>
      <w:r>
        <w:t xml:space="preserve"> regulations using the multivariate model as follows,</w:t>
      </w:r>
    </w:p>
    <w:p w14:paraId="2BA8E40B" w14:textId="77777777" w:rsidR="00DE2CDE" w:rsidRDefault="00000000">
      <w:pPr>
        <w:jc w:val="cente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]=G[</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K</m:t>
            </m:r>
          </m:sub>
        </m:sSub>
        <m:r>
          <w:rPr>
            <w:rFonts w:ascii="Cambria Math" w:eastAsia="Cambria Math" w:hAnsi="Cambria Math" w:cs="Cambria Math"/>
          </w:rPr>
          <m:t>]+covariates+e</m:t>
        </m:r>
      </m:oMath>
      <w:r>
        <w:t>,</w:t>
      </w:r>
    </w:p>
    <w:p w14:paraId="09413F89" w14:textId="77777777" w:rsidR="00DE2CDE" w:rsidRDefault="00000000">
      <w:pPr>
        <w:jc w:val="both"/>
      </w:pPr>
      <w:r>
        <w:t xml:space="preserve">where </w:t>
      </w:r>
      <m:oMath>
        <m:r>
          <w:rPr>
            <w:rFonts w:ascii="Cambria Math" w:eastAsia="Cambria Math" w:hAnsi="Cambria Math" w:cs="Cambria Math"/>
          </w:rPr>
          <m:t>G</m:t>
        </m:r>
      </m:oMath>
      <w:r>
        <w:t xml:space="preserve"> is the dosage of a reference allele representing the genotype of a SNP,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k</m:t>
            </m:r>
          </m:sub>
        </m:sSub>
      </m:oMath>
      <w:r>
        <w:t xml:space="preserve"> is the effect of the SNP on </w:t>
      </w:r>
      <m:oMath>
        <m:r>
          <w:rPr>
            <w:rFonts w:ascii="Cambria Math" w:eastAsia="Cambria Math" w:hAnsi="Cambria Math" w:cs="Cambria Math"/>
          </w:rPr>
          <m:t>k</m:t>
        </m:r>
      </m:oMath>
      <w:r>
        <w:t xml:space="preserve">-th gene in the module with </w:t>
      </w:r>
      <m:oMath>
        <m:r>
          <w:rPr>
            <w:rFonts w:ascii="Cambria Math" w:eastAsia="Cambria Math" w:hAnsi="Cambria Math" w:cs="Cambria Math"/>
          </w:rPr>
          <m:t>K</m:t>
        </m:r>
      </m:oMath>
      <w:r>
        <w:t xml:space="preserve"> genes, and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k</m:t>
            </m:r>
          </m:sub>
        </m:sSub>
      </m:oMath>
      <w:r>
        <w:t xml:space="preserve"> is the expression level of the </w:t>
      </w:r>
      <m:oMath>
        <m:r>
          <w:rPr>
            <w:rFonts w:ascii="Cambria Math" w:eastAsia="Cambria Math" w:hAnsi="Cambria Math" w:cs="Cambria Math"/>
          </w:rPr>
          <m:t>k</m:t>
        </m:r>
      </m:oMath>
      <w:r>
        <w:t>-th gene. To test if a SNP of interest is significantly associated with the module, we test the null hypothesis</w:t>
      </w:r>
    </w:p>
    <w:p w14:paraId="272F0D77" w14:textId="77777777" w:rsidR="00DE2CDE" w:rsidRDefault="00000000">
      <w:pPr>
        <w:jc w:val="center"/>
      </w:pP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K</m:t>
            </m:r>
          </m:sub>
        </m:sSub>
        <m:r>
          <w:rPr>
            <w:rFonts w:ascii="Cambria Math" w:eastAsia="Cambria Math" w:hAnsi="Cambria Math" w:cs="Cambria Math"/>
          </w:rPr>
          <m:t>=0</m:t>
        </m:r>
      </m:oMath>
      <w:r>
        <w:t>.</w:t>
      </w:r>
    </w:p>
    <w:p w14:paraId="53244587" w14:textId="77777777" w:rsidR="00DE2CDE" w:rsidRDefault="00000000">
      <w:pPr>
        <w:jc w:val="both"/>
      </w:pPr>
      <w:r>
        <w:t>We use a PC-based omnibus test (PCO)</w:t>
      </w:r>
      <w:hyperlink r:id="rId80">
        <w:r>
          <w:rPr>
            <w:vertAlign w:val="superscript"/>
          </w:rPr>
          <w:t>25</w:t>
        </w:r>
      </w:hyperlink>
      <w:r>
        <w:t xml:space="preserve">, which is a powerful and robust PC-based approach aiming at testing genetic association with multiple genes with no prior knowledge of the true effects. </w:t>
      </w:r>
    </w:p>
    <w:p w14:paraId="318C27D5" w14:textId="77777777" w:rsidR="00DE2CDE" w:rsidRDefault="00DE2CDE">
      <w:pPr>
        <w:jc w:val="both"/>
      </w:pPr>
    </w:p>
    <w:p w14:paraId="68E0DD69" w14:textId="77777777" w:rsidR="00DE2CDE" w:rsidRDefault="00000000">
      <w:pPr>
        <w:jc w:val="both"/>
      </w:pPr>
      <w:r>
        <w:t xml:space="preserve">Specifically, PCO combines multiple single PC-based tests in linear and non-linear ways, corresponding to a range of causal relationships between the genetic variant and genes, to achieve higher power and better robustness. A single PC-based test (most commonly the first primary </w:t>
      </w:r>
      <m:oMath>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oMath>
      <w:r>
        <w:t>) is,</w:t>
      </w:r>
    </w:p>
    <w:p w14:paraId="159AE67B" w14:textId="77777777" w:rsidR="00DE2CDE" w:rsidRDefault="00000000">
      <w:pPr>
        <w:jc w:val="center"/>
      </w:pP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k</m:t>
                </m:r>
              </m:sub>
            </m:sSub>
          </m:sub>
        </m:sSub>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k</m:t>
                </m:r>
              </m:sub>
            </m:sSub>
          </m:e>
          <m:sup>
            <m:r>
              <w:rPr>
                <w:rFonts w:ascii="Cambria Math" w:eastAsia="Cambria Math" w:hAnsi="Cambria Math" w:cs="Cambria Math"/>
              </w:rPr>
              <m:t>T</m:t>
            </m:r>
          </m:sup>
        </m:sSup>
        <m:r>
          <w:rPr>
            <w:rFonts w:ascii="Cambria Math" w:eastAsia="Cambria Math" w:hAnsi="Cambria Math" w:cs="Cambria Math"/>
          </w:rPr>
          <m:t>Z ∼N(</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k</m:t>
                </m:r>
              </m:sub>
            </m:sSub>
          </m:e>
          <m:sup>
            <m:r>
              <w:rPr>
                <w:rFonts w:ascii="Cambria Math" w:eastAsia="Cambria Math" w:hAnsi="Cambria Math" w:cs="Cambria Math"/>
              </w:rPr>
              <m:t>T</m:t>
            </m:r>
          </m:sup>
        </m:sSup>
        <m:r>
          <w:rPr>
            <w:rFonts w:ascii="Cambria Math" w:eastAsia="Cambria Math" w:hAnsi="Cambria Math" w:cs="Cambria Math"/>
          </w:rPr>
          <m:t>β,</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k</m:t>
            </m:r>
          </m:sub>
        </m:sSub>
        <m:r>
          <w:rPr>
            <w:rFonts w:ascii="Cambria Math" w:eastAsia="Cambria Math" w:hAnsi="Cambria Math" w:cs="Cambria Math"/>
          </w:rPr>
          <m:t>), 1≤k≤K</m:t>
        </m:r>
      </m:oMath>
      <w:r>
        <w:t>,</w:t>
      </w:r>
    </w:p>
    <w:p w14:paraId="7288AE49" w14:textId="77777777" w:rsidR="00DE2CDE" w:rsidRDefault="00000000">
      <w:pPr>
        <w:jc w:val="both"/>
      </w:pPr>
      <w:r>
        <w:t xml:space="preserve">where </w:t>
      </w:r>
      <m:oMath>
        <m:r>
          <w:rPr>
            <w:rFonts w:ascii="Cambria Math" w:eastAsia="Cambria Math" w:hAnsi="Cambria Math" w:cs="Cambria Math"/>
          </w:rPr>
          <m:t>Z</m:t>
        </m:r>
      </m:oMath>
      <w:r>
        <w:t xml:space="preserve"> is a </w:t>
      </w:r>
      <m:oMath>
        <m:r>
          <w:rPr>
            <w:rFonts w:ascii="Cambria Math" w:eastAsia="Cambria Math" w:hAnsi="Cambria Math" w:cs="Cambria Math"/>
          </w:rPr>
          <m:t>K×1</m:t>
        </m:r>
      </m:oMath>
      <w:r>
        <w:t xml:space="preserve"> vector of univariate summary statistic z-scores of the SNP for </w:t>
      </w:r>
      <m:oMath>
        <m:r>
          <w:rPr>
            <w:rFonts w:ascii="Cambria Math" w:eastAsia="Cambria Math" w:hAnsi="Cambria Math" w:cs="Cambria Math"/>
          </w:rPr>
          <m:t>K</m:t>
        </m:r>
      </m:oMath>
      <w:r>
        <w:t xml:space="preserve"> genes in a module,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k</m:t>
            </m:r>
          </m:sub>
        </m:sSub>
      </m:oMath>
      <w:r>
        <w:t xml:space="preserve"> is the </w:t>
      </w:r>
      <m:oMath>
        <m:r>
          <w:rPr>
            <w:rFonts w:ascii="Cambria Math" w:eastAsia="Cambria Math" w:hAnsi="Cambria Math" w:cs="Cambria Math"/>
          </w:rPr>
          <m:t>k</m:t>
        </m:r>
      </m:oMath>
      <w:r>
        <w:t xml:space="preserve">-th eigenvector of the covariance matrix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K×K</m:t>
            </m:r>
          </m:sub>
        </m:sSub>
      </m:oMath>
      <w:r>
        <w:t xml:space="preserve"> of </w:t>
      </w:r>
      <m:oMath>
        <m:r>
          <w:rPr>
            <w:rFonts w:ascii="Cambria Math" w:eastAsia="Cambria Math" w:hAnsi="Cambria Math" w:cs="Cambria Math"/>
          </w:rPr>
          <m:t>Z</m:t>
        </m:r>
      </m:oMath>
      <w:r>
        <w:t xml:space="preserve">,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k</m:t>
            </m:r>
          </m:sub>
        </m:sSub>
      </m:oMath>
      <w:r>
        <w:t xml:space="preserve"> is the corresponding eigenvalue, and </w:t>
      </w:r>
      <m:oMath>
        <m:r>
          <w:rPr>
            <w:rFonts w:ascii="Cambria Math" w:hAnsi="Cambria Math"/>
          </w:rPr>
          <m:t>β</m:t>
        </m:r>
      </m:oMath>
      <w:r>
        <w:t xml:space="preserve"> represents the true causal effect. PCO combines six PC-based tests, including,</w:t>
      </w:r>
    </w:p>
    <w:p w14:paraId="009309CE" w14:textId="77777777" w:rsidR="00DE2CDE" w:rsidRDefault="00000000">
      <w:pPr>
        <w:jc w:val="center"/>
      </w:pPr>
      <m:oMath>
        <m:r>
          <w:rPr>
            <w:rFonts w:ascii="Cambria Math" w:eastAsia="Cambria Math" w:hAnsi="Cambria Math" w:cs="Cambria Math"/>
          </w:rPr>
          <m:t>PCMinP=</m:t>
        </m:r>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1≤k≤K</m:t>
            </m:r>
          </m:sub>
        </m:sSub>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k</m:t>
            </m:r>
          </m:sub>
        </m:sSub>
      </m:oMath>
      <w:r>
        <w:t xml:space="preserve">, and </w:t>
      </w:r>
      <m:oMath>
        <m:r>
          <w:rPr>
            <w:rFonts w:ascii="Cambria Math" w:eastAsia="Cambria Math" w:hAnsi="Cambria Math" w:cs="Cambria Math"/>
          </w:rPr>
          <m:t>PCFisher=-2</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K</m:t>
            </m:r>
          </m:sup>
          <m:e/>
        </m:nary>
        <m:r>
          <w:rPr>
            <w:rFonts w:ascii="Cambria Math" w:eastAsia="Cambria Math" w:hAnsi="Cambria Math" w:cs="Cambria Math"/>
          </w:rPr>
          <m:t>log(</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k</m:t>
            </m:r>
          </m:sub>
        </m:sSub>
        <m:r>
          <w:rPr>
            <w:rFonts w:ascii="Cambria Math" w:eastAsia="Cambria Math" w:hAnsi="Cambria Math" w:cs="Cambria Math"/>
          </w:rPr>
          <m:t>)</m:t>
        </m:r>
      </m:oMath>
      <w:r>
        <w:t>,</w:t>
      </w:r>
    </w:p>
    <w:p w14:paraId="23EBCAE0" w14:textId="77777777" w:rsidR="00DE2CDE" w:rsidRDefault="00000000">
      <w:pPr>
        <w:jc w:val="both"/>
      </w:pPr>
      <w:r>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k</m:t>
            </m:r>
          </m:sub>
        </m:sSub>
      </m:oMath>
      <w:r>
        <w:t xml:space="preserve"> is the p-value of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k</m:t>
                </m:r>
              </m:sub>
            </m:sSub>
          </m:sub>
        </m:sSub>
      </m:oMath>
      <w:r>
        <w:t>. These two tests take the best p-value of single PC-based tests and combine multiple PC p-values as the test statistic. Other tests include,</w:t>
      </w:r>
    </w:p>
    <w:p w14:paraId="27D2BF35" w14:textId="77777777" w:rsidR="00DE2CDE" w:rsidRDefault="00000000">
      <w:pPr>
        <w:jc w:val="center"/>
      </w:pPr>
      <m:oMath>
        <m:r>
          <w:rPr>
            <w:rFonts w:ascii="Cambria Math" w:eastAsia="Cambria Math" w:hAnsi="Cambria Math" w:cs="Cambria Math"/>
          </w:rPr>
          <m:t>PCLC=</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K</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k</m:t>
                    </m:r>
                  </m:sub>
                </m:sSub>
              </m:sub>
            </m:sSub>
          </m:num>
          <m:den>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k</m:t>
                </m:r>
              </m:sub>
            </m:sSub>
          </m:den>
        </m:f>
      </m:oMath>
      <w:r>
        <w:t xml:space="preserve">, </w:t>
      </w:r>
      <m:oMath>
        <m:r>
          <w:rPr>
            <w:rFonts w:ascii="Cambria Math" w:eastAsia="Cambria Math" w:hAnsi="Cambria Math" w:cs="Cambria Math"/>
          </w:rPr>
          <m:t>WI=</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K</m:t>
            </m:r>
          </m:sup>
          <m:e/>
        </m:nary>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k</m:t>
                    </m:r>
                  </m:sub>
                </m:sSub>
              </m:sub>
            </m:sSub>
          </m:e>
          <m:sup>
            <m:r>
              <w:rPr>
                <w:rFonts w:ascii="Cambria Math" w:eastAsia="Cambria Math" w:hAnsi="Cambria Math" w:cs="Cambria Math"/>
              </w:rPr>
              <m:t>2</m:t>
            </m:r>
          </m:sup>
        </m:sSup>
      </m:oMath>
      <w:r>
        <w:t xml:space="preserve">, </w:t>
      </w:r>
      <m:oMath>
        <m:r>
          <w:rPr>
            <w:rFonts w:ascii="Cambria Math" w:eastAsia="Cambria Math" w:hAnsi="Cambria Math" w:cs="Cambria Math"/>
          </w:rPr>
          <m:t>Wald=</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K</m:t>
            </m:r>
          </m:sup>
          <m:e/>
        </m:nary>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k</m:t>
                        </m:r>
                      </m:sub>
                    </m:sSub>
                  </m:sub>
                </m:sSub>
              </m:e>
              <m:sup>
                <m:r>
                  <w:rPr>
                    <w:rFonts w:ascii="Cambria Math" w:eastAsia="Cambria Math" w:hAnsi="Cambria Math" w:cs="Cambria Math"/>
                  </w:rPr>
                  <m:t>2</m:t>
                </m:r>
              </m:sup>
            </m:sSup>
          </m:num>
          <m:den>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k</m:t>
                </m:r>
              </m:sub>
            </m:sSub>
          </m:den>
        </m:f>
      </m:oMath>
      <w:r>
        <w:t xml:space="preserve">, </w:t>
      </w:r>
      <m:oMath>
        <m:r>
          <w:rPr>
            <w:rFonts w:ascii="Cambria Math" w:eastAsia="Cambria Math" w:hAnsi="Cambria Math" w:cs="Cambria Math"/>
          </w:rPr>
          <m:t>VC=</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K</m:t>
            </m:r>
          </m:sup>
          <m:e/>
        </m:nary>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k</m:t>
                        </m:r>
                      </m:sub>
                    </m:sSub>
                  </m:sub>
                </m:sSub>
              </m:e>
              <m:sup>
                <m:r>
                  <w:rPr>
                    <w:rFonts w:ascii="Cambria Math" w:eastAsia="Cambria Math" w:hAnsi="Cambria Math" w:cs="Cambria Math"/>
                  </w:rPr>
                  <m:t>2</m:t>
                </m:r>
              </m:sup>
            </m:sSup>
          </m:num>
          <m:den>
            <m:sSubSup>
              <m:sSubSupPr>
                <m:ctrlPr>
                  <w:rPr>
                    <w:rFonts w:ascii="Cambria Math" w:eastAsia="Cambria Math" w:hAnsi="Cambria Math" w:cs="Cambria Math"/>
                  </w:rPr>
                </m:ctrlPr>
              </m:sSubSupPr>
              <m:e>
                <m:r>
                  <w:rPr>
                    <w:rFonts w:ascii="Cambria Math" w:eastAsia="Cambria Math" w:hAnsi="Cambria Math" w:cs="Cambria Math"/>
                  </w:rPr>
                  <m:t>λ</m:t>
                </m:r>
              </m:e>
              <m:sub>
                <m:r>
                  <w:rPr>
                    <w:rFonts w:ascii="Cambria Math" w:eastAsia="Cambria Math" w:hAnsi="Cambria Math" w:cs="Cambria Math"/>
                  </w:rPr>
                  <m:t>k</m:t>
                </m:r>
              </m:sub>
              <m:sup>
                <m:r>
                  <w:rPr>
                    <w:rFonts w:ascii="Cambria Math" w:eastAsia="Cambria Math" w:hAnsi="Cambria Math" w:cs="Cambria Math"/>
                  </w:rPr>
                  <m:t>2</m:t>
                </m:r>
              </m:sup>
            </m:sSubSup>
          </m:den>
        </m:f>
      </m:oMath>
      <w:r>
        <w:t>,</w:t>
      </w:r>
    </w:p>
    <w:p w14:paraId="5AFE0C56" w14:textId="77777777" w:rsidR="00DE2CDE" w:rsidRDefault="00000000">
      <w:pPr>
        <w:jc w:val="both"/>
      </w:pPr>
      <w:r>
        <w:t>which are linear and quadratic combinations of each single PC-based test weighted by eigenvalues. The six tests achieve best power in specific genetic settings with different true causal effects</w:t>
      </w:r>
      <w:hyperlink r:id="rId81">
        <w:r>
          <w:rPr>
            <w:vertAlign w:val="superscript"/>
          </w:rPr>
          <w:t>25</w:t>
        </w:r>
      </w:hyperlink>
      <w:r>
        <w:t>. PCO takes the best p-value of the PC-based tests as the final test statistic,</w:t>
      </w:r>
    </w:p>
    <w:p w14:paraId="5F2C2AA6" w14:textId="77777777" w:rsidR="00DE2CDE" w:rsidRDefault="00000000">
      <w:pPr>
        <w:jc w:val="center"/>
      </w:pP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PCO</m:t>
            </m:r>
          </m:sub>
        </m:sSub>
        <m:r>
          <w:rPr>
            <w:rFonts w:ascii="Cambria Math" w:eastAsia="Cambria Math" w:hAnsi="Cambria Math" w:cs="Cambria Math"/>
          </w:rPr>
          <m:t xml:space="preserve">=min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{PCMinP, PCFisher, PCLC, WI, Wald, VC}</m:t>
            </m:r>
          </m:sub>
        </m:sSub>
      </m:oMath>
      <w:r>
        <w:t>,</w:t>
      </w:r>
    </w:p>
    <w:p w14:paraId="3C6D1DF0" w14:textId="77777777" w:rsidR="00DE2CDE" w:rsidRDefault="00000000">
      <w:pPr>
        <w:jc w:val="both"/>
      </w:pPr>
      <w:r>
        <w:t xml:space="preserve">to achieve robustness under unknown genetic architectures while maintaining a high power. </w:t>
      </w:r>
    </w:p>
    <w:p w14:paraId="41224ECA" w14:textId="77777777" w:rsidR="00DE2CDE" w:rsidRDefault="00DE2CDE">
      <w:pPr>
        <w:jc w:val="both"/>
      </w:pPr>
    </w:p>
    <w:p w14:paraId="5C35639D" w14:textId="77777777" w:rsidR="00DE2CDE" w:rsidRDefault="00000000">
      <w:pPr>
        <w:jc w:val="both"/>
      </w:pPr>
      <w:r>
        <w:t xml:space="preserve">To prevent cis-regulatory effects from driving the identified </w:t>
      </w:r>
      <w:r>
        <w:rPr>
          <w:i/>
        </w:rPr>
        <w:t>trans</w:t>
      </w:r>
      <w:r>
        <w:t xml:space="preserve"> associations between a SNP and module, we removed genes in the module that are on the same chromosome as the tested variant. In addition, to avoid false positive signals in </w:t>
      </w:r>
      <w:r>
        <w:rPr>
          <w:i/>
        </w:rPr>
        <w:t>trans</w:t>
      </w:r>
      <w:r>
        <w:t xml:space="preserve"> associations due to alignment errors, we discarded RNA-seq reads that are mapped to multiple locations or poorly mapped genomic regions (mappability score &lt;1)</w:t>
      </w:r>
      <w:hyperlink r:id="rId82">
        <w:r>
          <w:rPr>
            <w:vertAlign w:val="superscript"/>
          </w:rPr>
          <w:t>26,27</w:t>
        </w:r>
      </w:hyperlink>
      <w:r>
        <w:t xml:space="preserve"> before quantifying gene expression levels. </w:t>
      </w:r>
    </w:p>
    <w:p w14:paraId="073B5BC6" w14:textId="77777777" w:rsidR="00DE2CDE" w:rsidRDefault="00000000">
      <w:pPr>
        <w:pStyle w:val="Heading2"/>
        <w:jc w:val="both"/>
      </w:pPr>
      <w:bookmarkStart w:id="13" w:name="_44sinio" w:colFirst="0" w:colLast="0"/>
      <w:bookmarkEnd w:id="13"/>
      <w:r>
        <w:lastRenderedPageBreak/>
        <w:t>Simulation</w:t>
      </w:r>
    </w:p>
    <w:p w14:paraId="0B3C7753" w14:textId="77777777" w:rsidR="00DE2CDE" w:rsidRDefault="00000000">
      <w:pPr>
        <w:jc w:val="both"/>
        <w:rPr>
          <w:highlight w:val="white"/>
        </w:rPr>
      </w:pPr>
      <w:r>
        <w:rPr>
          <w:highlight w:val="white"/>
        </w:rPr>
        <w:t xml:space="preserve">To evaluate the power of </w:t>
      </w:r>
      <w:r>
        <w:t>trans-PCO, we performed a series of simulations with various parameter settings corresponding to different genetic architectures. We applied trans-PCO to the simulated datasets and assessed the false positive rate and statistical power. We also ran two additional statistical tests,</w:t>
      </w:r>
      <w:r>
        <w:rPr>
          <w:highlight w:val="white"/>
        </w:rPr>
        <w:t xml:space="preserve"> a univariate test (“MinP”) and a primary PC-based test (“PC1”), to compare their performances with </w:t>
      </w:r>
      <w:r>
        <w:t>trans-PCO and to obtain more in-depth insights on trans-PCO,</w:t>
      </w:r>
    </w:p>
    <w:p w14:paraId="29BA6E11" w14:textId="77777777" w:rsidR="00DE2CDE" w:rsidRDefault="00000000">
      <w:pPr>
        <w:jc w:val="center"/>
        <w:rPr>
          <w:highlight w:val="white"/>
        </w:rPr>
      </w:pP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T</m:t>
            </m:r>
          </m:e>
          <m:sub>
            <m:r>
              <w:rPr>
                <w:rFonts w:ascii="Cambria Math" w:eastAsia="Cambria Math" w:hAnsi="Cambria Math" w:cs="Cambria Math"/>
                <w:highlight w:val="white"/>
              </w:rPr>
              <m:t>P</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C</m:t>
                </m:r>
              </m:e>
              <m:sub>
                <m:r>
                  <w:rPr>
                    <w:rFonts w:ascii="Cambria Math" w:eastAsia="Cambria Math" w:hAnsi="Cambria Math" w:cs="Cambria Math"/>
                    <w:highlight w:val="white"/>
                  </w:rPr>
                  <m:t>1</m:t>
                </m:r>
              </m:sub>
            </m:sSub>
          </m:sub>
        </m:sSub>
        <m:r>
          <w:rPr>
            <w:rFonts w:ascii="Cambria Math" w:eastAsia="Cambria Math" w:hAnsi="Cambria Math" w:cs="Cambria Math"/>
            <w:highlight w:val="white"/>
          </w:rPr>
          <m:t>=</m:t>
        </m:r>
        <m:sSup>
          <m:sSupPr>
            <m:ctrlPr>
              <w:rPr>
                <w:rFonts w:ascii="Cambria Math" w:eastAsia="Cambria Math" w:hAnsi="Cambria Math" w:cs="Cambria Math"/>
                <w:highlight w:val="white"/>
              </w:rPr>
            </m:ctrlPr>
          </m:sSupPr>
          <m:e>
            <m:sSub>
              <m:sSubPr>
                <m:ctrlPr>
                  <w:rPr>
                    <w:rFonts w:ascii="Cambria Math" w:eastAsia="Cambria Math" w:hAnsi="Cambria Math" w:cs="Cambria Math"/>
                    <w:highlight w:val="white"/>
                  </w:rPr>
                </m:ctrlPr>
              </m:sSubPr>
              <m:e>
                <m:r>
                  <w:rPr>
                    <w:rFonts w:ascii="Cambria Math" w:eastAsia="Cambria Math" w:hAnsi="Cambria Math" w:cs="Cambria Math"/>
                    <w:highlight w:val="white"/>
                  </w:rPr>
                  <m:t>μ</m:t>
                </m:r>
              </m:e>
              <m:sub>
                <m:r>
                  <w:rPr>
                    <w:rFonts w:ascii="Cambria Math" w:eastAsia="Cambria Math" w:hAnsi="Cambria Math" w:cs="Cambria Math"/>
                    <w:highlight w:val="white"/>
                  </w:rPr>
                  <m:t>1</m:t>
                </m:r>
              </m:sub>
            </m:sSub>
          </m:e>
          <m:sup>
            <m:r>
              <w:rPr>
                <w:rFonts w:ascii="Cambria Math" w:eastAsia="Cambria Math" w:hAnsi="Cambria Math" w:cs="Cambria Math"/>
                <w:highlight w:val="white"/>
              </w:rPr>
              <m:t>T</m:t>
            </m:r>
          </m:sup>
        </m:sSup>
        <m:r>
          <w:rPr>
            <w:rFonts w:ascii="Cambria Math" w:eastAsia="Cambria Math" w:hAnsi="Cambria Math" w:cs="Cambria Math"/>
            <w:highlight w:val="white"/>
          </w:rPr>
          <m:t>Z</m:t>
        </m:r>
      </m:oMath>
      <w:r>
        <w:rPr>
          <w:highlight w:val="white"/>
        </w:rPr>
        <w:t xml:space="preserve">, </w:t>
      </w: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T</m:t>
            </m:r>
          </m:e>
          <m:sub>
            <m:r>
              <w:rPr>
                <w:rFonts w:ascii="Cambria Math" w:eastAsia="Cambria Math" w:hAnsi="Cambria Math" w:cs="Cambria Math"/>
                <w:highlight w:val="white"/>
              </w:rPr>
              <m:t>MinP</m:t>
            </m:r>
          </m:sub>
        </m:sSub>
        <m:r>
          <w:rPr>
            <w:rFonts w:ascii="Cambria Math" w:eastAsia="Cambria Math" w:hAnsi="Cambria Math" w:cs="Cambria Math"/>
            <w:highlight w:val="white"/>
          </w:rPr>
          <m:t>=min{</m:t>
        </m:r>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p</m:t>
            </m:r>
          </m:e>
          <m:sub>
            <m:r>
              <w:rPr>
                <w:rFonts w:ascii="Cambria Math" w:eastAsia="Cambria Math" w:hAnsi="Cambria Math" w:cs="Cambria Math"/>
                <w:highlight w:val="white"/>
              </w:rPr>
              <m:t>1</m:t>
            </m:r>
          </m:sub>
          <m:sup>
            <m:r>
              <w:rPr>
                <w:rFonts w:ascii="Cambria Math" w:eastAsia="Cambria Math" w:hAnsi="Cambria Math" w:cs="Cambria Math"/>
                <w:highlight w:val="white"/>
              </w:rPr>
              <m:t>g</m:t>
            </m:r>
          </m:sup>
        </m:sSubSup>
        <m:r>
          <w:rPr>
            <w:rFonts w:ascii="Cambria Math" w:eastAsia="Cambria Math" w:hAnsi="Cambria Math" w:cs="Cambria Math"/>
            <w:highlight w:val="white"/>
          </w:rPr>
          <m:t xml:space="preserve">, ⋯, </m:t>
        </m:r>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p</m:t>
            </m:r>
          </m:e>
          <m:sub>
            <m:r>
              <w:rPr>
                <w:rFonts w:ascii="Cambria Math" w:eastAsia="Cambria Math" w:hAnsi="Cambria Math" w:cs="Cambria Math"/>
                <w:highlight w:val="white"/>
              </w:rPr>
              <m:t>K</m:t>
            </m:r>
          </m:sub>
          <m:sup>
            <m:r>
              <w:rPr>
                <w:rFonts w:ascii="Cambria Math" w:eastAsia="Cambria Math" w:hAnsi="Cambria Math" w:cs="Cambria Math"/>
                <w:highlight w:val="white"/>
              </w:rPr>
              <m:t>g</m:t>
            </m:r>
          </m:sup>
        </m:sSubSup>
        <m:r>
          <w:rPr>
            <w:rFonts w:ascii="Cambria Math" w:eastAsia="Cambria Math" w:hAnsi="Cambria Math" w:cs="Cambria Math"/>
            <w:highlight w:val="white"/>
          </w:rPr>
          <m:t>}</m:t>
        </m:r>
      </m:oMath>
      <w:r>
        <w:rPr>
          <w:highlight w:val="white"/>
        </w:rPr>
        <w:t>.</w:t>
      </w:r>
    </w:p>
    <w:p w14:paraId="701D3D84" w14:textId="77777777" w:rsidR="00DE2CDE" w:rsidRDefault="00000000">
      <w:pPr>
        <w:jc w:val="both"/>
        <w:rPr>
          <w:highlight w:val="white"/>
        </w:rPr>
      </w:pPr>
      <w:r>
        <w:rPr>
          <w:highlight w:val="white"/>
        </w:rPr>
        <w:t xml:space="preserve">The PC1 based test takes only the first PC as the proxy of a gene module and uses it as the response variable to test for genetic variants with significant associations. We also compared trans-PCO with a non-PC based statistical test, MinP, which takes the minimum p-value across genes in the module as the test statistics. </w:t>
      </w:r>
    </w:p>
    <w:p w14:paraId="2CCDEBC3" w14:textId="77777777" w:rsidR="00DE2CDE" w:rsidRDefault="00DE2CDE">
      <w:pPr>
        <w:jc w:val="both"/>
        <w:rPr>
          <w:highlight w:val="white"/>
        </w:rPr>
      </w:pPr>
    </w:p>
    <w:p w14:paraId="72DA6696" w14:textId="77777777" w:rsidR="00DE2CDE" w:rsidRDefault="00000000">
      <w:pPr>
        <w:jc w:val="both"/>
        <w:rPr>
          <w:highlight w:val="white"/>
        </w:rPr>
      </w:pPr>
      <w:r>
        <w:rPr>
          <w:highlight w:val="white"/>
        </w:rPr>
        <w:t>To implement trans-PCO, PC1, and MinP tests, there are two main pieces of information that are required as input</w:t>
      </w:r>
      <w:r>
        <w:t>, i.e.</w:t>
      </w:r>
      <w:r>
        <w:rPr>
          <w:highlight w:val="white"/>
        </w:rPr>
        <w:t xml:space="preserve"> correlation matrix of the gene module and summary statistics (z-scores) of SNPs with genes in the module. We used a gene module from the RNA-seq d</w:t>
      </w:r>
      <w:r>
        <w:t>ata (see Genotype and RNA-seq QC) consisting of 10</w:t>
      </w:r>
      <w:r>
        <w:rPr>
          <w:highlight w:val="white"/>
        </w:rPr>
        <w:t>1 genes (</w:t>
      </w:r>
      <m:oMath>
        <m:r>
          <w:rPr>
            <w:rFonts w:ascii="Cambria Math" w:eastAsia="Cambria Math" w:hAnsi="Cambria Math" w:cs="Cambria Math"/>
            <w:highlight w:val="white"/>
          </w:rPr>
          <m:t>K=101</m:t>
        </m:r>
      </m:oMath>
      <w:r>
        <w:rPr>
          <w:highlight w:val="white"/>
        </w:rPr>
        <w:t xml:space="preserve">) and the corresponding correlation matrix to make the settings more realistic. We sampled z-scores of </w:t>
      </w:r>
      <m:oMath>
        <m:r>
          <w:rPr>
            <w:rFonts w:ascii="Cambria Math" w:eastAsia="Cambria Math" w:hAnsi="Cambria Math" w:cs="Cambria Math"/>
            <w:highlight w:val="white"/>
          </w:rPr>
          <m:t>1</m:t>
        </m:r>
        <m:sSup>
          <m:sSupPr>
            <m:ctrlPr>
              <w:rPr>
                <w:rFonts w:ascii="Cambria Math" w:eastAsia="Cambria Math" w:hAnsi="Cambria Math" w:cs="Cambria Math"/>
                <w:highlight w:val="white"/>
              </w:rPr>
            </m:ctrlPr>
          </m:sSupPr>
          <m:e>
            <m:r>
              <w:rPr>
                <w:rFonts w:ascii="Cambria Math" w:eastAsia="Cambria Math" w:hAnsi="Cambria Math" w:cs="Cambria Math"/>
                <w:highlight w:val="white"/>
              </w:rPr>
              <m:t>0</m:t>
            </m:r>
          </m:e>
          <m:sup>
            <m:r>
              <w:rPr>
                <w:rFonts w:ascii="Cambria Math" w:eastAsia="Cambria Math" w:hAnsi="Cambria Math" w:cs="Cambria Math"/>
                <w:highlight w:val="white"/>
              </w:rPr>
              <m:t>7</m:t>
            </m:r>
          </m:sup>
        </m:sSup>
      </m:oMath>
      <w:r>
        <w:rPr>
          <w:highlight w:val="white"/>
        </w:rPr>
        <w:t xml:space="preserve"> SNPs from the null distribution,</w:t>
      </w:r>
    </w:p>
    <w:p w14:paraId="3F9E8506" w14:textId="77777777" w:rsidR="00DE2CDE" w:rsidRDefault="00000000">
      <w:pPr>
        <w:jc w:val="center"/>
        <w:rPr>
          <w:highlight w:val="white"/>
        </w:rPr>
      </w:pP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Z</m:t>
            </m:r>
          </m:e>
          <m:sub>
            <m:r>
              <w:rPr>
                <w:rFonts w:ascii="Cambria Math" w:eastAsia="Cambria Math" w:hAnsi="Cambria Math" w:cs="Cambria Math"/>
                <w:highlight w:val="white"/>
              </w:rPr>
              <m:t>NULL</m:t>
            </m:r>
          </m:sub>
        </m:sSub>
        <m:r>
          <w:rPr>
            <w:rFonts w:ascii="Cambria Math" w:eastAsia="Cambria Math" w:hAnsi="Cambria Math" w:cs="Cambria Math"/>
            <w:highlight w:val="white"/>
          </w:rPr>
          <m:t xml:space="preserve">∼N(0, </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Σ</m:t>
            </m:r>
          </m:e>
          <m:sub>
            <m:r>
              <w:rPr>
                <w:rFonts w:ascii="Cambria Math" w:eastAsia="Cambria Math" w:hAnsi="Cambria Math" w:cs="Cambria Math"/>
                <w:highlight w:val="white"/>
              </w:rPr>
              <m:t>101</m:t>
            </m:r>
          </m:sub>
        </m:sSub>
        <m:r>
          <w:rPr>
            <w:rFonts w:ascii="Cambria Math" w:eastAsia="Cambria Math" w:hAnsi="Cambria Math" w:cs="Cambria Math"/>
            <w:highlight w:val="white"/>
          </w:rPr>
          <m:t>)</m:t>
        </m:r>
      </m:oMath>
      <w:r>
        <w:rPr>
          <w:highlight w:val="white"/>
        </w:rPr>
        <w:t>.</w:t>
      </w:r>
    </w:p>
    <w:p w14:paraId="3F620CD3" w14:textId="77777777" w:rsidR="00DE2CDE" w:rsidRDefault="00000000">
      <w:pPr>
        <w:jc w:val="both"/>
        <w:rPr>
          <w:highlight w:val="white"/>
        </w:rPr>
      </w:pPr>
      <w:r>
        <w:rPr>
          <w:highlight w:val="white"/>
        </w:rPr>
        <w:t xml:space="preserve">We tested the associations between each SNP and the gene module using the above three tests and evaluated the p-values against the uniform distribution to validate if the statistical tests are well calibrated. </w:t>
      </w:r>
    </w:p>
    <w:p w14:paraId="2F92C5BB" w14:textId="77777777" w:rsidR="00DE2CDE" w:rsidRDefault="00DE2CDE">
      <w:pPr>
        <w:jc w:val="both"/>
        <w:rPr>
          <w:highlight w:val="white"/>
        </w:rPr>
      </w:pPr>
    </w:p>
    <w:p w14:paraId="2CB870ED" w14:textId="77777777" w:rsidR="00DE2CDE" w:rsidRDefault="00000000">
      <w:pPr>
        <w:jc w:val="both"/>
        <w:rPr>
          <w:highlight w:val="white"/>
        </w:rPr>
      </w:pPr>
      <w:r>
        <w:rPr>
          <w:highlight w:val="white"/>
        </w:rPr>
        <w:t>We also simulated 10k z-scores of SNPs from the alternative distribution,</w:t>
      </w:r>
    </w:p>
    <w:p w14:paraId="3AD0ED58" w14:textId="77777777" w:rsidR="00DE2CDE" w:rsidRDefault="00000000">
      <w:pPr>
        <w:jc w:val="center"/>
        <w:rPr>
          <w:highlight w:val="white"/>
        </w:rPr>
      </w:pP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Z</m:t>
            </m:r>
          </m:e>
          <m:sub>
            <m:r>
              <w:rPr>
                <w:rFonts w:ascii="Cambria Math" w:eastAsia="Cambria Math" w:hAnsi="Cambria Math" w:cs="Cambria Math"/>
                <w:highlight w:val="white"/>
              </w:rPr>
              <m:t>Alt</m:t>
            </m:r>
          </m:sub>
        </m:sSub>
        <m:r>
          <w:rPr>
            <w:rFonts w:ascii="Cambria Math" w:eastAsia="Cambria Math" w:hAnsi="Cambria Math" w:cs="Cambria Math"/>
            <w:highlight w:val="white"/>
          </w:rPr>
          <m:t>∼N(</m:t>
        </m:r>
        <m:rad>
          <m:radPr>
            <m:degHide m:val="1"/>
            <m:ctrlPr>
              <w:rPr>
                <w:rFonts w:ascii="Cambria Math" w:eastAsia="Cambria Math" w:hAnsi="Cambria Math" w:cs="Cambria Math"/>
                <w:highlight w:val="white"/>
              </w:rPr>
            </m:ctrlPr>
          </m:radPr>
          <m:deg/>
          <m:e>
            <m:r>
              <w:rPr>
                <w:rFonts w:ascii="Cambria Math" w:eastAsia="Cambria Math" w:hAnsi="Cambria Math" w:cs="Cambria Math"/>
                <w:highlight w:val="white"/>
              </w:rPr>
              <m:t>n</m:t>
            </m:r>
          </m:e>
        </m:rad>
        <m:r>
          <w:rPr>
            <w:rFonts w:ascii="Cambria Math" w:eastAsia="Cambria Math" w:hAnsi="Cambria Math" w:cs="Cambria Math"/>
            <w:highlight w:val="white"/>
          </w:rPr>
          <m:t>[</m:t>
        </m:r>
        <m:sSup>
          <m:sSupPr>
            <m:ctrlPr>
              <w:rPr>
                <w:rFonts w:ascii="Cambria Math" w:eastAsia="Cambria Math" w:hAnsi="Cambria Math" w:cs="Cambria Math"/>
                <w:highlight w:val="white"/>
              </w:rPr>
            </m:ctrlPr>
          </m:sSupPr>
          <m:e>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101γ</m:t>
                </m:r>
              </m:sub>
            </m:sSub>
            <m:r>
              <w:rPr>
                <w:rFonts w:ascii="Cambria Math" w:eastAsia="Cambria Math" w:hAnsi="Cambria Math" w:cs="Cambria Math"/>
                <w:highlight w:val="white"/>
              </w:rPr>
              <m:t>, 0]</m:t>
            </m:r>
          </m:e>
          <m:sup>
            <m:r>
              <w:rPr>
                <w:rFonts w:ascii="Cambria Math" w:eastAsia="Cambria Math" w:hAnsi="Cambria Math" w:cs="Cambria Math"/>
                <w:highlight w:val="white"/>
              </w:rPr>
              <m:t>T</m:t>
            </m:r>
          </m:sup>
        </m:sSup>
        <m:r>
          <w:rPr>
            <w:rFonts w:ascii="Cambria Math" w:eastAsia="Cambria Math" w:hAnsi="Cambria Math" w:cs="Cambria Math"/>
            <w:highlight w:val="white"/>
          </w:rPr>
          <m:t xml:space="preserve">, </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Σ</m:t>
            </m:r>
          </m:e>
          <m:sub>
            <m:r>
              <w:rPr>
                <w:rFonts w:ascii="Cambria Math" w:eastAsia="Cambria Math" w:hAnsi="Cambria Math" w:cs="Cambria Math"/>
                <w:highlight w:val="white"/>
              </w:rPr>
              <m:t>101</m:t>
            </m:r>
          </m:sub>
        </m:sSub>
        <m:r>
          <w:rPr>
            <w:rFonts w:ascii="Cambria Math" w:eastAsia="Cambria Math" w:hAnsi="Cambria Math" w:cs="Cambria Math"/>
            <w:highlight w:val="white"/>
          </w:rPr>
          <m:t>)</m:t>
        </m:r>
      </m:oMath>
      <w:r>
        <w:rPr>
          <w:highlight w:val="white"/>
        </w:rPr>
        <w:t>,</w:t>
      </w:r>
    </w:p>
    <w:p w14:paraId="7C2E1A1D" w14:textId="77777777" w:rsidR="00DE2CDE" w:rsidRDefault="00000000">
      <w:pPr>
        <w:jc w:val="both"/>
      </w:pPr>
      <w:r>
        <w:rPr>
          <w:highlight w:val="white"/>
        </w:rPr>
        <w:t xml:space="preserve">where </w:t>
      </w:r>
      <m:oMath>
        <m:r>
          <w:rPr>
            <w:rFonts w:ascii="Cambria Math" w:eastAsia="Cambria Math" w:hAnsi="Cambria Math" w:cs="Cambria Math"/>
            <w:highlight w:val="white"/>
          </w:rPr>
          <m:t>n</m:t>
        </m:r>
      </m:oMath>
      <w:r>
        <w:rPr>
          <w:highlight w:val="white"/>
        </w:rPr>
        <w:t xml:space="preserve"> is the sample size, </w:t>
      </w:r>
      <m:oMath>
        <m:r>
          <w:rPr>
            <w:rFonts w:ascii="Cambria Math" w:hAnsi="Cambria Math"/>
          </w:rPr>
          <m:t>β</m:t>
        </m:r>
      </m:oMath>
      <w:r>
        <w:rPr>
          <w:highlight w:val="white"/>
        </w:rPr>
        <w:t xml:space="preserve"> is a </w:t>
      </w:r>
      <m:oMath>
        <m:r>
          <w:rPr>
            <w:rFonts w:ascii="Cambria Math" w:eastAsia="Cambria Math" w:hAnsi="Cambria Math" w:cs="Cambria Math"/>
            <w:highlight w:val="white"/>
          </w:rPr>
          <m:t>101γ</m:t>
        </m:r>
      </m:oMath>
      <w:r>
        <w:rPr>
          <w:highlight w:val="white"/>
        </w:rPr>
        <w:t xml:space="preserve">-long vector representing the causal effect of a SNP on 101 genes, and </w:t>
      </w:r>
      <m:oMath>
        <m:r>
          <w:rPr>
            <w:rFonts w:ascii="Cambria Math" w:hAnsi="Cambria Math"/>
          </w:rPr>
          <m:t>γ</m:t>
        </m:r>
      </m:oMath>
      <w:r>
        <w:rPr>
          <w:highlight w:val="white"/>
        </w:rPr>
        <w:t xml:space="preserve"> is the proportion of true target genes in the module. Each component of </w:t>
      </w:r>
      <m:oMath>
        <m:r>
          <w:rPr>
            <w:rFonts w:ascii="Cambria Math" w:hAnsi="Cambria Math"/>
          </w:rPr>
          <m:t>β</m:t>
        </m:r>
      </m:oMath>
      <w:r>
        <w:rPr>
          <w:highlight w:val="white"/>
        </w:rPr>
        <w:t xml:space="preserve"> follows </w:t>
      </w:r>
      <m:oMath>
        <m:r>
          <w:rPr>
            <w:rFonts w:ascii="Cambria Math" w:eastAsia="Cambria Math" w:hAnsi="Cambria Math" w:cs="Cambria Math"/>
            <w:highlight w:val="white"/>
          </w:rPr>
          <m:t xml:space="preserve">N(0, </m:t>
        </m:r>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σ</m:t>
            </m:r>
          </m:e>
          <m:sub>
            <m:r>
              <w:rPr>
                <w:rFonts w:ascii="Cambria Math" w:eastAsia="Cambria Math" w:hAnsi="Cambria Math" w:cs="Cambria Math"/>
                <w:highlight w:val="white"/>
              </w:rPr>
              <m:t>b</m:t>
            </m:r>
          </m:sub>
          <m:sup>
            <m:r>
              <w:rPr>
                <w:rFonts w:ascii="Cambria Math" w:eastAsia="Cambria Math" w:hAnsi="Cambria Math" w:cs="Cambria Math"/>
                <w:highlight w:val="white"/>
              </w:rPr>
              <m:t>2</m:t>
            </m:r>
          </m:sup>
        </m:sSubSup>
        <m:r>
          <w:rPr>
            <w:rFonts w:ascii="Cambria Math" w:eastAsia="Cambria Math" w:hAnsi="Cambria Math" w:cs="Cambria Math"/>
            <w:highlight w:val="white"/>
          </w:rPr>
          <m:t>)</m:t>
        </m:r>
      </m:oMath>
      <w:r>
        <w:rPr>
          <w:highlight w:val="white"/>
        </w:rPr>
        <w:t xml:space="preserve">, where </w:t>
      </w:r>
      <m:oMath>
        <m:sSubSup>
          <m:sSubSupPr>
            <m:ctrlPr>
              <w:rPr>
                <w:rFonts w:ascii="Cambria Math" w:eastAsia="Cambria Math" w:hAnsi="Cambria Math" w:cs="Cambria Math"/>
                <w:highlight w:val="white"/>
              </w:rPr>
            </m:ctrlPr>
          </m:sSubSupPr>
          <m:e>
            <m:r>
              <w:rPr>
                <w:rFonts w:ascii="Cambria Math" w:hAnsi="Cambria Math"/>
              </w:rPr>
              <m:t>σ</m:t>
            </m:r>
          </m:e>
          <m:sub>
            <m:r>
              <w:rPr>
                <w:rFonts w:ascii="Cambria Math" w:eastAsia="Cambria Math" w:hAnsi="Cambria Math" w:cs="Cambria Math"/>
                <w:highlight w:val="white"/>
              </w:rPr>
              <m:t>b</m:t>
            </m:r>
          </m:sub>
          <m:sup>
            <m:r>
              <w:rPr>
                <w:rFonts w:ascii="Cambria Math" w:eastAsia="Cambria Math" w:hAnsi="Cambria Math" w:cs="Cambria Math"/>
                <w:highlight w:val="white"/>
              </w:rPr>
              <m:t>2</m:t>
            </m:r>
          </m:sup>
        </m:sSubSup>
      </m:oMath>
      <w:r>
        <w:rPr>
          <w:highlight w:val="white"/>
        </w:rPr>
        <w:t xml:space="preserve"> is the genetic variance. By default, we set the sample size </w:t>
      </w:r>
      <m:oMath>
        <m:r>
          <w:rPr>
            <w:rFonts w:ascii="Cambria Math" w:eastAsia="Cambria Math" w:hAnsi="Cambria Math" w:cs="Cambria Math"/>
            <w:highlight w:val="white"/>
          </w:rPr>
          <m:t>n</m:t>
        </m:r>
      </m:oMath>
      <w:r>
        <w:rPr>
          <w:highlight w:val="white"/>
        </w:rPr>
        <w:t xml:space="preserve"> to be 500, 30% genes (30) in the module are true </w:t>
      </w:r>
      <w:r>
        <w:rPr>
          <w:i/>
          <w:highlight w:val="white"/>
        </w:rPr>
        <w:t>trans</w:t>
      </w:r>
      <w:r>
        <w:rPr>
          <w:highlight w:val="white"/>
        </w:rPr>
        <w:t xml:space="preserve"> target genes, and </w:t>
      </w:r>
      <m:oMath>
        <m:sSubSup>
          <m:sSubSupPr>
            <m:ctrlPr>
              <w:rPr>
                <w:rFonts w:ascii="Cambria Math" w:eastAsia="Cambria Math" w:hAnsi="Cambria Math" w:cs="Cambria Math"/>
                <w:highlight w:val="white"/>
              </w:rPr>
            </m:ctrlPr>
          </m:sSubSupPr>
          <m:e>
            <m:r>
              <w:rPr>
                <w:rFonts w:ascii="Cambria Math" w:hAnsi="Cambria Math"/>
              </w:rPr>
              <m:t>σ</m:t>
            </m:r>
          </m:e>
          <m:sub>
            <m:r>
              <w:rPr>
                <w:rFonts w:ascii="Cambria Math" w:eastAsia="Cambria Math" w:hAnsi="Cambria Math" w:cs="Cambria Math"/>
                <w:highlight w:val="white"/>
              </w:rPr>
              <m:t>b</m:t>
            </m:r>
          </m:sub>
          <m:sup>
            <m:r>
              <w:rPr>
                <w:rFonts w:ascii="Cambria Math" w:eastAsia="Cambria Math" w:hAnsi="Cambria Math" w:cs="Cambria Math"/>
                <w:highlight w:val="white"/>
              </w:rPr>
              <m:t>2</m:t>
            </m:r>
          </m:sup>
        </m:sSubSup>
      </m:oMath>
      <w:r>
        <w:rPr>
          <w:highlight w:val="white"/>
        </w:rPr>
        <w:t xml:space="preserve"> to be 0.001. To evaluate how three tests perform across different genetic architectures, we simulated multiple scenarios across varying sample sizes, target gene proportions, and genetic variances. Specifically, we looked at the cases where sample size is 200, 400, 600, and 800, causal genes proportion is 1%, 5%, 10%, 30%, and 50%, and genetic variance is 0.002, 0.003, 0.004, 0.005, and 0.006. We simulated 10k SNPs and performed 1000 simulations. To control the false discovery rate, we corrected the p-values for multiple testing based on the simulated empirical null distribution of p-values, to keep it consistent with the method used in the RNA-seq dataset (see Supplementary Note). An association is significant if its adjusted p-value is lower than 0.1. The power is calculated as the pro</w:t>
      </w:r>
      <w:r>
        <w:t xml:space="preserve">portion of SNPs that were identified to be significant among </w:t>
      </w:r>
      <w:r>
        <w:rPr>
          <w:highlight w:val="white"/>
        </w:rPr>
        <w:t xml:space="preserve">10k </w:t>
      </w:r>
      <w:r>
        <w:t xml:space="preserve">SNPs. </w:t>
      </w:r>
    </w:p>
    <w:p w14:paraId="0FACBFE0" w14:textId="77777777" w:rsidR="00DE2CDE" w:rsidRDefault="00000000">
      <w:pPr>
        <w:pStyle w:val="Heading2"/>
        <w:jc w:val="both"/>
      </w:pPr>
      <w:bookmarkStart w:id="14" w:name="_2jxsxqh" w:colFirst="0" w:colLast="0"/>
      <w:bookmarkEnd w:id="14"/>
      <w:r>
        <w:t>Genotype and RNA-seq QC</w:t>
      </w:r>
    </w:p>
    <w:p w14:paraId="7149B93B" w14:textId="77777777" w:rsidR="00DE2CDE" w:rsidRDefault="00000000">
      <w:pPr>
        <w:jc w:val="both"/>
      </w:pPr>
      <w:r>
        <w:t>We analyzed an RNA-seq dataset from whole blood</w:t>
      </w:r>
      <w:hyperlink r:id="rId83">
        <w:r>
          <w:rPr>
            <w:vertAlign w:val="superscript"/>
          </w:rPr>
          <w:t>26</w:t>
        </w:r>
      </w:hyperlink>
      <w:r>
        <w:t>. We performed a series of QC on individuals, genotypes, RNA-seq reads, and genes before quantifying gene expression profiles. Specifically, we referred to the procedures in Liu et al.</w:t>
      </w:r>
      <w:hyperlink r:id="rId84">
        <w:r>
          <w:rPr>
            <w:vertAlign w:val="superscript"/>
          </w:rPr>
          <w:t>27</w:t>
        </w:r>
      </w:hyperlink>
      <w:r>
        <w:t xml:space="preserve">. For individual-level QC, we removed </w:t>
      </w:r>
      <w:r>
        <w:lastRenderedPageBreak/>
        <w:t xml:space="preserve">related individuals from 922 samples with RNA-seq reads available and kept 913 individuals in total for further analysis. For genotype-level QC, we used SNPs with genotyping rate &gt; 99%, minor allele frequency &gt; 5%, and Hardy-Weinberg equilibrium &lt; </w:t>
      </w:r>
      <m:oMath>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-6</m:t>
            </m:r>
          </m:sup>
        </m:sSup>
      </m:oMath>
      <w:r>
        <w:t xml:space="preserve">. </w:t>
      </w:r>
    </w:p>
    <w:p w14:paraId="345409DD" w14:textId="77777777" w:rsidR="00DE2CDE" w:rsidRDefault="00DE2CDE">
      <w:pPr>
        <w:jc w:val="both"/>
      </w:pPr>
    </w:p>
    <w:p w14:paraId="170B3FD3" w14:textId="77777777" w:rsidR="00DE2CDE" w:rsidRDefault="00000000">
      <w:pPr>
        <w:jc w:val="both"/>
      </w:pPr>
      <w:r>
        <w:t xml:space="preserve">RNA-seq reads can be falsely aligned to genomic regions with high sequence similarity. The misalignment onto these regions can lead to false positive signals in </w:t>
      </w:r>
      <w:r>
        <w:rPr>
          <w:i/>
        </w:rPr>
        <w:t>trans</w:t>
      </w:r>
      <w:r>
        <w:t>-eQTL analysis and spurious correlations in gene co-expression networks</w:t>
      </w:r>
      <w:hyperlink r:id="rId85">
        <w:r>
          <w:rPr>
            <w:vertAlign w:val="superscript"/>
          </w:rPr>
          <w:t>8</w:t>
        </w:r>
      </w:hyperlink>
      <w:r>
        <w:t>. To help address this problem, we performed RNA-seq read-level QC to remove the reads with alignment issues. To be more specific, we filtered out the reads that were mapped to multiple genomic regions and reads with &gt;2 mismatches. We also removed the reads aligned to regions with low mappability.</w:t>
      </w:r>
    </w:p>
    <w:p w14:paraId="259C41A5" w14:textId="77777777" w:rsidR="00DE2CDE" w:rsidRDefault="00DE2CDE">
      <w:pPr>
        <w:jc w:val="both"/>
      </w:pPr>
    </w:p>
    <w:p w14:paraId="768F0F0F" w14:textId="77777777" w:rsidR="00DE2CDE" w:rsidRDefault="00000000">
      <w:pPr>
        <w:jc w:val="both"/>
      </w:pPr>
      <w:r>
        <w:t>On the gene level, we quantified the gene expression levels as Transcript Per Million (TPM). We first normalized the expression levels across samples to the normal distribution by quantile normalization, and then we normalized the expression levels across genes. We also filtered out genes that are not protein-coding, lincRNA genes, or genes on sex chromosomes. As a result, there are 12,132 genes left for follow up analysis. Finally, to control for potential confounding factors and capture the co-expressed gene modules only driven by genetic effects, we regressed out covariates from the expression profiles. We used biological and technical covariates, including genotype PCs, expression PCs, and blood cell type proportions</w:t>
      </w:r>
      <w:hyperlink r:id="rId86">
        <w:r>
          <w:rPr>
            <w:vertAlign w:val="superscript"/>
          </w:rPr>
          <w:t>26,27</w:t>
        </w:r>
      </w:hyperlink>
      <w:r>
        <w:t xml:space="preserve">. </w:t>
      </w:r>
    </w:p>
    <w:p w14:paraId="6941B486" w14:textId="77777777" w:rsidR="00DE2CDE" w:rsidRDefault="00000000">
      <w:pPr>
        <w:pStyle w:val="Heading2"/>
        <w:jc w:val="both"/>
        <w:rPr>
          <w:strike/>
        </w:rPr>
      </w:pPr>
      <w:r>
        <w:t>Identification of the gene co-expression network</w:t>
      </w:r>
    </w:p>
    <w:p w14:paraId="18B75F1C" w14:textId="77777777" w:rsidR="00DE2CDE" w:rsidRDefault="00000000">
      <w:pPr>
        <w:jc w:val="both"/>
      </w:pPr>
      <w:r>
        <w:t>We are interested in jointly testing co-regulated genes in a multivariate association test. To this end, we first used WGCNA</w:t>
      </w:r>
      <w:hyperlink r:id="rId87">
        <w:r>
          <w:rPr>
            <w:vertAlign w:val="superscript"/>
          </w:rPr>
          <w:t>28</w:t>
        </w:r>
      </w:hyperlink>
      <w:r>
        <w:t xml:space="preserve"> to construct a gene co-expression network, where genes are connected through correlations among their residualized expression levels. WGCNA uses hierarchical clustering to cut the network into separate gene modules with highly correlated expression levels. We used the default parameter settings, except that we specified the minimum module size parameter (‘minModuleSize’) to 10 to obtain small gene modules. </w:t>
      </w:r>
    </w:p>
    <w:p w14:paraId="4DC87443" w14:textId="77777777" w:rsidR="00DE2CDE" w:rsidRDefault="00000000">
      <w:pPr>
        <w:pStyle w:val="Heading2"/>
        <w:pBdr>
          <w:top w:val="nil"/>
          <w:left w:val="nil"/>
          <w:bottom w:val="nil"/>
          <w:right w:val="nil"/>
          <w:between w:val="nil"/>
        </w:pBdr>
        <w:jc w:val="both"/>
        <w:rPr>
          <w:highlight w:val="white"/>
        </w:rPr>
      </w:pPr>
      <w:bookmarkStart w:id="15" w:name="_z337ya" w:colFirst="0" w:colLast="0"/>
      <w:bookmarkEnd w:id="15"/>
      <w:r>
        <w:t xml:space="preserve">Colocalization of </w:t>
      </w:r>
      <w:r>
        <w:rPr>
          <w:i/>
        </w:rPr>
        <w:t>trans</w:t>
      </w:r>
      <w:r>
        <w:t>-eQTLs and GWAS loci</w:t>
      </w:r>
    </w:p>
    <w:p w14:paraId="1E2105EF" w14:textId="77777777" w:rsidR="00DE2CDE" w:rsidRDefault="00000000">
      <w:pPr>
        <w:jc w:val="both"/>
      </w:pPr>
      <w:r>
        <w:rPr>
          <w:highlight w:val="white"/>
        </w:rPr>
        <w:t xml:space="preserve">To explore the role of </w:t>
      </w:r>
      <w:r>
        <w:rPr>
          <w:i/>
          <w:highlight w:val="white"/>
        </w:rPr>
        <w:t>trans</w:t>
      </w:r>
      <w:r>
        <w:rPr>
          <w:highlight w:val="white"/>
        </w:rPr>
        <w:t xml:space="preserve">-eQTLs in understanding complex traits and diseases, we performed colocalization between </w:t>
      </w:r>
      <w:r>
        <w:rPr>
          <w:i/>
          <w:highlight w:val="white"/>
        </w:rPr>
        <w:t>trans</w:t>
      </w:r>
      <w:r>
        <w:rPr>
          <w:highlight w:val="white"/>
        </w:rPr>
        <w:t>-eQTLs of a gene module and GW</w:t>
      </w:r>
      <w:r>
        <w:t>AS loci of 46 complex traits and diseases. Specifically, we used GWAS summary statistics of 29 blood-related traits</w:t>
      </w:r>
      <w:hyperlink r:id="rId88">
        <w:r>
          <w:rPr>
            <w:vertAlign w:val="superscript"/>
          </w:rPr>
          <w:t>36</w:t>
        </w:r>
      </w:hyperlink>
      <w:r>
        <w:t xml:space="preserve"> and 8 other traits from UK Biobank, provided by Neale Lab (</w:t>
      </w:r>
      <w:hyperlink r:id="rId89">
        <w:r>
          <w:rPr>
            <w:color w:val="1155CC"/>
            <w:u w:val="single"/>
          </w:rPr>
          <w:t>http://www.nealelab.is/uk-biobank/</w:t>
        </w:r>
      </w:hyperlink>
      <w:r>
        <w:t>), and 9 autoimmune diseases collected in Mu et al.</w:t>
      </w:r>
      <w:hyperlink r:id="rId90">
        <w:r>
          <w:rPr>
            <w:vertAlign w:val="superscript"/>
          </w:rPr>
          <w:t>33</w:t>
        </w:r>
      </w:hyperlink>
      <w:r>
        <w:t xml:space="preserve"> (Table S7). </w:t>
      </w:r>
    </w:p>
    <w:p w14:paraId="73ED6242" w14:textId="77777777" w:rsidR="00DE2CDE" w:rsidRDefault="00DE2CDE">
      <w:pPr>
        <w:jc w:val="both"/>
      </w:pPr>
    </w:p>
    <w:p w14:paraId="74DF8645" w14:textId="77777777" w:rsidR="00DE2CDE" w:rsidRDefault="00000000">
      <w:pPr>
        <w:jc w:val="both"/>
      </w:pPr>
      <w:r>
        <w:rPr>
          <w:highlight w:val="white"/>
        </w:rPr>
        <w:t xml:space="preserve">To define a region to perform colocalization, we first selected the </w:t>
      </w:r>
      <w:r>
        <w:rPr>
          <w:i/>
          <w:highlight w:val="white"/>
        </w:rPr>
        <w:t>trans</w:t>
      </w:r>
      <w:r>
        <w:rPr>
          <w:highlight w:val="white"/>
        </w:rPr>
        <w:t xml:space="preserve">-eQTL with the most significant p-value and expanded a 200 kb flanking genomic region around the lead SNP as a region to perform colocalization analysis. We stopped searching for lead SNPs when all </w:t>
      </w:r>
      <w:r>
        <w:rPr>
          <w:i/>
          <w:highlight w:val="white"/>
        </w:rPr>
        <w:t>trans</w:t>
      </w:r>
      <w:r>
        <w:rPr>
          <w:highlight w:val="white"/>
        </w:rPr>
        <w:t xml:space="preserve">-eQTLs were included in one region. This resulted in 255 </w:t>
      </w:r>
      <w:r>
        <w:rPr>
          <w:i/>
          <w:highlight w:val="white"/>
        </w:rPr>
        <w:t>trans</w:t>
      </w:r>
      <w:r>
        <w:rPr>
          <w:highlight w:val="white"/>
        </w:rPr>
        <w:t xml:space="preserve"> regions</w:t>
      </w:r>
      <w:r>
        <w:t xml:space="preserve">. We ran colocalization analysis between each </w:t>
      </w:r>
      <w:r>
        <w:rPr>
          <w:i/>
        </w:rPr>
        <w:t>trans</w:t>
      </w:r>
      <w:r>
        <w:t xml:space="preserve"> region and GWAS loci of 46 complex traits</w:t>
      </w:r>
      <w:r>
        <w:rPr>
          <w:highlight w:val="white"/>
        </w:rPr>
        <w:t xml:space="preserve"> using the R package coloc</w:t>
      </w:r>
      <w:hyperlink r:id="rId91">
        <w:r>
          <w:rPr>
            <w:vertAlign w:val="superscript"/>
          </w:rPr>
          <w:t>32</w:t>
        </w:r>
      </w:hyperlink>
      <w:r>
        <w:t>, assuming there is at most one causal variant for each trait. We used the default priors and</w:t>
      </w:r>
      <w:r>
        <w:rPr>
          <w:highlight w:val="white"/>
        </w:rPr>
        <w:t xml:space="preserve"> 0.75 as the PP4 cutoff for significant colocalizations. We then merged regions into a single </w:t>
      </w:r>
      <w:r>
        <w:rPr>
          <w:highlight w:val="white"/>
        </w:rPr>
        <w:lastRenderedPageBreak/>
        <w:t>region if their lead</w:t>
      </w:r>
      <w:r>
        <w:t xml:space="preserve"> SNPs are within 200kb base pairs, generating 179 merged regions in total. We defined a merged region as being colocalized with a trait if any of its sub-regions has significant colocalization with the trait. We visualized the colocalized regions using LocusCompareR</w:t>
      </w:r>
      <w:hyperlink r:id="rId92">
        <w:r>
          <w:rPr>
            <w:vertAlign w:val="superscript"/>
          </w:rPr>
          <w:t>53</w:t>
        </w:r>
      </w:hyperlink>
      <w:r>
        <w:t xml:space="preserve">. </w:t>
      </w:r>
    </w:p>
    <w:p w14:paraId="3E2EEE7E" w14:textId="77777777" w:rsidR="00DE2CDE" w:rsidRDefault="00000000">
      <w:pPr>
        <w:pStyle w:val="Heading2"/>
        <w:jc w:val="both"/>
      </w:pPr>
      <w:bookmarkStart w:id="16" w:name="_3j2qqm3" w:colFirst="0" w:colLast="0"/>
      <w:bookmarkEnd w:id="16"/>
      <w:r>
        <w:t xml:space="preserve">Colocalization of </w:t>
      </w:r>
      <w:r>
        <w:rPr>
          <w:i/>
        </w:rPr>
        <w:t>trans</w:t>
      </w:r>
      <w:r>
        <w:t xml:space="preserve">-eQTLs and </w:t>
      </w:r>
      <w:r>
        <w:rPr>
          <w:i/>
        </w:rPr>
        <w:t>cis</w:t>
      </w:r>
      <w:r>
        <w:t>-e/sQTLs</w:t>
      </w:r>
    </w:p>
    <w:p w14:paraId="29802121" w14:textId="77777777" w:rsidR="00DE2CDE" w:rsidRDefault="00000000">
      <w:pPr>
        <w:jc w:val="both"/>
        <w:rPr>
          <w:highlight w:val="white"/>
        </w:rPr>
      </w:pPr>
      <w:r>
        <w:rPr>
          <w:highlight w:val="white"/>
        </w:rPr>
        <w:t xml:space="preserve">We performed colocalization analysis between </w:t>
      </w:r>
      <w:r>
        <w:rPr>
          <w:i/>
          <w:highlight w:val="white"/>
        </w:rPr>
        <w:t>trans</w:t>
      </w:r>
      <w:r>
        <w:rPr>
          <w:highlight w:val="white"/>
        </w:rPr>
        <w:t xml:space="preserve">-eQTLs and </w:t>
      </w:r>
      <w:r>
        <w:rPr>
          <w:i/>
          <w:highlight w:val="white"/>
        </w:rPr>
        <w:t>cis</w:t>
      </w:r>
      <w:r>
        <w:rPr>
          <w:highlight w:val="white"/>
        </w:rPr>
        <w:t>-eQTLs (</w:t>
      </w:r>
      <w:r>
        <w:rPr>
          <w:i/>
          <w:highlight w:val="white"/>
        </w:rPr>
        <w:t>cis</w:t>
      </w:r>
      <w:r>
        <w:rPr>
          <w:highlight w:val="white"/>
        </w:rPr>
        <w:t xml:space="preserve">-sQTLs) of genes near the </w:t>
      </w:r>
      <w:r>
        <w:rPr>
          <w:i/>
          <w:highlight w:val="white"/>
        </w:rPr>
        <w:t>trans</w:t>
      </w:r>
      <w:r>
        <w:rPr>
          <w:highlight w:val="white"/>
        </w:rPr>
        <w:t xml:space="preserve">-eQTLs. We used the same 179 </w:t>
      </w:r>
      <w:r>
        <w:rPr>
          <w:i/>
          <w:highlight w:val="white"/>
        </w:rPr>
        <w:t>trans</w:t>
      </w:r>
      <w:r>
        <w:rPr>
          <w:highlight w:val="white"/>
        </w:rPr>
        <w:t xml:space="preserve">-loci defined in the colocalization analysis of GWAS loci. For a </w:t>
      </w:r>
      <w:r>
        <w:rPr>
          <w:i/>
          <w:highlight w:val="white"/>
        </w:rPr>
        <w:t>trans</w:t>
      </w:r>
      <w:r>
        <w:rPr>
          <w:highlight w:val="white"/>
        </w:rPr>
        <w:t xml:space="preserve"> loci, we searched for the genes </w:t>
      </w:r>
      <w:r>
        <w:t xml:space="preserve">within 500 kb around the lead </w:t>
      </w:r>
      <w:r>
        <w:rPr>
          <w:i/>
        </w:rPr>
        <w:t>trans</w:t>
      </w:r>
      <w:r>
        <w:t xml:space="preserve">-eQTLs of the loci, and used these genes to perform colocalization. We used summary statistics of </w:t>
      </w:r>
      <w:r>
        <w:rPr>
          <w:i/>
        </w:rPr>
        <w:t>cis</w:t>
      </w:r>
      <w:r>
        <w:t xml:space="preserve">-eQTLs and </w:t>
      </w:r>
      <w:r>
        <w:rPr>
          <w:i/>
        </w:rPr>
        <w:t>cis</w:t>
      </w:r>
      <w:r>
        <w:t>-sQTLs in the DGN dataset from Mu et al.</w:t>
      </w:r>
      <w:hyperlink r:id="rId93">
        <w:r>
          <w:rPr>
            <w:vertAlign w:val="superscript"/>
          </w:rPr>
          <w:t>33</w:t>
        </w:r>
      </w:hyperlink>
      <w:r>
        <w:t>. We ran coloc</w:t>
      </w:r>
      <w:hyperlink r:id="rId94">
        <w:r>
          <w:rPr>
            <w:vertAlign w:val="superscript"/>
          </w:rPr>
          <w:t>32</w:t>
        </w:r>
      </w:hyperlink>
      <w:r>
        <w:t xml:space="preserve"> with default priors and 0.75 as PP4 cutoff. </w:t>
      </w:r>
    </w:p>
    <w:p w14:paraId="3383C229" w14:textId="77777777" w:rsidR="00DE2CDE" w:rsidRDefault="00000000">
      <w:pPr>
        <w:pStyle w:val="Heading2"/>
        <w:jc w:val="both"/>
      </w:pPr>
      <w:bookmarkStart w:id="17" w:name="_1y810tw" w:colFirst="0" w:colLast="0"/>
      <w:bookmarkEnd w:id="17"/>
      <w:r>
        <w:t>Trait heritability enrichment in gene modules</w:t>
      </w:r>
    </w:p>
    <w:p w14:paraId="60BC6A32" w14:textId="77777777" w:rsidR="00DE2CDE" w:rsidRDefault="00000000">
      <w:pPr>
        <w:jc w:val="both"/>
      </w:pPr>
      <w:r>
        <w:t>To investigate whether a gene module is enriched for trait heritability, we applied stratified LD score regression</w:t>
      </w:r>
      <w:hyperlink r:id="rId95">
        <w:r>
          <w:rPr>
            <w:vertAlign w:val="superscript"/>
          </w:rPr>
          <w:t>51</w:t>
        </w:r>
      </w:hyperlink>
      <w:r>
        <w:t xml:space="preserve"> (S-LDSC) to 166 co-expression gene modules and 46 complex traits and diseases. Specifically, for each module we defined the annotation set as the SNPs within genomic regions of genes in the module and also a 500 base-pair window around the genes. We also included 97 annotations from the baseline model. Partitioned heritability enrichment was calculated as the proportion of trait heritability contributed by SNPs in the module annotation over the proportion of SNPs in that annotation. </w:t>
      </w:r>
    </w:p>
    <w:p w14:paraId="3742EF0F" w14:textId="77777777" w:rsidR="00DE2CDE" w:rsidRDefault="00000000">
      <w:pPr>
        <w:pStyle w:val="Heading2"/>
      </w:pPr>
      <w:bookmarkStart w:id="18" w:name="_4i7ojhp" w:colFirst="0" w:colLast="0"/>
      <w:bookmarkEnd w:id="18"/>
      <w:r>
        <w:t>Summary-statistics–based trans-PCO applied to eQTLGen</w:t>
      </w:r>
    </w:p>
    <w:p w14:paraId="1DD9E5B2" w14:textId="77777777" w:rsidR="00DE2CDE" w:rsidRDefault="00000000">
      <w:pPr>
        <w:jc w:val="both"/>
      </w:pPr>
      <w:r>
        <w:t>The eQTLGen Consortium</w:t>
      </w:r>
      <w:hyperlink r:id="rId96">
        <w:r>
          <w:rPr>
            <w:vertAlign w:val="superscript"/>
          </w:rPr>
          <w:t>10</w:t>
        </w:r>
      </w:hyperlink>
      <w:r>
        <w:t xml:space="preserve"> has conducted the largest </w:t>
      </w:r>
      <w:r>
        <w:rPr>
          <w:i/>
        </w:rPr>
        <w:t>cis</w:t>
      </w:r>
      <w:r>
        <w:t xml:space="preserve">- and </w:t>
      </w:r>
      <w:r>
        <w:rPr>
          <w:i/>
        </w:rPr>
        <w:t>trans</w:t>
      </w:r>
      <w:r>
        <w:t xml:space="preserve">-eQTLs association analyses in blood to date. Specifically, 31,684 samples were tested for over 11 million SNPs across 37 cohorts. The summary statistics of </w:t>
      </w:r>
      <w:r>
        <w:rPr>
          <w:i/>
        </w:rPr>
        <w:t>trans</w:t>
      </w:r>
      <w:r>
        <w:t xml:space="preserve">-eQTLs are available for 10,317 trait-associated SNPs on 19,942 genes. </w:t>
      </w:r>
    </w:p>
    <w:p w14:paraId="4B4DAFEF" w14:textId="77777777" w:rsidR="00DE2CDE" w:rsidRDefault="00DE2CDE">
      <w:pPr>
        <w:jc w:val="both"/>
      </w:pPr>
    </w:p>
    <w:p w14:paraId="7E634E98" w14:textId="77777777" w:rsidR="00DE2CDE" w:rsidRDefault="00000000">
      <w:pPr>
        <w:jc w:val="both"/>
      </w:pPr>
      <w:r>
        <w:t xml:space="preserve">We applied our pipeline trans-PCO to eQTLGen summary statistics, using the same 166 co-expression gene modules defined in DGN dataset. We searched for </w:t>
      </w:r>
      <w:r>
        <w:rPr>
          <w:i/>
        </w:rPr>
        <w:t>trans</w:t>
      </w:r>
      <w:r>
        <w:t xml:space="preserve">-eQTLs among 10,317 SNPs. </w:t>
      </w:r>
    </w:p>
    <w:p w14:paraId="42CB1734" w14:textId="77777777" w:rsidR="00DE2CDE" w:rsidRDefault="00DE2CDE">
      <w:pPr>
        <w:jc w:val="both"/>
      </w:pPr>
    </w:p>
    <w:p w14:paraId="0445F4A5" w14:textId="77777777" w:rsidR="00DE2CDE" w:rsidRDefault="00000000">
      <w:pPr>
        <w:jc w:val="both"/>
      </w:pPr>
      <w:r>
        <w:t xml:space="preserve">The eQTLGen summary statistics are marginal z-scores meta-weighted across multiple cohorts. Most z-scores are from studies where the RNA-seq reads with mappability issues were not filtered out before quantifying gene expression profiles. Therefore, directly applying trans-PCO to the summary statistics could lead to false positive signals. To avoid that, we removed the genes in a module that are cross-mappable with any </w:t>
      </w:r>
      <w:r>
        <w:rPr>
          <w:i/>
        </w:rPr>
        <w:t>cis</w:t>
      </w:r>
      <w:r>
        <w:t xml:space="preserve">-genes (genes within 100 kb) of the test SNP. We further removed genes on the same chromosome as the test SNP to prevent the detected </w:t>
      </w:r>
      <w:r>
        <w:rPr>
          <w:i/>
        </w:rPr>
        <w:t>trans</w:t>
      </w:r>
      <w:r>
        <w:t xml:space="preserve">- effects from being dominated by </w:t>
      </w:r>
      <w:r>
        <w:rPr>
          <w:i/>
        </w:rPr>
        <w:t>cis</w:t>
      </w:r>
      <w:r>
        <w:t xml:space="preserve"> regulations. </w:t>
      </w:r>
    </w:p>
    <w:p w14:paraId="0AC70DC0" w14:textId="77777777" w:rsidR="00DE2CDE" w:rsidRDefault="00DE2CDE">
      <w:pPr>
        <w:jc w:val="both"/>
      </w:pPr>
    </w:p>
    <w:p w14:paraId="11672DE2" w14:textId="77777777" w:rsidR="00DE2CDE" w:rsidRDefault="00000000">
      <w:pPr>
        <w:jc w:val="both"/>
      </w:pPr>
      <w:r>
        <w:t xml:space="preserve">The gene expression profiles are not available in eQTLGen. Therefore, to estimate the gene correlation </w:t>
      </w:r>
      <m:oMath>
        <m:r>
          <w:rPr>
            <w:rFonts w:ascii="Cambria Math" w:hAnsi="Cambria Math"/>
          </w:rPr>
          <m:t>Σ</m:t>
        </m:r>
      </m:oMath>
      <w:r>
        <w:t xml:space="preserve"> of a module, we searched among eQTLGen SNPs for SNPs insignificantly </w:t>
      </w:r>
      <w:r>
        <w:lastRenderedPageBreak/>
        <w:t xml:space="preserve">associated with the module (null SNPs) (see Supplementary Note for details). We observed that there are less null SNPs that can be found for large modules. And simulations show that the low ratio of the number of null SNPs used for </w:t>
      </w:r>
      <m:oMath>
        <m:r>
          <w:rPr>
            <w:rFonts w:ascii="Cambria Math" w:hAnsi="Cambria Math"/>
          </w:rPr>
          <m:t>Σ</m:t>
        </m:r>
      </m:oMath>
      <w:r>
        <w:t xml:space="preserve"> estimation to the module size leads to false positive signals (Supplementary Note). Therefore, we removed 37 gene modules with ratios lower than 50. Finally, we performed trans-PCO on the remaining 129 gene modules. </w:t>
      </w:r>
    </w:p>
    <w:p w14:paraId="3E57F43E" w14:textId="77777777" w:rsidR="00DE2CDE" w:rsidRDefault="00DE2CDE">
      <w:pPr>
        <w:jc w:val="both"/>
      </w:pPr>
    </w:p>
    <w:p w14:paraId="4F41D0C1" w14:textId="77777777" w:rsidR="00DE2CDE" w:rsidRDefault="00000000">
      <w:pPr>
        <w:jc w:val="both"/>
      </w:pPr>
      <w:r>
        <w:br w:type="page"/>
      </w:r>
    </w:p>
    <w:p w14:paraId="2AF25AF9" w14:textId="77777777" w:rsidR="00DE2CDE" w:rsidRDefault="00000000">
      <w:pPr>
        <w:pStyle w:val="Heading1"/>
        <w:jc w:val="both"/>
      </w:pPr>
      <w:bookmarkStart w:id="19" w:name="_3orimyeerr1i" w:colFirst="0" w:colLast="0"/>
      <w:bookmarkEnd w:id="19"/>
      <w:r>
        <w:t>Data availability</w:t>
      </w:r>
    </w:p>
    <w:p w14:paraId="2E98DAA6" w14:textId="77777777" w:rsidR="00DE2CDE" w:rsidRDefault="00000000">
      <w:pPr>
        <w:jc w:val="both"/>
      </w:pPr>
      <w:r>
        <w:rPr>
          <w:highlight w:val="white"/>
        </w:rPr>
        <w:t xml:space="preserve">All </w:t>
      </w:r>
      <w:r>
        <w:rPr>
          <w:i/>
          <w:highlight w:val="white"/>
        </w:rPr>
        <w:t>trans</w:t>
      </w:r>
      <w:r>
        <w:rPr>
          <w:highlight w:val="white"/>
        </w:rPr>
        <w:t xml:space="preserve">-eQTL signals, with functional annotation of the gene sets, can be browsed and downloaded at </w:t>
      </w:r>
      <w:hyperlink r:id="rId97">
        <w:r>
          <w:rPr>
            <w:color w:val="1155CC"/>
            <w:u w:val="single"/>
          </w:rPr>
          <w:t>www.networks-liulab.org/transPCO</w:t>
        </w:r>
      </w:hyperlink>
      <w:r>
        <w:rPr>
          <w:highlight w:val="white"/>
        </w:rPr>
        <w:t>.</w:t>
      </w:r>
      <w:r>
        <w:t xml:space="preserve"> </w:t>
      </w:r>
      <w:r>
        <w:rPr>
          <w:highlight w:val="white"/>
        </w:rPr>
        <w:t>The genotype and gene expression data of DGN were downloaded by application through the NIMH Center for Collaborative Genomic Studies on Mental Disorders, under the “Depression Genes and Networks study (D. Levinson, PI)”. The eQTLGen summary statistics a</w:t>
      </w:r>
      <w:r>
        <w:t xml:space="preserve">re publicly available at </w:t>
      </w:r>
      <w:hyperlink r:id="rId98">
        <w:r>
          <w:rPr>
            <w:color w:val="1155CC"/>
            <w:u w:val="single"/>
          </w:rPr>
          <w:t>https://www.eqtlgen.org/</w:t>
        </w:r>
      </w:hyperlink>
      <w:r>
        <w:t xml:space="preserve">. The MSigDB hallmark gene sets are publicly available at </w:t>
      </w:r>
      <w:hyperlink r:id="rId99">
        <w:r>
          <w:rPr>
            <w:color w:val="1155CC"/>
            <w:u w:val="single"/>
          </w:rPr>
          <w:t>http://www.gsea-msigdb.org/gsea/msigdb/human/genesets.jsp?collection=H</w:t>
        </w:r>
      </w:hyperlink>
      <w:r>
        <w:t>. GWAS summary statistics of traits in the UK Biobank are available at Neale Lab (</w:t>
      </w:r>
      <w:hyperlink r:id="rId100">
        <w:r>
          <w:rPr>
            <w:color w:val="1155CC"/>
            <w:u w:val="single"/>
          </w:rPr>
          <w:t>http://www.nealelab.is/uk-biobank/</w:t>
        </w:r>
      </w:hyperlink>
      <w:r>
        <w:t xml:space="preserve">). </w:t>
      </w:r>
    </w:p>
    <w:p w14:paraId="3908E421" w14:textId="77777777" w:rsidR="00DE2CDE" w:rsidRDefault="00000000">
      <w:pPr>
        <w:jc w:val="both"/>
      </w:pPr>
      <w:r>
        <w:br w:type="page"/>
      </w:r>
    </w:p>
    <w:p w14:paraId="252486F4" w14:textId="77777777" w:rsidR="00DE2CDE" w:rsidRDefault="00000000">
      <w:pPr>
        <w:pStyle w:val="Heading1"/>
        <w:jc w:val="both"/>
      </w:pPr>
      <w:bookmarkStart w:id="20" w:name="_1ci93xb" w:colFirst="0" w:colLast="0"/>
      <w:bookmarkEnd w:id="20"/>
      <w:r>
        <w:t>Code availability</w:t>
      </w:r>
    </w:p>
    <w:p w14:paraId="055A04A1" w14:textId="77777777" w:rsidR="00DE2CDE" w:rsidRDefault="00000000">
      <w:pPr>
        <w:jc w:val="both"/>
      </w:pPr>
      <w:r>
        <w:t xml:space="preserve">The trans-PCO pipeline and code to reproduce analyses is available at </w:t>
      </w:r>
      <w:hyperlink r:id="rId101">
        <w:r>
          <w:rPr>
            <w:color w:val="1155CC"/>
            <w:u w:val="single"/>
          </w:rPr>
          <w:t>https://github.com/liliw-w/Trans</w:t>
        </w:r>
      </w:hyperlink>
      <w:r>
        <w:t>. This work also uses TensorQTL (</w:t>
      </w:r>
      <w:hyperlink r:id="rId102">
        <w:r>
          <w:rPr>
            <w:color w:val="1155CC"/>
            <w:u w:val="single"/>
          </w:rPr>
          <w:t>https://github.com/broadinstitute/tensorqtl</w:t>
        </w:r>
      </w:hyperlink>
      <w:r>
        <w:t>) to perform QTL mapping between genotypes and single genes, R package coloc (</w:t>
      </w:r>
      <w:hyperlink r:id="rId103">
        <w:r>
          <w:rPr>
            <w:color w:val="1155CC"/>
            <w:u w:val="single"/>
          </w:rPr>
          <w:t>https://github.com/chr1swallace/coloc</w:t>
        </w:r>
      </w:hyperlink>
      <w:r>
        <w:t>) to perform colocalization analyses between trans-eQTLs and cis-eQTLs, cis-sQTLs and GWAS loci, and S-LDSC software (</w:t>
      </w:r>
      <w:hyperlink r:id="rId104">
        <w:r>
          <w:rPr>
            <w:color w:val="1155CC"/>
            <w:u w:val="single"/>
          </w:rPr>
          <w:t>https://github.com/bulik/ldsc</w:t>
        </w:r>
      </w:hyperlink>
      <w:r>
        <w:t xml:space="preserve">) to estimate trait heritability enrichment in gene modules. </w:t>
      </w:r>
    </w:p>
    <w:p w14:paraId="69703AA0" w14:textId="77777777" w:rsidR="00DE2CDE" w:rsidRDefault="00000000">
      <w:pPr>
        <w:jc w:val="both"/>
      </w:pPr>
      <w:r>
        <w:br w:type="page"/>
      </w:r>
    </w:p>
    <w:p w14:paraId="1185F76D" w14:textId="77777777" w:rsidR="00DE2CDE" w:rsidRDefault="00000000">
      <w:pPr>
        <w:pStyle w:val="Heading1"/>
        <w:jc w:val="both"/>
      </w:pPr>
      <w:bookmarkStart w:id="21" w:name="_3whwml4" w:colFirst="0" w:colLast="0"/>
      <w:bookmarkEnd w:id="21"/>
      <w:r>
        <w:t>References</w:t>
      </w:r>
    </w:p>
    <w:p w14:paraId="5B71C845" w14:textId="77777777" w:rsidR="00DE2CDE" w:rsidRDefault="00000000">
      <w:pPr>
        <w:widowControl w:val="0"/>
        <w:pBdr>
          <w:top w:val="nil"/>
          <w:left w:val="nil"/>
          <w:bottom w:val="nil"/>
          <w:right w:val="nil"/>
          <w:between w:val="nil"/>
        </w:pBdr>
        <w:spacing w:line="240" w:lineRule="auto"/>
        <w:ind w:left="384" w:hanging="384"/>
      </w:pPr>
      <w:hyperlink r:id="rId105">
        <w:r>
          <w:t>1.</w:t>
        </w:r>
        <w:r>
          <w:tab/>
          <w:t xml:space="preserve">Maurano, M.T., Humbert, R., Rynes, E., Thurman, R.E., Haugen, E., Wang, H., Reynolds, A.P., Sandstrom, R., Qu, H., Brody, J., et al. (2012). Systematic Localization of Common Disease-Associated Variation in Regulatory DNA. Science </w:t>
        </w:r>
      </w:hyperlink>
      <w:hyperlink r:id="rId106">
        <w:r>
          <w:rPr>
            <w:i/>
          </w:rPr>
          <w:t>337</w:t>
        </w:r>
      </w:hyperlink>
      <w:hyperlink r:id="rId107">
        <w:r>
          <w:t>, 1190–1195. 10.1126/science.1222794.</w:t>
        </w:r>
      </w:hyperlink>
    </w:p>
    <w:p w14:paraId="371CD755" w14:textId="77777777" w:rsidR="00DE2CDE" w:rsidRDefault="00000000">
      <w:pPr>
        <w:widowControl w:val="0"/>
        <w:pBdr>
          <w:top w:val="nil"/>
          <w:left w:val="nil"/>
          <w:bottom w:val="nil"/>
          <w:right w:val="nil"/>
          <w:between w:val="nil"/>
        </w:pBdr>
        <w:spacing w:line="240" w:lineRule="auto"/>
        <w:ind w:left="384" w:hanging="384"/>
      </w:pPr>
      <w:hyperlink r:id="rId108">
        <w:r>
          <w:t>2.</w:t>
        </w:r>
        <w:r>
          <w:tab/>
          <w:t xml:space="preserve">Lango Allen, H., Estrada, K., Lettre, G., Berndt, S.I., Weedon, M.N., Rivadeneira, F., Willer, C.J., Jackson, A.U., Vedantam, S., Raychaudhuri, S., et al. (2010). Hundreds of variants clustered in genomic loci and biological pathways affect human height. Nature </w:t>
        </w:r>
      </w:hyperlink>
      <w:hyperlink r:id="rId109">
        <w:r>
          <w:rPr>
            <w:i/>
          </w:rPr>
          <w:t>467</w:t>
        </w:r>
      </w:hyperlink>
      <w:hyperlink r:id="rId110">
        <w:r>
          <w:t>, 832–838. 10.1038/nature09410.</w:t>
        </w:r>
      </w:hyperlink>
    </w:p>
    <w:p w14:paraId="687DB0AB" w14:textId="77777777" w:rsidR="00DE2CDE" w:rsidRDefault="00000000">
      <w:pPr>
        <w:widowControl w:val="0"/>
        <w:pBdr>
          <w:top w:val="nil"/>
          <w:left w:val="nil"/>
          <w:bottom w:val="nil"/>
          <w:right w:val="nil"/>
          <w:between w:val="nil"/>
        </w:pBdr>
        <w:spacing w:line="240" w:lineRule="auto"/>
        <w:ind w:left="384" w:hanging="384"/>
      </w:pPr>
      <w:hyperlink r:id="rId111">
        <w:r>
          <w:t>3.</w:t>
        </w:r>
        <w:r>
          <w:tab/>
          <w:t xml:space="preserve">Hindorff, L.A., Sethupathy, P., Junkins, H.A., Ramos, E.M., Mehta, J.P., Collins, F.S., and Manolio, T.A. (2009). Potential etiologic and functional implications of genome-wide association loci for human diseases and traits. Proc. Natl. Acad. Sci. </w:t>
        </w:r>
      </w:hyperlink>
      <w:hyperlink r:id="rId112">
        <w:r>
          <w:rPr>
            <w:i/>
          </w:rPr>
          <w:t>106</w:t>
        </w:r>
      </w:hyperlink>
      <w:hyperlink r:id="rId113">
        <w:r>
          <w:t>, 9362–9367. 10.1073/pnas.0903103106.</w:t>
        </w:r>
      </w:hyperlink>
    </w:p>
    <w:p w14:paraId="38EF7354" w14:textId="77777777" w:rsidR="00DE2CDE" w:rsidRDefault="00000000">
      <w:pPr>
        <w:widowControl w:val="0"/>
        <w:pBdr>
          <w:top w:val="nil"/>
          <w:left w:val="nil"/>
          <w:bottom w:val="nil"/>
          <w:right w:val="nil"/>
          <w:between w:val="nil"/>
        </w:pBdr>
        <w:spacing w:line="240" w:lineRule="auto"/>
        <w:ind w:left="384" w:hanging="384"/>
      </w:pPr>
      <w:hyperlink r:id="rId114">
        <w:r>
          <w:t>4.</w:t>
        </w:r>
        <w:r>
          <w:tab/>
          <w:t xml:space="preserve">Watanabe, K., Stringer, S., Frei, O., Umićević Mirkov, M., de Leeuw, C., Polderman, T.J.C., van der Sluis, S., Andreassen, O.A., Neale, B.M., and Posthuma, D. (2019). A global overview of pleiotropy and genetic architecture in complex traits. Nat. Genet. </w:t>
        </w:r>
      </w:hyperlink>
      <w:hyperlink r:id="rId115">
        <w:r>
          <w:rPr>
            <w:i/>
          </w:rPr>
          <w:t>51</w:t>
        </w:r>
      </w:hyperlink>
      <w:hyperlink r:id="rId116">
        <w:r>
          <w:t>, 1339–1348. 10.1038/s41588-019-0481-0.</w:t>
        </w:r>
      </w:hyperlink>
    </w:p>
    <w:p w14:paraId="552823DF" w14:textId="77777777" w:rsidR="00DE2CDE" w:rsidRDefault="00000000">
      <w:pPr>
        <w:widowControl w:val="0"/>
        <w:pBdr>
          <w:top w:val="nil"/>
          <w:left w:val="nil"/>
          <w:bottom w:val="nil"/>
          <w:right w:val="nil"/>
          <w:between w:val="nil"/>
        </w:pBdr>
        <w:spacing w:line="240" w:lineRule="auto"/>
        <w:ind w:left="384" w:hanging="384"/>
      </w:pPr>
      <w:hyperlink r:id="rId117">
        <w:r>
          <w:t>5.</w:t>
        </w:r>
        <w:r>
          <w:tab/>
          <w:t xml:space="preserve">Nicolae, D.L., Gamazon, E., Zhang, W., Duan, S., Dolan, M.E., and Cox, N.J. (2010). Trait-associated SNPs are more likely to be eQTLs: annotation to enhance discovery from GWAS. PLoS Genet. </w:t>
        </w:r>
      </w:hyperlink>
      <w:hyperlink r:id="rId118">
        <w:r>
          <w:rPr>
            <w:i/>
          </w:rPr>
          <w:t>6</w:t>
        </w:r>
      </w:hyperlink>
      <w:hyperlink r:id="rId119">
        <w:r>
          <w:t>, e1000888.</w:t>
        </w:r>
      </w:hyperlink>
    </w:p>
    <w:p w14:paraId="7FF5115A" w14:textId="77777777" w:rsidR="00DE2CDE" w:rsidRDefault="00000000">
      <w:pPr>
        <w:widowControl w:val="0"/>
        <w:pBdr>
          <w:top w:val="nil"/>
          <w:left w:val="nil"/>
          <w:bottom w:val="nil"/>
          <w:right w:val="nil"/>
          <w:between w:val="nil"/>
        </w:pBdr>
        <w:spacing w:line="240" w:lineRule="auto"/>
        <w:ind w:left="384" w:hanging="384"/>
      </w:pPr>
      <w:hyperlink r:id="rId120">
        <w:r>
          <w:t>6.</w:t>
        </w:r>
        <w:r>
          <w:tab/>
          <w:t xml:space="preserve">Yao, D.W., O’Connor, L.J., Price, A.L., and Gusev, A. (2020). Quantifying genetic effects on disease mediated by assayed gene expression levels. Nat. Genet. </w:t>
        </w:r>
      </w:hyperlink>
      <w:hyperlink r:id="rId121">
        <w:r>
          <w:rPr>
            <w:i/>
          </w:rPr>
          <w:t>52</w:t>
        </w:r>
      </w:hyperlink>
      <w:hyperlink r:id="rId122">
        <w:r>
          <w:t>, 626–633. 10.1038/s41588-020-0625-2.</w:t>
        </w:r>
      </w:hyperlink>
    </w:p>
    <w:p w14:paraId="77A7A6BF" w14:textId="77777777" w:rsidR="00DE2CDE" w:rsidRDefault="00000000">
      <w:pPr>
        <w:widowControl w:val="0"/>
        <w:pBdr>
          <w:top w:val="nil"/>
          <w:left w:val="nil"/>
          <w:bottom w:val="nil"/>
          <w:right w:val="nil"/>
          <w:between w:val="nil"/>
        </w:pBdr>
        <w:spacing w:line="240" w:lineRule="auto"/>
        <w:ind w:left="384" w:hanging="384"/>
      </w:pPr>
      <w:hyperlink r:id="rId123">
        <w:r>
          <w:t>7.</w:t>
        </w:r>
        <w:r>
          <w:tab/>
          <w:t xml:space="preserve">Liu, X., Li, Y.I., and Pritchard, J.K. (2019). Trans Effects on Gene Expression Can Drive Omnigenic Inheritance. Cell </w:t>
        </w:r>
      </w:hyperlink>
      <w:hyperlink r:id="rId124">
        <w:r>
          <w:rPr>
            <w:i/>
          </w:rPr>
          <w:t>177</w:t>
        </w:r>
      </w:hyperlink>
      <w:hyperlink r:id="rId125">
        <w:r>
          <w:t>, 1022-1034.e6. 10.1016/j.cell.2019.04.014.</w:t>
        </w:r>
      </w:hyperlink>
    </w:p>
    <w:p w14:paraId="75B4F3BB" w14:textId="77777777" w:rsidR="00DE2CDE" w:rsidRDefault="00000000">
      <w:pPr>
        <w:widowControl w:val="0"/>
        <w:pBdr>
          <w:top w:val="nil"/>
          <w:left w:val="nil"/>
          <w:bottom w:val="nil"/>
          <w:right w:val="nil"/>
          <w:between w:val="nil"/>
        </w:pBdr>
        <w:spacing w:line="240" w:lineRule="auto"/>
        <w:ind w:left="384" w:hanging="384"/>
      </w:pPr>
      <w:hyperlink r:id="rId126">
        <w:r>
          <w:t>8.</w:t>
        </w:r>
        <w:r>
          <w:tab/>
          <w:t xml:space="preserve">Saha, A., and Battle, A. (2019). False positives in trans-eQTL and co-expression analyses arising from RNA-sequencing alignment errors. F1000Research </w:t>
        </w:r>
      </w:hyperlink>
      <w:hyperlink r:id="rId127">
        <w:r>
          <w:rPr>
            <w:i/>
          </w:rPr>
          <w:t>7</w:t>
        </w:r>
      </w:hyperlink>
      <w:hyperlink r:id="rId128">
        <w:r>
          <w:t>, 1860. 10.12688/f1000research.17145.2.</w:t>
        </w:r>
      </w:hyperlink>
    </w:p>
    <w:p w14:paraId="39F74100" w14:textId="77777777" w:rsidR="00DE2CDE" w:rsidRDefault="00000000">
      <w:pPr>
        <w:widowControl w:val="0"/>
        <w:pBdr>
          <w:top w:val="nil"/>
          <w:left w:val="nil"/>
          <w:bottom w:val="nil"/>
          <w:right w:val="nil"/>
          <w:between w:val="nil"/>
        </w:pBdr>
        <w:spacing w:line="240" w:lineRule="auto"/>
        <w:ind w:left="384" w:hanging="384"/>
      </w:pPr>
      <w:hyperlink r:id="rId129">
        <w:r>
          <w:t>9.</w:t>
        </w:r>
        <w:r>
          <w:tab/>
          <w:t xml:space="preserve">Albert, F.W., Bloom, J.S., Siegel, J., Day, L., and Kruglyak, L. (2018). Genetics of trans-regulatory variation in gene expression. eLife </w:t>
        </w:r>
      </w:hyperlink>
      <w:hyperlink r:id="rId130">
        <w:r>
          <w:rPr>
            <w:i/>
          </w:rPr>
          <w:t>7</w:t>
        </w:r>
      </w:hyperlink>
      <w:hyperlink r:id="rId131">
        <w:r>
          <w:t>, e35471. 10.7554/eLife.35471.</w:t>
        </w:r>
      </w:hyperlink>
    </w:p>
    <w:p w14:paraId="5D855E69" w14:textId="77777777" w:rsidR="00DE2CDE" w:rsidRDefault="00000000">
      <w:pPr>
        <w:widowControl w:val="0"/>
        <w:pBdr>
          <w:top w:val="nil"/>
          <w:left w:val="nil"/>
          <w:bottom w:val="nil"/>
          <w:right w:val="nil"/>
          <w:between w:val="nil"/>
        </w:pBdr>
        <w:spacing w:line="240" w:lineRule="auto"/>
        <w:ind w:left="384" w:hanging="384"/>
      </w:pPr>
      <w:hyperlink r:id="rId132">
        <w:r>
          <w:t>10.</w:t>
        </w:r>
        <w:r>
          <w:tab/>
          <w:t xml:space="preserve">Võsa, U., Claringbould, A., Westra, H.-J., Bonder, M.J., Deelen, P., Zeng, B., Kirsten, H., Saha, A., Kreuzhuber, R., Yazar, S., et al. (2021). Large-scale cis- and trans-eQTL analyses identify thousands of genetic loci and polygenic scores that regulate blood gene expression. Nat. Genet. </w:t>
        </w:r>
      </w:hyperlink>
      <w:hyperlink r:id="rId133">
        <w:r>
          <w:rPr>
            <w:i/>
          </w:rPr>
          <w:t>53</w:t>
        </w:r>
      </w:hyperlink>
      <w:hyperlink r:id="rId134">
        <w:r>
          <w:t>, 1300–1310. 10.1038/s41588-021-00913-z.</w:t>
        </w:r>
      </w:hyperlink>
    </w:p>
    <w:p w14:paraId="6083D1F0" w14:textId="77777777" w:rsidR="00DE2CDE" w:rsidRDefault="00000000">
      <w:pPr>
        <w:widowControl w:val="0"/>
        <w:pBdr>
          <w:top w:val="nil"/>
          <w:left w:val="nil"/>
          <w:bottom w:val="nil"/>
          <w:right w:val="nil"/>
          <w:between w:val="nil"/>
        </w:pBdr>
        <w:spacing w:line="240" w:lineRule="auto"/>
        <w:ind w:left="384" w:hanging="384"/>
      </w:pPr>
      <w:hyperlink r:id="rId135">
        <w:r>
          <w:t>11.</w:t>
        </w:r>
        <w:r>
          <w:tab/>
          <w:t xml:space="preserve">Kim, S., and Xing, E.P. (2009). Statistical Estimation of Correlated Genome Associations to a Quantitative Trait Network. PLOS Genet. </w:t>
        </w:r>
      </w:hyperlink>
      <w:hyperlink r:id="rId136">
        <w:r>
          <w:rPr>
            <w:i/>
          </w:rPr>
          <w:t>5</w:t>
        </w:r>
      </w:hyperlink>
      <w:hyperlink r:id="rId137">
        <w:r>
          <w:t>, e1000587. 10.1371/journal.pgen.1000587.</w:t>
        </w:r>
      </w:hyperlink>
    </w:p>
    <w:p w14:paraId="3C19BE54" w14:textId="77777777" w:rsidR="00DE2CDE" w:rsidRDefault="00000000">
      <w:pPr>
        <w:widowControl w:val="0"/>
        <w:pBdr>
          <w:top w:val="nil"/>
          <w:left w:val="nil"/>
          <w:bottom w:val="nil"/>
          <w:right w:val="nil"/>
          <w:between w:val="nil"/>
        </w:pBdr>
        <w:spacing w:line="240" w:lineRule="auto"/>
        <w:ind w:left="384" w:hanging="384"/>
      </w:pPr>
      <w:hyperlink r:id="rId138">
        <w:r>
          <w:t>12.</w:t>
        </w:r>
        <w:r>
          <w:tab/>
          <w:t xml:space="preserve">Ferreira, M.A.R., and Purcell, S.M. (2009). A multivariate test of association. Bioinformatics </w:t>
        </w:r>
      </w:hyperlink>
      <w:hyperlink r:id="rId139">
        <w:r>
          <w:rPr>
            <w:i/>
          </w:rPr>
          <w:t>25</w:t>
        </w:r>
      </w:hyperlink>
      <w:hyperlink r:id="rId140">
        <w:r>
          <w:t>, 132–133. 10.1093/bioinformatics/btn563.</w:t>
        </w:r>
      </w:hyperlink>
    </w:p>
    <w:p w14:paraId="42A763B3" w14:textId="77777777" w:rsidR="00DE2CDE" w:rsidRDefault="00000000">
      <w:pPr>
        <w:widowControl w:val="0"/>
        <w:pBdr>
          <w:top w:val="nil"/>
          <w:left w:val="nil"/>
          <w:bottom w:val="nil"/>
          <w:right w:val="nil"/>
          <w:between w:val="nil"/>
        </w:pBdr>
        <w:spacing w:line="240" w:lineRule="auto"/>
        <w:ind w:left="384" w:hanging="384"/>
      </w:pPr>
      <w:hyperlink r:id="rId141">
        <w:r>
          <w:t>13.</w:t>
        </w:r>
        <w:r>
          <w:tab/>
          <w:t xml:space="preserve">Boyle, E.A., Li, Y.I., and Pritchard, J.K. (2017). An Expanded View of Complex Traits: From Polygenic to Omnigenic. Cell </w:t>
        </w:r>
      </w:hyperlink>
      <w:hyperlink r:id="rId142">
        <w:r>
          <w:rPr>
            <w:i/>
          </w:rPr>
          <w:t>169</w:t>
        </w:r>
      </w:hyperlink>
      <w:hyperlink r:id="rId143">
        <w:r>
          <w:t>, 1177–1186. 10.1016/j.cell.2017.05.038.</w:t>
        </w:r>
      </w:hyperlink>
    </w:p>
    <w:p w14:paraId="2AA892EF" w14:textId="77777777" w:rsidR="00DE2CDE" w:rsidRDefault="00000000">
      <w:pPr>
        <w:widowControl w:val="0"/>
        <w:pBdr>
          <w:top w:val="nil"/>
          <w:left w:val="nil"/>
          <w:bottom w:val="nil"/>
          <w:right w:val="nil"/>
          <w:between w:val="nil"/>
        </w:pBdr>
        <w:spacing w:line="240" w:lineRule="auto"/>
        <w:ind w:left="384" w:hanging="384"/>
      </w:pPr>
      <w:hyperlink r:id="rId144">
        <w:r>
          <w:t>14.</w:t>
        </w:r>
        <w:r>
          <w:tab/>
          <w:t xml:space="preserve">Small, K.S., Todorčević, M., Civelek, M., El-Sayed Moustafa, J.S., Wang, X., Simon, M.M., Fernandez-Tajes, J., Mahajan, A., Horikoshi, M., Hugill, A., et al. (2018). Regulatory variants at KLF14 influence type 2 diabetes risk via a female-specific effect on adipocyte size and body composition. Nat. Genet. </w:t>
        </w:r>
      </w:hyperlink>
      <w:hyperlink r:id="rId145">
        <w:r>
          <w:rPr>
            <w:i/>
          </w:rPr>
          <w:t>50</w:t>
        </w:r>
      </w:hyperlink>
      <w:hyperlink r:id="rId146">
        <w:r>
          <w:t>, 572–580. 10.1038/s41588-018-0088-x.</w:t>
        </w:r>
      </w:hyperlink>
    </w:p>
    <w:p w14:paraId="2019AA8D" w14:textId="77777777" w:rsidR="00DE2CDE" w:rsidRDefault="00000000">
      <w:pPr>
        <w:widowControl w:val="0"/>
        <w:pBdr>
          <w:top w:val="nil"/>
          <w:left w:val="nil"/>
          <w:bottom w:val="nil"/>
          <w:right w:val="nil"/>
          <w:between w:val="nil"/>
        </w:pBdr>
        <w:spacing w:line="240" w:lineRule="auto"/>
        <w:ind w:left="384" w:hanging="384"/>
      </w:pPr>
      <w:hyperlink r:id="rId147">
        <w:r>
          <w:t>15.</w:t>
        </w:r>
        <w:r>
          <w:tab/>
          <w:t xml:space="preserve">Smemo, S., Tena, J.J., Kim, K.-H., Gamazon, E.R., Sakabe, N.J., Gómez-Marín, C., Aneas, I., Credidio, F.L., Sobreira, D.R., Wasserman, N.F., et al. (2014). Obesity-associated variants within FTO form long-range functional connections with IRX3. Nature </w:t>
        </w:r>
      </w:hyperlink>
      <w:hyperlink r:id="rId148">
        <w:r>
          <w:rPr>
            <w:i/>
          </w:rPr>
          <w:t>507</w:t>
        </w:r>
      </w:hyperlink>
      <w:hyperlink r:id="rId149">
        <w:r>
          <w:t>, 371–375. 10.1038/nature13138.</w:t>
        </w:r>
      </w:hyperlink>
    </w:p>
    <w:p w14:paraId="13B0A0E4" w14:textId="77777777" w:rsidR="00DE2CDE" w:rsidRDefault="00000000">
      <w:pPr>
        <w:widowControl w:val="0"/>
        <w:pBdr>
          <w:top w:val="nil"/>
          <w:left w:val="nil"/>
          <w:bottom w:val="nil"/>
          <w:right w:val="nil"/>
          <w:between w:val="nil"/>
        </w:pBdr>
        <w:spacing w:line="240" w:lineRule="auto"/>
        <w:ind w:left="384" w:hanging="384"/>
      </w:pPr>
      <w:hyperlink r:id="rId150">
        <w:r>
          <w:t>16.</w:t>
        </w:r>
        <w:r>
          <w:tab/>
          <w:t xml:space="preserve">Vogelstein, B., Lane, D., and Levine, A.J. (2000). Surfing the p53 network. Nature </w:t>
        </w:r>
      </w:hyperlink>
      <w:hyperlink r:id="rId151">
        <w:r>
          <w:rPr>
            <w:i/>
          </w:rPr>
          <w:t>408</w:t>
        </w:r>
      </w:hyperlink>
      <w:hyperlink r:id="rId152">
        <w:r>
          <w:t>, 307–310. 10.1038/35042675.</w:t>
        </w:r>
      </w:hyperlink>
    </w:p>
    <w:p w14:paraId="7A19111C" w14:textId="77777777" w:rsidR="00DE2CDE" w:rsidRDefault="00000000">
      <w:pPr>
        <w:widowControl w:val="0"/>
        <w:pBdr>
          <w:top w:val="nil"/>
          <w:left w:val="nil"/>
          <w:bottom w:val="nil"/>
          <w:right w:val="nil"/>
          <w:between w:val="nil"/>
        </w:pBdr>
        <w:spacing w:line="240" w:lineRule="auto"/>
        <w:ind w:left="384" w:hanging="384"/>
      </w:pPr>
      <w:hyperlink r:id="rId153">
        <w:r>
          <w:t>17.</w:t>
        </w:r>
        <w:r>
          <w:tab/>
          <w:t xml:space="preserve">J Joo, J.W., Sul, J.H., Han, B., Ye, C., and Eskin, E. (2014). Effectively identifying regulatory hotspots while capturing expression heterogeneity in gene expression studies. Genome Biol. </w:t>
        </w:r>
      </w:hyperlink>
      <w:hyperlink r:id="rId154">
        <w:r>
          <w:rPr>
            <w:i/>
          </w:rPr>
          <w:t>15</w:t>
        </w:r>
      </w:hyperlink>
      <w:hyperlink r:id="rId155">
        <w:r>
          <w:t>, r61. 10.1186/gb-2014-15-4-r61.</w:t>
        </w:r>
      </w:hyperlink>
    </w:p>
    <w:p w14:paraId="2EB2478C" w14:textId="77777777" w:rsidR="00DE2CDE" w:rsidRDefault="00000000">
      <w:pPr>
        <w:widowControl w:val="0"/>
        <w:pBdr>
          <w:top w:val="nil"/>
          <w:left w:val="nil"/>
          <w:bottom w:val="nil"/>
          <w:right w:val="nil"/>
          <w:between w:val="nil"/>
        </w:pBdr>
        <w:spacing w:line="240" w:lineRule="auto"/>
        <w:ind w:left="384" w:hanging="384"/>
      </w:pPr>
      <w:hyperlink r:id="rId156">
        <w:r>
          <w:t>18.</w:t>
        </w:r>
        <w:r>
          <w:tab/>
          <w:t xml:space="preserve">Rakitsch, B., and Stegle, O. (2016). Modelling local gene networks increases power to detect trans-acting genetic effects on gene expression. Genome Biol. </w:t>
        </w:r>
      </w:hyperlink>
      <w:hyperlink r:id="rId157">
        <w:r>
          <w:rPr>
            <w:i/>
          </w:rPr>
          <w:t>17</w:t>
        </w:r>
      </w:hyperlink>
      <w:hyperlink r:id="rId158">
        <w:r>
          <w:t>, 33. 10.1186/s13059-016-0895-2.</w:t>
        </w:r>
      </w:hyperlink>
    </w:p>
    <w:p w14:paraId="086FA0C0" w14:textId="77777777" w:rsidR="00DE2CDE" w:rsidRDefault="00000000">
      <w:pPr>
        <w:widowControl w:val="0"/>
        <w:pBdr>
          <w:top w:val="nil"/>
          <w:left w:val="nil"/>
          <w:bottom w:val="nil"/>
          <w:right w:val="nil"/>
          <w:between w:val="nil"/>
        </w:pBdr>
        <w:spacing w:line="240" w:lineRule="auto"/>
        <w:ind w:left="384" w:hanging="384"/>
      </w:pPr>
      <w:hyperlink r:id="rId159">
        <w:r>
          <w:t>19.</w:t>
        </w:r>
        <w:r>
          <w:tab/>
          <w:t xml:space="preserve">Zhou, X., and Cai, X. (2021). Joint eQTL mapping and inference of gene regulatory network improves power of detecting both cis- and trans-eQTLs. Bioinformatics </w:t>
        </w:r>
      </w:hyperlink>
      <w:hyperlink r:id="rId160">
        <w:r>
          <w:rPr>
            <w:i/>
          </w:rPr>
          <w:t>38</w:t>
        </w:r>
      </w:hyperlink>
      <w:hyperlink r:id="rId161">
        <w:r>
          <w:t>, 149–156. 10.1093/bioinformatics/btab609.</w:t>
        </w:r>
      </w:hyperlink>
    </w:p>
    <w:p w14:paraId="3D76A5E4" w14:textId="77777777" w:rsidR="00DE2CDE" w:rsidRDefault="00000000">
      <w:pPr>
        <w:widowControl w:val="0"/>
        <w:pBdr>
          <w:top w:val="nil"/>
          <w:left w:val="nil"/>
          <w:bottom w:val="nil"/>
          <w:right w:val="nil"/>
          <w:between w:val="nil"/>
        </w:pBdr>
        <w:spacing w:line="240" w:lineRule="auto"/>
        <w:ind w:left="384" w:hanging="384"/>
      </w:pPr>
      <w:hyperlink r:id="rId162">
        <w:r>
          <w:t>20.</w:t>
        </w:r>
        <w:r>
          <w:tab/>
          <w:t xml:space="preserve">Hore, V., Viñuela, A., Buil, A., Knight, J., McCarthy, M.I., Small, K., and Marchini, J. (2016). Tensor decomposition for multiple-tissue gene expression experiments. Nat. Genet. </w:t>
        </w:r>
      </w:hyperlink>
      <w:hyperlink r:id="rId163">
        <w:r>
          <w:rPr>
            <w:i/>
          </w:rPr>
          <w:t>48</w:t>
        </w:r>
      </w:hyperlink>
      <w:hyperlink r:id="rId164">
        <w:r>
          <w:t>, 1094–1100. 10.1038/ng.3624.</w:t>
        </w:r>
      </w:hyperlink>
    </w:p>
    <w:p w14:paraId="0BC6E1E4" w14:textId="77777777" w:rsidR="00DE2CDE" w:rsidRDefault="00000000">
      <w:pPr>
        <w:widowControl w:val="0"/>
        <w:pBdr>
          <w:top w:val="nil"/>
          <w:left w:val="nil"/>
          <w:bottom w:val="nil"/>
          <w:right w:val="nil"/>
          <w:between w:val="nil"/>
        </w:pBdr>
        <w:spacing w:line="240" w:lineRule="auto"/>
        <w:ind w:left="384" w:hanging="384"/>
      </w:pPr>
      <w:hyperlink r:id="rId165">
        <w:r>
          <w:t>21.</w:t>
        </w:r>
        <w:r>
          <w:tab/>
          <w:t xml:space="preserve">Ramdhani, S., Navarro, E., Udine, E., Efthymiou, A.G., Schilder, B.M., Parks, M., Goate, A., and Raj, T. (2020). Tensor decomposition of stimulated monocyte and macrophage gene expression profiles identifies neurodegenerative disease-specific trans-eQTLs. PLOS Genet. </w:t>
        </w:r>
      </w:hyperlink>
      <w:hyperlink r:id="rId166">
        <w:r>
          <w:rPr>
            <w:i/>
          </w:rPr>
          <w:t>16</w:t>
        </w:r>
      </w:hyperlink>
      <w:hyperlink r:id="rId167">
        <w:r>
          <w:t>, e1008549. 10.1371/journal.pgen.1008549.</w:t>
        </w:r>
      </w:hyperlink>
    </w:p>
    <w:p w14:paraId="67D494EF" w14:textId="77777777" w:rsidR="00DE2CDE" w:rsidRDefault="00000000">
      <w:pPr>
        <w:widowControl w:val="0"/>
        <w:pBdr>
          <w:top w:val="nil"/>
          <w:left w:val="nil"/>
          <w:bottom w:val="nil"/>
          <w:right w:val="nil"/>
          <w:between w:val="nil"/>
        </w:pBdr>
        <w:spacing w:line="240" w:lineRule="auto"/>
        <w:ind w:left="384" w:hanging="384"/>
      </w:pPr>
      <w:hyperlink r:id="rId168">
        <w:r>
          <w:t>22.</w:t>
        </w:r>
        <w:r>
          <w:tab/>
          <w:t xml:space="preserve">Kolberg, L., Kerimov, N., Peterson, H., and Alasoo, K. (2020). Co-expression analysis reveals interpretable gene modules controlled by trans-acting genetic variants. eLife </w:t>
        </w:r>
      </w:hyperlink>
      <w:hyperlink r:id="rId169">
        <w:r>
          <w:rPr>
            <w:i/>
          </w:rPr>
          <w:t>9</w:t>
        </w:r>
      </w:hyperlink>
      <w:hyperlink r:id="rId170">
        <w:r>
          <w:t>, e58705. 10.7554/eLife.58705.</w:t>
        </w:r>
      </w:hyperlink>
    </w:p>
    <w:p w14:paraId="61627C00" w14:textId="77777777" w:rsidR="00DE2CDE" w:rsidRDefault="00000000">
      <w:pPr>
        <w:widowControl w:val="0"/>
        <w:pBdr>
          <w:top w:val="nil"/>
          <w:left w:val="nil"/>
          <w:bottom w:val="nil"/>
          <w:right w:val="nil"/>
          <w:between w:val="nil"/>
        </w:pBdr>
        <w:spacing w:line="240" w:lineRule="auto"/>
        <w:ind w:left="384" w:hanging="384"/>
      </w:pPr>
      <w:hyperlink r:id="rId171">
        <w:r>
          <w:t>23.</w:t>
        </w:r>
        <w:r>
          <w:tab/>
          <w:t xml:space="preserve">Dutta, D., He, Y., Saha, A., Arvanitis, M., Battle, A., and Chatterjee, N. (2022). Aggregative trans-eQTL analysis detects trait-specific target gene sets in whole blood. Nat. Commun. </w:t>
        </w:r>
      </w:hyperlink>
      <w:hyperlink r:id="rId172">
        <w:r>
          <w:rPr>
            <w:i/>
          </w:rPr>
          <w:t>13</w:t>
        </w:r>
      </w:hyperlink>
      <w:hyperlink r:id="rId173">
        <w:r>
          <w:t>, 4323. 10.1038/s41467-022-31845-9.</w:t>
        </w:r>
      </w:hyperlink>
    </w:p>
    <w:p w14:paraId="1A3BEA6A" w14:textId="77777777" w:rsidR="00DE2CDE" w:rsidRDefault="00000000">
      <w:pPr>
        <w:widowControl w:val="0"/>
        <w:pBdr>
          <w:top w:val="nil"/>
          <w:left w:val="nil"/>
          <w:bottom w:val="nil"/>
          <w:right w:val="nil"/>
          <w:between w:val="nil"/>
        </w:pBdr>
        <w:spacing w:line="240" w:lineRule="auto"/>
        <w:ind w:left="384" w:hanging="384"/>
      </w:pPr>
      <w:hyperlink r:id="rId174">
        <w:r>
          <w:t>24.</w:t>
        </w:r>
        <w:r>
          <w:tab/>
          <w:t xml:space="preserve">Aschard, H., Vilhjálmsson, B.J., Greliche, N., Morange, P.-E., Trégouët, D.-A., and Kraft, P. (2014). Maximizing the Power of Principal-Component Analysis of Correlated Phenotypes in Genome-wide Association Studies. Am. J. Hum. Genet. </w:t>
        </w:r>
      </w:hyperlink>
      <w:hyperlink r:id="rId175">
        <w:r>
          <w:rPr>
            <w:i/>
          </w:rPr>
          <w:t>94</w:t>
        </w:r>
      </w:hyperlink>
      <w:hyperlink r:id="rId176">
        <w:r>
          <w:t>, 662–676. 10.1016/j.ajhg.2014.03.016.</w:t>
        </w:r>
      </w:hyperlink>
    </w:p>
    <w:p w14:paraId="079C92E4" w14:textId="77777777" w:rsidR="00DE2CDE" w:rsidRDefault="00000000">
      <w:pPr>
        <w:widowControl w:val="0"/>
        <w:pBdr>
          <w:top w:val="nil"/>
          <w:left w:val="nil"/>
          <w:bottom w:val="nil"/>
          <w:right w:val="nil"/>
          <w:between w:val="nil"/>
        </w:pBdr>
        <w:spacing w:line="240" w:lineRule="auto"/>
        <w:ind w:left="384" w:hanging="384"/>
      </w:pPr>
      <w:hyperlink r:id="rId177">
        <w:r>
          <w:t>25.</w:t>
        </w:r>
        <w:r>
          <w:tab/>
          <w:t xml:space="preserve">Liu, Z., and Lin, X. (2019). A Geometric Perspective on the Power of Principal Component Association Tests in Multiple Phenotype Studies. J. Am. Stat. Assoc. </w:t>
        </w:r>
      </w:hyperlink>
      <w:hyperlink r:id="rId178">
        <w:r>
          <w:rPr>
            <w:i/>
          </w:rPr>
          <w:t>114</w:t>
        </w:r>
      </w:hyperlink>
      <w:hyperlink r:id="rId179">
        <w:r>
          <w:t>, 975–990. 10.1080/01621459.2018.1513363.</w:t>
        </w:r>
      </w:hyperlink>
    </w:p>
    <w:p w14:paraId="1CBBF904" w14:textId="77777777" w:rsidR="00DE2CDE" w:rsidRDefault="00000000">
      <w:pPr>
        <w:widowControl w:val="0"/>
        <w:pBdr>
          <w:top w:val="nil"/>
          <w:left w:val="nil"/>
          <w:bottom w:val="nil"/>
          <w:right w:val="nil"/>
          <w:between w:val="nil"/>
        </w:pBdr>
        <w:spacing w:line="240" w:lineRule="auto"/>
        <w:ind w:left="384" w:hanging="384"/>
      </w:pPr>
      <w:hyperlink r:id="rId180">
        <w:r>
          <w:t>26.</w:t>
        </w:r>
        <w:r>
          <w:tab/>
          <w:t xml:space="preserve">Battle, A., Mostafavi, S., Zhu, X., Potash, J.B., Weissman, M.M., McCormick, C., Haudenschild, C.D., Beckman, K.B., Shi, J., Mei, R., et al. (2014). Characterizing the genetic basis of transcriptome diversity through RNA-sequencing of 922 individuals. Genome Res. </w:t>
        </w:r>
      </w:hyperlink>
      <w:hyperlink r:id="rId181">
        <w:r>
          <w:rPr>
            <w:i/>
          </w:rPr>
          <w:t>24</w:t>
        </w:r>
      </w:hyperlink>
      <w:hyperlink r:id="rId182">
        <w:r>
          <w:t>, 14–24. 10.1101/gr.155192.113.</w:t>
        </w:r>
      </w:hyperlink>
    </w:p>
    <w:p w14:paraId="724CCD2A" w14:textId="77777777" w:rsidR="00DE2CDE" w:rsidRDefault="00000000">
      <w:pPr>
        <w:widowControl w:val="0"/>
        <w:pBdr>
          <w:top w:val="nil"/>
          <w:left w:val="nil"/>
          <w:bottom w:val="nil"/>
          <w:right w:val="nil"/>
          <w:between w:val="nil"/>
        </w:pBdr>
        <w:spacing w:line="240" w:lineRule="auto"/>
        <w:ind w:left="384" w:hanging="384"/>
      </w:pPr>
      <w:hyperlink r:id="rId183">
        <w:r>
          <w:t>27.</w:t>
        </w:r>
        <w:r>
          <w:tab/>
          <w:t xml:space="preserve">Liu, X., Mefford, J.A., Dahl, A., He, Y., Subramaniam, M., Battle, A., Price, A.L., and Zaitlen, N. (2020). GBAT: a gene-based association test for robust detection of trans-gene regulation. Genome Biol. </w:t>
        </w:r>
      </w:hyperlink>
      <w:hyperlink r:id="rId184">
        <w:r>
          <w:rPr>
            <w:i/>
          </w:rPr>
          <w:t>21</w:t>
        </w:r>
      </w:hyperlink>
      <w:hyperlink r:id="rId185">
        <w:r>
          <w:t>, 211. 10.1186/s13059-020-02120-1.</w:t>
        </w:r>
      </w:hyperlink>
    </w:p>
    <w:p w14:paraId="0767C5BD" w14:textId="77777777" w:rsidR="00DE2CDE" w:rsidRDefault="00000000">
      <w:pPr>
        <w:widowControl w:val="0"/>
        <w:pBdr>
          <w:top w:val="nil"/>
          <w:left w:val="nil"/>
          <w:bottom w:val="nil"/>
          <w:right w:val="nil"/>
          <w:between w:val="nil"/>
        </w:pBdr>
        <w:spacing w:line="240" w:lineRule="auto"/>
        <w:ind w:left="384" w:hanging="384"/>
      </w:pPr>
      <w:hyperlink r:id="rId186">
        <w:r>
          <w:t>28.</w:t>
        </w:r>
        <w:r>
          <w:tab/>
          <w:t xml:space="preserve">Langfelder, P., and Horvath, S. (2008). WGCNA: an R package for weighted correlation network analysis. BMC Bioinformatics </w:t>
        </w:r>
      </w:hyperlink>
      <w:hyperlink r:id="rId187">
        <w:r>
          <w:rPr>
            <w:i/>
          </w:rPr>
          <w:t>9</w:t>
        </w:r>
      </w:hyperlink>
      <w:hyperlink r:id="rId188">
        <w:r>
          <w:t>, 559. 10.1186/1471-2105-9-559.</w:t>
        </w:r>
      </w:hyperlink>
    </w:p>
    <w:p w14:paraId="33199257" w14:textId="77777777" w:rsidR="00DE2CDE" w:rsidRDefault="00000000">
      <w:pPr>
        <w:widowControl w:val="0"/>
        <w:pBdr>
          <w:top w:val="nil"/>
          <w:left w:val="nil"/>
          <w:bottom w:val="nil"/>
          <w:right w:val="nil"/>
          <w:between w:val="nil"/>
        </w:pBdr>
        <w:spacing w:line="240" w:lineRule="auto"/>
        <w:ind w:left="384" w:hanging="384"/>
      </w:pPr>
      <w:hyperlink r:id="rId189">
        <w:r>
          <w:t>29.</w:t>
        </w:r>
        <w:r>
          <w:tab/>
          <w:t xml:space="preserve">Liberzon, A., Birger, C., Thorvaldsdóttir, H., Ghandi, M., Mesirov, J.P., and Tamayo, P. (2015). The Molecular Signatures Database Hallmark Gene Set Collection. Cell Syst. </w:t>
        </w:r>
      </w:hyperlink>
      <w:hyperlink r:id="rId190">
        <w:r>
          <w:rPr>
            <w:i/>
          </w:rPr>
          <w:t>1</w:t>
        </w:r>
      </w:hyperlink>
      <w:hyperlink r:id="rId191">
        <w:r>
          <w:t>, 417–425. 10.1016/j.cels.2015.12.004.</w:t>
        </w:r>
      </w:hyperlink>
    </w:p>
    <w:p w14:paraId="770FF3A9" w14:textId="77777777" w:rsidR="00DE2CDE" w:rsidRDefault="00000000">
      <w:pPr>
        <w:widowControl w:val="0"/>
        <w:pBdr>
          <w:top w:val="nil"/>
          <w:left w:val="nil"/>
          <w:bottom w:val="nil"/>
          <w:right w:val="nil"/>
          <w:between w:val="nil"/>
        </w:pBdr>
        <w:spacing w:line="240" w:lineRule="auto"/>
        <w:ind w:left="384" w:hanging="384"/>
      </w:pPr>
      <w:hyperlink r:id="rId192">
        <w:r>
          <w:t>30.</w:t>
        </w:r>
        <w:r>
          <w:tab/>
          <w:t xml:space="preserve">Kanehisa, M., Furumichi, M., Sato, Y., Ishiguro-Watanabe, M., and Tanabe, M. (2021). KEGG: integrating viruses and cellular organisms. Nucleic Acids Res. </w:t>
        </w:r>
      </w:hyperlink>
      <w:hyperlink r:id="rId193">
        <w:r>
          <w:rPr>
            <w:i/>
          </w:rPr>
          <w:t>49</w:t>
        </w:r>
      </w:hyperlink>
      <w:hyperlink r:id="rId194">
        <w:r>
          <w:t>, D545–D551. 10.1093/nar/gkaa970.</w:t>
        </w:r>
      </w:hyperlink>
    </w:p>
    <w:p w14:paraId="3A03955A" w14:textId="77777777" w:rsidR="00DE2CDE" w:rsidRDefault="00000000">
      <w:pPr>
        <w:widowControl w:val="0"/>
        <w:pBdr>
          <w:top w:val="nil"/>
          <w:left w:val="nil"/>
          <w:bottom w:val="nil"/>
          <w:right w:val="nil"/>
          <w:between w:val="nil"/>
        </w:pBdr>
        <w:spacing w:line="240" w:lineRule="auto"/>
        <w:ind w:left="384" w:hanging="384"/>
      </w:pPr>
      <w:hyperlink r:id="rId195">
        <w:r>
          <w:t>31.</w:t>
        </w:r>
        <w:r>
          <w:tab/>
          <w:t xml:space="preserve">Szklarczyk, D., Gable, A.L., Nastou, K.C., Lyon, D., Kirsch, R., Pyysalo, S., Doncheva, N.T., Legeay, M., Fang, T., Bork, P., et al. (2021). The STRING database in 2021: customizable protein–protein networks, and functional characterization of user-uploaded gene/measurement sets. Nucleic Acids Res. </w:t>
        </w:r>
      </w:hyperlink>
      <w:hyperlink r:id="rId196">
        <w:r>
          <w:rPr>
            <w:i/>
          </w:rPr>
          <w:t>49</w:t>
        </w:r>
      </w:hyperlink>
      <w:hyperlink r:id="rId197">
        <w:r>
          <w:t>, D605–D612. 10.1093/nar/gkaa1074.</w:t>
        </w:r>
      </w:hyperlink>
    </w:p>
    <w:p w14:paraId="36857A62" w14:textId="77777777" w:rsidR="00DE2CDE" w:rsidRDefault="00000000">
      <w:pPr>
        <w:widowControl w:val="0"/>
        <w:pBdr>
          <w:top w:val="nil"/>
          <w:left w:val="nil"/>
          <w:bottom w:val="nil"/>
          <w:right w:val="nil"/>
          <w:between w:val="nil"/>
        </w:pBdr>
        <w:spacing w:line="240" w:lineRule="auto"/>
        <w:ind w:left="384" w:hanging="384"/>
      </w:pPr>
      <w:hyperlink r:id="rId198">
        <w:r>
          <w:t>32.</w:t>
        </w:r>
        <w:r>
          <w:tab/>
          <w:t xml:space="preserve">Giambartolomei, C., Vukcevic, D., Schadt, E.E., Franke, L., Hingorani, A.D., Wallace, C., and Plagnol, V. (2014). Bayesian Test for Colocalisation between Pairs of Genetic Association Studies Using Summary Statistics. PLOS Genet. </w:t>
        </w:r>
      </w:hyperlink>
      <w:hyperlink r:id="rId199">
        <w:r>
          <w:rPr>
            <w:i/>
          </w:rPr>
          <w:t>10</w:t>
        </w:r>
      </w:hyperlink>
      <w:hyperlink r:id="rId200">
        <w:r>
          <w:t>, e1004383. 10.1371/journal.pgen.1004383.</w:t>
        </w:r>
      </w:hyperlink>
    </w:p>
    <w:p w14:paraId="39B4CF87" w14:textId="77777777" w:rsidR="00DE2CDE" w:rsidRDefault="00000000">
      <w:pPr>
        <w:widowControl w:val="0"/>
        <w:pBdr>
          <w:top w:val="nil"/>
          <w:left w:val="nil"/>
          <w:bottom w:val="nil"/>
          <w:right w:val="nil"/>
          <w:between w:val="nil"/>
        </w:pBdr>
        <w:spacing w:line="240" w:lineRule="auto"/>
        <w:ind w:left="384" w:hanging="384"/>
      </w:pPr>
      <w:hyperlink r:id="rId201">
        <w:r>
          <w:t>33.</w:t>
        </w:r>
        <w:r>
          <w:tab/>
          <w:t xml:space="preserve">Mu, Z., Wei, W., Fair, B., Miao, J., Zhu, P., and Li, Y.I. (2021). The impact of cell type and context-dependent regulatory variants on human immune traits. Genome Biol. </w:t>
        </w:r>
      </w:hyperlink>
      <w:hyperlink r:id="rId202">
        <w:r>
          <w:rPr>
            <w:i/>
          </w:rPr>
          <w:t>22</w:t>
        </w:r>
      </w:hyperlink>
      <w:hyperlink r:id="rId203">
        <w:r>
          <w:t>, 122. 10.1186/s13059-021-02334-x.</w:t>
        </w:r>
      </w:hyperlink>
    </w:p>
    <w:p w14:paraId="688A4449" w14:textId="77777777" w:rsidR="00DE2CDE" w:rsidRDefault="00000000">
      <w:pPr>
        <w:widowControl w:val="0"/>
        <w:pBdr>
          <w:top w:val="nil"/>
          <w:left w:val="nil"/>
          <w:bottom w:val="nil"/>
          <w:right w:val="nil"/>
          <w:between w:val="nil"/>
        </w:pBdr>
        <w:spacing w:line="240" w:lineRule="auto"/>
        <w:ind w:left="384" w:hanging="384"/>
      </w:pPr>
      <w:hyperlink r:id="rId204">
        <w:r>
          <w:t>34.</w:t>
        </w:r>
        <w:r>
          <w:tab/>
          <w:t xml:space="preserve">Westra, H.-J., Peters, M.J., Esko, T., Yaghootkar, H., Schurmann, C., Kettunen, J., Christiansen, M.W., Fairfax, B.P., Schramm, K., Powell, J.E., et al. (2013). Systematic identification of trans eQTLs as putative drivers of known disease associations. Nat. Genet. </w:t>
        </w:r>
      </w:hyperlink>
      <w:hyperlink r:id="rId205">
        <w:r>
          <w:rPr>
            <w:i/>
          </w:rPr>
          <w:t>45</w:t>
        </w:r>
      </w:hyperlink>
      <w:hyperlink r:id="rId206">
        <w:r>
          <w:t>, 1238–1243. 10.1038/ng.2756.</w:t>
        </w:r>
      </w:hyperlink>
    </w:p>
    <w:p w14:paraId="1B6A80FC" w14:textId="77777777" w:rsidR="00DE2CDE" w:rsidRDefault="00000000">
      <w:pPr>
        <w:widowControl w:val="0"/>
        <w:pBdr>
          <w:top w:val="nil"/>
          <w:left w:val="nil"/>
          <w:bottom w:val="nil"/>
          <w:right w:val="nil"/>
          <w:between w:val="nil"/>
        </w:pBdr>
        <w:spacing w:line="240" w:lineRule="auto"/>
        <w:ind w:left="384" w:hanging="384"/>
      </w:pPr>
      <w:hyperlink r:id="rId207">
        <w:r>
          <w:t>35.</w:t>
        </w:r>
        <w:r>
          <w:tab/>
          <w:t xml:space="preserve">Luijk, R., Dekkers, K.F., van Iterson, M., Arindrarto, W., Claringbould, A., Hop, P., Boomsma, D.I., van Duijn, C.M., van Greevenbroek, M.M.J., Veldink, J.H., et al. (2018). Genome-wide identification of directed gene networks using large-scale population genomics data. Nat. Commun. </w:t>
        </w:r>
      </w:hyperlink>
      <w:hyperlink r:id="rId208">
        <w:r>
          <w:rPr>
            <w:i/>
          </w:rPr>
          <w:t>9</w:t>
        </w:r>
      </w:hyperlink>
      <w:hyperlink r:id="rId209">
        <w:r>
          <w:t>, 3097. 10.1038/s41467-018-05452-6.</w:t>
        </w:r>
      </w:hyperlink>
    </w:p>
    <w:p w14:paraId="5FE2FC91" w14:textId="77777777" w:rsidR="00DE2CDE" w:rsidRDefault="00000000">
      <w:pPr>
        <w:widowControl w:val="0"/>
        <w:pBdr>
          <w:top w:val="nil"/>
          <w:left w:val="nil"/>
          <w:bottom w:val="nil"/>
          <w:right w:val="nil"/>
          <w:between w:val="nil"/>
        </w:pBdr>
        <w:spacing w:line="240" w:lineRule="auto"/>
        <w:ind w:left="384" w:hanging="384"/>
      </w:pPr>
      <w:hyperlink r:id="rId210">
        <w:r>
          <w:t>36.</w:t>
        </w:r>
        <w:r>
          <w:tab/>
          <w:t>Morris, J.A., Daniloski, Z., Domingo, J., Barry, T., Ziosi, M., Glinos, D.A., Hao, S., Mimitou, E.P., Smibert, P., Roeder, K., et al. (2021). Discovery of target genes and pathways of blood trait loci using pooled CRISPR screens and single cell RNA sequencing. 2021.04.07.438882. 10.1101/2021.04.07.438882.</w:t>
        </w:r>
      </w:hyperlink>
    </w:p>
    <w:p w14:paraId="22002949" w14:textId="77777777" w:rsidR="00DE2CDE" w:rsidRDefault="00000000">
      <w:pPr>
        <w:widowControl w:val="0"/>
        <w:pBdr>
          <w:top w:val="nil"/>
          <w:left w:val="nil"/>
          <w:bottom w:val="nil"/>
          <w:right w:val="nil"/>
          <w:between w:val="nil"/>
        </w:pBdr>
        <w:spacing w:line="240" w:lineRule="auto"/>
        <w:ind w:left="384" w:hanging="384"/>
      </w:pPr>
      <w:hyperlink r:id="rId211">
        <w:r>
          <w:t>37.</w:t>
        </w:r>
        <w:r>
          <w:tab/>
          <w:t xml:space="preserve">Raudvere, U., Kolberg, L., Kuzmin, I., Arak, T., Adler, P., Peterson, H., and Vilo, J. (2019). g:Profiler: a web server for functional enrichment analysis and conversions of gene lists (2019 update). Nucleic Acids Res. </w:t>
        </w:r>
      </w:hyperlink>
      <w:hyperlink r:id="rId212">
        <w:r>
          <w:rPr>
            <w:i/>
          </w:rPr>
          <w:t>47</w:t>
        </w:r>
      </w:hyperlink>
      <w:hyperlink r:id="rId213">
        <w:r>
          <w:t>, W191–W198. 10.1093/nar/gkz369.</w:t>
        </w:r>
      </w:hyperlink>
    </w:p>
    <w:p w14:paraId="7B3C8A7E" w14:textId="77777777" w:rsidR="00DE2CDE" w:rsidRDefault="00000000">
      <w:pPr>
        <w:widowControl w:val="0"/>
        <w:pBdr>
          <w:top w:val="nil"/>
          <w:left w:val="nil"/>
          <w:bottom w:val="nil"/>
          <w:right w:val="nil"/>
          <w:between w:val="nil"/>
        </w:pBdr>
        <w:spacing w:line="240" w:lineRule="auto"/>
        <w:ind w:left="384" w:hanging="384"/>
      </w:pPr>
      <w:hyperlink r:id="rId214">
        <w:r>
          <w:t>38.</w:t>
        </w:r>
        <w:r>
          <w:tab/>
          <w:t xml:space="preserve">Schwickert, T.A., Tagoh, H., Gültekin, S., Dakic, A., Axelsson, E., Minnich, M., Ebert, A., Werner, B., Roth, M., Cimmino, L., et al. (2014). Stage-specific control of early B cell development by the transcription factor Ikaros. Nat. Immunol. </w:t>
        </w:r>
      </w:hyperlink>
      <w:hyperlink r:id="rId215">
        <w:r>
          <w:rPr>
            <w:i/>
          </w:rPr>
          <w:t>15</w:t>
        </w:r>
      </w:hyperlink>
      <w:hyperlink r:id="rId216">
        <w:r>
          <w:t>, 283–293. 10.1038/ni.2828.</w:t>
        </w:r>
      </w:hyperlink>
    </w:p>
    <w:p w14:paraId="5C99EDB8" w14:textId="77777777" w:rsidR="00DE2CDE" w:rsidRDefault="00000000">
      <w:pPr>
        <w:widowControl w:val="0"/>
        <w:pBdr>
          <w:top w:val="nil"/>
          <w:left w:val="nil"/>
          <w:bottom w:val="nil"/>
          <w:right w:val="nil"/>
          <w:between w:val="nil"/>
        </w:pBdr>
        <w:spacing w:line="240" w:lineRule="auto"/>
        <w:ind w:left="384" w:hanging="384"/>
      </w:pPr>
      <w:hyperlink r:id="rId217">
        <w:r>
          <w:t>39.</w:t>
        </w:r>
        <w:r>
          <w:tab/>
          <w:t xml:space="preserve">Lemarié, M., Bottardi, S., Mavoungou, L., Pak, H., and Milot, E. (2021). IKAROS is required for the measured response of NOTCH target genes upon external NOTCH signaling. PLOS Genet. </w:t>
        </w:r>
      </w:hyperlink>
      <w:hyperlink r:id="rId218">
        <w:r>
          <w:rPr>
            <w:i/>
          </w:rPr>
          <w:t>17</w:t>
        </w:r>
      </w:hyperlink>
      <w:hyperlink r:id="rId219">
        <w:r>
          <w:t>, e1009478. 10.1371/journal.pgen.1009478.</w:t>
        </w:r>
      </w:hyperlink>
    </w:p>
    <w:p w14:paraId="1841A60E" w14:textId="77777777" w:rsidR="00DE2CDE" w:rsidRDefault="00000000">
      <w:pPr>
        <w:widowControl w:val="0"/>
        <w:pBdr>
          <w:top w:val="nil"/>
          <w:left w:val="nil"/>
          <w:bottom w:val="nil"/>
          <w:right w:val="nil"/>
          <w:between w:val="nil"/>
        </w:pBdr>
        <w:spacing w:line="240" w:lineRule="auto"/>
        <w:ind w:left="384" w:hanging="384"/>
      </w:pPr>
      <w:hyperlink r:id="rId220">
        <w:r>
          <w:t>40.</w:t>
        </w:r>
        <w:r>
          <w:tab/>
          <w:t xml:space="preserve">Cui, J., Zhu, L., Xia, X., Wang, H.Y., Legras, X., Hong, J., Ji, J., Shen, P., Zheng, S., Chen, Z.J., et al. (2010). NLRC5 Negatively Regulates the NF-κB and Type I Interferon Signaling Pathways. Cell </w:t>
        </w:r>
      </w:hyperlink>
      <w:hyperlink r:id="rId221">
        <w:r>
          <w:rPr>
            <w:i/>
          </w:rPr>
          <w:t>141</w:t>
        </w:r>
      </w:hyperlink>
      <w:hyperlink r:id="rId222">
        <w:r>
          <w:t>, 483–496. 10.1016/j.cell.2010.03.040.</w:t>
        </w:r>
      </w:hyperlink>
    </w:p>
    <w:p w14:paraId="298C2461" w14:textId="77777777" w:rsidR="00DE2CDE" w:rsidRDefault="00000000">
      <w:pPr>
        <w:widowControl w:val="0"/>
        <w:pBdr>
          <w:top w:val="nil"/>
          <w:left w:val="nil"/>
          <w:bottom w:val="nil"/>
          <w:right w:val="nil"/>
          <w:between w:val="nil"/>
        </w:pBdr>
        <w:spacing w:line="240" w:lineRule="auto"/>
        <w:ind w:left="384" w:hanging="384"/>
      </w:pPr>
      <w:hyperlink r:id="rId223">
        <w:r>
          <w:t>41.</w:t>
        </w:r>
        <w:r>
          <w:tab/>
          <w:t xml:space="preserve">Kobayashi, K.S., and van den Elsen, P.J. (2012). NLRC5: a key regulator of MHC class I-dependent immune responses. Nat. Rev. Immunol. </w:t>
        </w:r>
      </w:hyperlink>
      <w:hyperlink r:id="rId224">
        <w:r>
          <w:rPr>
            <w:i/>
          </w:rPr>
          <w:t>12</w:t>
        </w:r>
      </w:hyperlink>
      <w:hyperlink r:id="rId225">
        <w:r>
          <w:t>, 813–820. 10.1038/nri3339.</w:t>
        </w:r>
      </w:hyperlink>
    </w:p>
    <w:p w14:paraId="005C670C" w14:textId="77777777" w:rsidR="00DE2CDE" w:rsidRDefault="00000000">
      <w:pPr>
        <w:widowControl w:val="0"/>
        <w:pBdr>
          <w:top w:val="nil"/>
          <w:left w:val="nil"/>
          <w:bottom w:val="nil"/>
          <w:right w:val="nil"/>
          <w:between w:val="nil"/>
        </w:pBdr>
        <w:spacing w:line="240" w:lineRule="auto"/>
        <w:ind w:left="384" w:hanging="384"/>
      </w:pPr>
      <w:hyperlink r:id="rId226">
        <w:r>
          <w:t>42.</w:t>
        </w:r>
        <w:r>
          <w:tab/>
          <w:t xml:space="preserve">Bycroft, C., Freeman, C., Petkova, D., Band, G., Elliott, L.T., Sharp, K., Motyer, A., Vukcevic, D., Delaneau, O., O’Connell, J., et al. (2018). The UK Biobank resource with deep phenotyping and genomic data. Nature </w:t>
        </w:r>
      </w:hyperlink>
      <w:hyperlink r:id="rId227">
        <w:r>
          <w:rPr>
            <w:i/>
          </w:rPr>
          <w:t>562</w:t>
        </w:r>
      </w:hyperlink>
      <w:hyperlink r:id="rId228">
        <w:r>
          <w:t>, 203–209. 10.1038/s41586-018-0579-z.</w:t>
        </w:r>
      </w:hyperlink>
    </w:p>
    <w:p w14:paraId="73E9E79C" w14:textId="77777777" w:rsidR="00DE2CDE" w:rsidRDefault="00000000">
      <w:pPr>
        <w:widowControl w:val="0"/>
        <w:pBdr>
          <w:top w:val="nil"/>
          <w:left w:val="nil"/>
          <w:bottom w:val="nil"/>
          <w:right w:val="nil"/>
          <w:between w:val="nil"/>
        </w:pBdr>
        <w:spacing w:line="240" w:lineRule="auto"/>
        <w:ind w:left="384" w:hanging="384"/>
      </w:pPr>
      <w:hyperlink r:id="rId229">
        <w:r>
          <w:t>43.</w:t>
        </w:r>
        <w:r>
          <w:tab/>
          <w:t xml:space="preserve">Liu, J.Z., van Sommeren, S., Huang, H., Ng, S.C., Alberts, R., Takahashi, A., Ripke, S., Lee, J.C., Jostins, L., Shah, T., et al. (2015). Association analyses identify 38 susceptibility loci for inflammatory bowel disease and highlight shared genetic risk across populations. Nat. Genet. </w:t>
        </w:r>
      </w:hyperlink>
      <w:hyperlink r:id="rId230">
        <w:r>
          <w:rPr>
            <w:i/>
          </w:rPr>
          <w:t>47</w:t>
        </w:r>
      </w:hyperlink>
      <w:hyperlink r:id="rId231">
        <w:r>
          <w:t>, 979–986. 10.1038/ng.3359.</w:t>
        </w:r>
      </w:hyperlink>
    </w:p>
    <w:p w14:paraId="6F674AF9" w14:textId="77777777" w:rsidR="00DE2CDE" w:rsidRDefault="00000000">
      <w:pPr>
        <w:widowControl w:val="0"/>
        <w:pBdr>
          <w:top w:val="nil"/>
          <w:left w:val="nil"/>
          <w:bottom w:val="nil"/>
          <w:right w:val="nil"/>
          <w:between w:val="nil"/>
        </w:pBdr>
        <w:spacing w:line="240" w:lineRule="auto"/>
        <w:ind w:left="384" w:hanging="384"/>
      </w:pPr>
      <w:hyperlink r:id="rId232">
        <w:r>
          <w:t>44.</w:t>
        </w:r>
        <w:r>
          <w:tab/>
          <w:t xml:space="preserve">de Lange, K.M., Moutsianas, L., Lee, J.C., Lamb, C.A., Luo, Y., Kennedy, N.A., Jostins, L., Rice, D.L., Gutierrez-Achury, J., Ji, S.-G., et al. (2017). Genome-wide association study implicates immune activation of multiple integrin genes in inflammatory bowel disease. Nat. Genet. </w:t>
        </w:r>
      </w:hyperlink>
      <w:hyperlink r:id="rId233">
        <w:r>
          <w:rPr>
            <w:i/>
          </w:rPr>
          <w:t>49</w:t>
        </w:r>
      </w:hyperlink>
      <w:hyperlink r:id="rId234">
        <w:r>
          <w:t>, 256–261. 10.1038/ng.3760.</w:t>
        </w:r>
      </w:hyperlink>
    </w:p>
    <w:p w14:paraId="68B4320F" w14:textId="77777777" w:rsidR="00DE2CDE" w:rsidRDefault="00000000">
      <w:pPr>
        <w:widowControl w:val="0"/>
        <w:pBdr>
          <w:top w:val="nil"/>
          <w:left w:val="nil"/>
          <w:bottom w:val="nil"/>
          <w:right w:val="nil"/>
          <w:between w:val="nil"/>
        </w:pBdr>
        <w:spacing w:line="240" w:lineRule="auto"/>
        <w:ind w:left="384" w:hanging="384"/>
      </w:pPr>
      <w:hyperlink r:id="rId235">
        <w:r>
          <w:t>45.</w:t>
        </w:r>
        <w:r>
          <w:tab/>
          <w:t xml:space="preserve">Ferreira, M.A., Vonk, J.M., Baurecht, H., Marenholz, I., Tian, C., Hoffman, J.D., Helmer, Q., Tillander, A., Ullemar, V., van Dongen, J., et al. (2017). Shared genetic origin of asthma, hay fever and eczema elucidates allergic disease biology. Nat. Genet. </w:t>
        </w:r>
      </w:hyperlink>
      <w:hyperlink r:id="rId236">
        <w:r>
          <w:rPr>
            <w:i/>
          </w:rPr>
          <w:t>49</w:t>
        </w:r>
      </w:hyperlink>
      <w:hyperlink r:id="rId237">
        <w:r>
          <w:t>, 1752–1757. 10.1038/ng.3985.</w:t>
        </w:r>
      </w:hyperlink>
    </w:p>
    <w:p w14:paraId="63F1502D" w14:textId="77777777" w:rsidR="00DE2CDE" w:rsidRDefault="00000000">
      <w:pPr>
        <w:widowControl w:val="0"/>
        <w:pBdr>
          <w:top w:val="nil"/>
          <w:left w:val="nil"/>
          <w:bottom w:val="nil"/>
          <w:right w:val="nil"/>
          <w:between w:val="nil"/>
        </w:pBdr>
        <w:spacing w:line="240" w:lineRule="auto"/>
        <w:ind w:left="384" w:hanging="384"/>
      </w:pPr>
      <w:hyperlink r:id="rId238">
        <w:r>
          <w:t>46.</w:t>
        </w:r>
        <w:r>
          <w:tab/>
          <w:t xml:space="preserve">Loh, P.-R., Kichaev, G., Gazal, S., Schoech, A.P., and Price, A.L. (2018). Mixed-model association for biobank-scale datasets. Nat. Genet. </w:t>
        </w:r>
      </w:hyperlink>
      <w:hyperlink r:id="rId239">
        <w:r>
          <w:rPr>
            <w:i/>
          </w:rPr>
          <w:t>50</w:t>
        </w:r>
      </w:hyperlink>
      <w:hyperlink r:id="rId240">
        <w:r>
          <w:t>, 906–908. 10.1038/s41588-018-0144-6.</w:t>
        </w:r>
      </w:hyperlink>
    </w:p>
    <w:p w14:paraId="3B9DA950" w14:textId="77777777" w:rsidR="00DE2CDE" w:rsidRDefault="00000000">
      <w:pPr>
        <w:widowControl w:val="0"/>
        <w:pBdr>
          <w:top w:val="nil"/>
          <w:left w:val="nil"/>
          <w:bottom w:val="nil"/>
          <w:right w:val="nil"/>
          <w:between w:val="nil"/>
        </w:pBdr>
        <w:spacing w:line="240" w:lineRule="auto"/>
        <w:ind w:left="384" w:hanging="384"/>
      </w:pPr>
      <w:hyperlink r:id="rId241">
        <w:r>
          <w:t>47.</w:t>
        </w:r>
        <w:r>
          <w:tab/>
          <w:t xml:space="preserve">INTERNATIONAL MULTIPLE SCLEROSIS GENETICS CONSORTIUM (2019). Multiple sclerosis genomic map implicates peripheral immune cells and microglia in susceptibility. Science </w:t>
        </w:r>
      </w:hyperlink>
      <w:hyperlink r:id="rId242">
        <w:r>
          <w:rPr>
            <w:i/>
          </w:rPr>
          <w:t>365</w:t>
        </w:r>
      </w:hyperlink>
      <w:hyperlink r:id="rId243">
        <w:r>
          <w:t>, eaav7188. 10.1126/science.aav7188.</w:t>
        </w:r>
      </w:hyperlink>
    </w:p>
    <w:p w14:paraId="2A75292C" w14:textId="77777777" w:rsidR="00DE2CDE" w:rsidRDefault="00000000">
      <w:pPr>
        <w:widowControl w:val="0"/>
        <w:pBdr>
          <w:top w:val="nil"/>
          <w:left w:val="nil"/>
          <w:bottom w:val="nil"/>
          <w:right w:val="nil"/>
          <w:between w:val="nil"/>
        </w:pBdr>
        <w:spacing w:line="240" w:lineRule="auto"/>
        <w:ind w:left="384" w:hanging="384"/>
      </w:pPr>
      <w:hyperlink r:id="rId244">
        <w:r>
          <w:t>48.</w:t>
        </w:r>
        <w:r>
          <w:tab/>
          <w:t xml:space="preserve">Ferreira, M.A.R., Mathur, R., Vonk, J.M., Szwajda, A., Brumpton, B., Granell, R., Brew, B.K., Ullemar, V., Lu, Y., Jiang, Y., et al. (2019). Genetic Architectures of Childhood- and Adult-Onset Asthma Are Partly Distinct. Am. J. Hum. Genet. </w:t>
        </w:r>
      </w:hyperlink>
      <w:hyperlink r:id="rId245">
        <w:r>
          <w:rPr>
            <w:i/>
          </w:rPr>
          <w:t>104</w:t>
        </w:r>
      </w:hyperlink>
      <w:hyperlink r:id="rId246">
        <w:r>
          <w:t>, 665–684. 10.1016/j.ajhg.2019.02.022.</w:t>
        </w:r>
      </w:hyperlink>
    </w:p>
    <w:p w14:paraId="6BB93EEB" w14:textId="77777777" w:rsidR="00DE2CDE" w:rsidRDefault="00000000">
      <w:pPr>
        <w:widowControl w:val="0"/>
        <w:pBdr>
          <w:top w:val="nil"/>
          <w:left w:val="nil"/>
          <w:bottom w:val="nil"/>
          <w:right w:val="nil"/>
          <w:between w:val="nil"/>
        </w:pBdr>
        <w:spacing w:line="240" w:lineRule="auto"/>
        <w:ind w:left="384" w:hanging="384"/>
      </w:pPr>
      <w:hyperlink r:id="rId247">
        <w:r>
          <w:t>49.</w:t>
        </w:r>
        <w:r>
          <w:tab/>
          <w:t xml:space="preserve">Bentham, J., Morris, D.L., Graham, D.S.C., Pinder, C.L., Tombleson, P., Behrens, T.W., Martín, J., Fairfax, B.P., Knight, J.C., Chen, L., et al. (2015). Genetic association analyses implicate aberrant regulation of innate and adaptive immunity genes in the pathogenesis of systemic lupus erythematosus. Nat. Genet. </w:t>
        </w:r>
      </w:hyperlink>
      <w:hyperlink r:id="rId248">
        <w:r>
          <w:rPr>
            <w:i/>
          </w:rPr>
          <w:t>47</w:t>
        </w:r>
      </w:hyperlink>
      <w:hyperlink r:id="rId249">
        <w:r>
          <w:t>, 1457–1464. 10.1038/ng.3434.</w:t>
        </w:r>
      </w:hyperlink>
    </w:p>
    <w:p w14:paraId="3CAFB794" w14:textId="77777777" w:rsidR="00DE2CDE" w:rsidRDefault="00000000">
      <w:pPr>
        <w:widowControl w:val="0"/>
        <w:pBdr>
          <w:top w:val="nil"/>
          <w:left w:val="nil"/>
          <w:bottom w:val="nil"/>
          <w:right w:val="nil"/>
          <w:between w:val="nil"/>
        </w:pBdr>
        <w:spacing w:line="240" w:lineRule="auto"/>
        <w:ind w:left="384" w:hanging="384"/>
      </w:pPr>
      <w:hyperlink r:id="rId250">
        <w:r>
          <w:t>50.</w:t>
        </w:r>
        <w:r>
          <w:tab/>
          <w:t xml:space="preserve">Zou, S., Teixeira, A.M., Kostadima, M., Astle, W.J., Radhakrishnan, A., Simon, L.M., Truman, L., Fang, J.S., Hwa, J., Zhang, P., et al. (2017). SNP in human ARHGEF3 promoter is associated with DNase hypersensitivity, transcript level and platelet function, and Arhgef3 KO mice have increased mean platelet volume. PLOS ONE </w:t>
        </w:r>
      </w:hyperlink>
      <w:hyperlink r:id="rId251">
        <w:r>
          <w:rPr>
            <w:i/>
          </w:rPr>
          <w:t>12</w:t>
        </w:r>
      </w:hyperlink>
      <w:hyperlink r:id="rId252">
        <w:r>
          <w:t>, e0178095. 10.1371/journal.pone.0178095.</w:t>
        </w:r>
      </w:hyperlink>
    </w:p>
    <w:p w14:paraId="3C228C7F" w14:textId="77777777" w:rsidR="00DE2CDE" w:rsidRDefault="00000000">
      <w:pPr>
        <w:widowControl w:val="0"/>
        <w:pBdr>
          <w:top w:val="nil"/>
          <w:left w:val="nil"/>
          <w:bottom w:val="nil"/>
          <w:right w:val="nil"/>
          <w:between w:val="nil"/>
        </w:pBdr>
        <w:spacing w:line="240" w:lineRule="auto"/>
        <w:ind w:left="384" w:hanging="384"/>
      </w:pPr>
      <w:hyperlink r:id="rId253">
        <w:r>
          <w:t>51.</w:t>
        </w:r>
        <w:r>
          <w:tab/>
          <w:t xml:space="preserve">Finucane, H.K., Bulik-Sullivan, B., Gusev, A., Trynka, G., Reshef, Y., Loh, P.-R., Anttila, V., Xu, H., Zang, C., Farh, K., et al. (2015). Partitioning heritability by functional annotation using genome-wide association summary statistics. Nat. Genet. </w:t>
        </w:r>
      </w:hyperlink>
      <w:hyperlink r:id="rId254">
        <w:r>
          <w:rPr>
            <w:i/>
          </w:rPr>
          <w:t>47</w:t>
        </w:r>
      </w:hyperlink>
      <w:hyperlink r:id="rId255">
        <w:r>
          <w:t>, 1228–1235. 10.1038/ng.3404.</w:t>
        </w:r>
      </w:hyperlink>
    </w:p>
    <w:p w14:paraId="1474B4EA" w14:textId="77777777" w:rsidR="00DE2CDE" w:rsidRDefault="00000000">
      <w:pPr>
        <w:widowControl w:val="0"/>
        <w:pBdr>
          <w:top w:val="nil"/>
          <w:left w:val="nil"/>
          <w:bottom w:val="nil"/>
          <w:right w:val="nil"/>
          <w:between w:val="nil"/>
        </w:pBdr>
        <w:spacing w:line="240" w:lineRule="auto"/>
        <w:ind w:left="384" w:hanging="384"/>
      </w:pPr>
      <w:hyperlink r:id="rId256">
        <w:r>
          <w:t>52.</w:t>
        </w:r>
        <w:r>
          <w:tab/>
          <w:t xml:space="preserve">Artavanis-Tsakonas, S., Rand, M.D., and Lake, R.J. (1999). Notch Signaling: Cell Fate Control and Signal Integration in Development. Science </w:t>
        </w:r>
      </w:hyperlink>
      <w:hyperlink r:id="rId257">
        <w:r>
          <w:rPr>
            <w:i/>
          </w:rPr>
          <w:t>284</w:t>
        </w:r>
      </w:hyperlink>
      <w:hyperlink r:id="rId258">
        <w:r>
          <w:t>, 770–776. 10.1126/science.284.5415.770.</w:t>
        </w:r>
      </w:hyperlink>
    </w:p>
    <w:p w14:paraId="5C4D2124" w14:textId="77777777" w:rsidR="00DE2CDE" w:rsidRDefault="00000000">
      <w:pPr>
        <w:widowControl w:val="0"/>
        <w:pBdr>
          <w:top w:val="nil"/>
          <w:left w:val="nil"/>
          <w:bottom w:val="nil"/>
          <w:right w:val="nil"/>
          <w:between w:val="nil"/>
        </w:pBdr>
        <w:spacing w:line="240" w:lineRule="auto"/>
        <w:ind w:left="384" w:hanging="384"/>
      </w:pPr>
      <w:hyperlink r:id="rId259">
        <w:r>
          <w:t>53.</w:t>
        </w:r>
        <w:r>
          <w:tab/>
          <w:t xml:space="preserve">Liu, B., Gloudemans, M.J., Rao, A.S., Ingelsson, E., and Montgomery, S.B. (2019). Abundant associations with gene expression complicate GWAS follow-up. Nat. Genet. </w:t>
        </w:r>
      </w:hyperlink>
      <w:hyperlink r:id="rId260">
        <w:r>
          <w:rPr>
            <w:i/>
          </w:rPr>
          <w:t>51</w:t>
        </w:r>
      </w:hyperlink>
      <w:hyperlink r:id="rId261">
        <w:r>
          <w:t>, 768–769. 10.1038/s41588-019-0404-0.</w:t>
        </w:r>
      </w:hyperlink>
    </w:p>
    <w:p w14:paraId="15FD3B65" w14:textId="77777777" w:rsidR="00DE2CDE" w:rsidRDefault="00000000">
      <w:pPr>
        <w:jc w:val="both"/>
      </w:pPr>
      <w:r>
        <w:br w:type="page"/>
      </w:r>
    </w:p>
    <w:p w14:paraId="2EDC58F3" w14:textId="77777777" w:rsidR="00DE2CDE" w:rsidRDefault="00000000">
      <w:pPr>
        <w:pStyle w:val="Heading1"/>
        <w:jc w:val="both"/>
      </w:pPr>
      <w:bookmarkStart w:id="22" w:name="_2bn6wsx" w:colFirst="0" w:colLast="0"/>
      <w:bookmarkEnd w:id="22"/>
      <w:r>
        <w:t>Acknowledgements</w:t>
      </w:r>
    </w:p>
    <w:p w14:paraId="564D3226" w14:textId="77777777" w:rsidR="00DE2CDE" w:rsidRDefault="00000000">
      <w:pPr>
        <w:jc w:val="both"/>
        <w:rPr>
          <w:rFonts w:ascii="Nunito" w:eastAsia="Nunito" w:hAnsi="Nunito" w:cs="Nunito"/>
          <w:color w:val="212529"/>
          <w:sz w:val="78"/>
          <w:szCs w:val="78"/>
        </w:rPr>
      </w:pPr>
      <w:r>
        <w:t xml:space="preserve">We thank Y. Li, A. Dahl, Y. Gilad and Z. Mu for useful scientific discussions. We thank N. Gonzales, C. Jones and S. Sumner for editing the manuscript. This work was funded through the NIGMS Maximizing Investigators' Research Award (R35GM138084). </w:t>
      </w:r>
    </w:p>
    <w:p w14:paraId="6A89CDC5" w14:textId="77777777" w:rsidR="00DE2CDE" w:rsidRDefault="00DE2CDE">
      <w:pPr>
        <w:jc w:val="both"/>
      </w:pPr>
    </w:p>
    <w:p w14:paraId="43A7E2F8" w14:textId="77777777" w:rsidR="00DE2CDE" w:rsidRDefault="00DE2CDE"/>
    <w:p w14:paraId="1ABB2D39" w14:textId="77777777" w:rsidR="00DE2CDE" w:rsidRDefault="00DE2CDE"/>
    <w:p w14:paraId="19C2911E" w14:textId="77777777" w:rsidR="00DE2CDE" w:rsidRDefault="00000000">
      <w:pPr>
        <w:jc w:val="both"/>
      </w:pPr>
      <w:r>
        <w:br w:type="page"/>
      </w:r>
    </w:p>
    <w:p w14:paraId="5845E238" w14:textId="77777777" w:rsidR="00DE2CDE" w:rsidRDefault="00000000">
      <w:pPr>
        <w:pStyle w:val="Heading1"/>
        <w:jc w:val="both"/>
      </w:pPr>
      <w:bookmarkStart w:id="23" w:name="_qsh70q" w:colFirst="0" w:colLast="0"/>
      <w:bookmarkEnd w:id="23"/>
      <w:r>
        <w:t>Supplementary information</w:t>
      </w:r>
    </w:p>
    <w:p w14:paraId="0C0472A3" w14:textId="77777777" w:rsidR="00DE2CDE" w:rsidRDefault="00000000">
      <w:pPr>
        <w:jc w:val="both"/>
      </w:pPr>
      <w:r>
        <w:t>Supplementary Text and Figures</w:t>
      </w:r>
    </w:p>
    <w:p w14:paraId="21AE8719" w14:textId="77777777" w:rsidR="00DE2CDE" w:rsidRDefault="00000000">
      <w:pPr>
        <w:jc w:val="both"/>
      </w:pPr>
      <w:r>
        <w:t xml:space="preserve">Supplementary Figures 1-18, Supplementary Tables 1-17 and Supplementary Note. </w:t>
      </w:r>
    </w:p>
    <w:p w14:paraId="3F81802E" w14:textId="77777777" w:rsidR="00DE2CDE" w:rsidRDefault="00DE2CDE"/>
    <w:p w14:paraId="661F4418" w14:textId="77777777" w:rsidR="00DE2CDE" w:rsidRDefault="00DE2CDE"/>
    <w:sectPr w:rsidR="00DE2CDE" w:rsidSect="00505741">
      <w:footerReference w:type="default" r:id="rId262"/>
      <w:footerReference w:type="first" r:id="rId263"/>
      <w:pgSz w:w="12240" w:h="15840"/>
      <w:pgMar w:top="1440" w:right="1440" w:bottom="1440" w:left="1440" w:header="720" w:footer="720" w:gutter="0"/>
      <w:lnNumType w:countBy="1" w:restart="continuou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9C35D" w14:textId="77777777" w:rsidR="009240D2" w:rsidRDefault="009240D2">
      <w:pPr>
        <w:spacing w:line="240" w:lineRule="auto"/>
      </w:pPr>
      <w:r>
        <w:separator/>
      </w:r>
    </w:p>
  </w:endnote>
  <w:endnote w:type="continuationSeparator" w:id="0">
    <w:p w14:paraId="42F14B43" w14:textId="77777777" w:rsidR="009240D2" w:rsidRDefault="00924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unito">
    <w:panose1 w:val="00000000000000000000"/>
    <w:charset w:val="4D"/>
    <w:family w:val="auto"/>
    <w:pitch w:val="variable"/>
    <w:sig w:usb0="A00002FF" w:usb1="5000204B"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C4575" w14:textId="6A62296A" w:rsidR="00DE2CDE" w:rsidRDefault="00000000">
    <w:pPr>
      <w:jc w:val="right"/>
    </w:pPr>
    <w:r>
      <w:fldChar w:fldCharType="begin"/>
    </w:r>
    <w:r>
      <w:instrText>PAGE</w:instrText>
    </w:r>
    <w:r>
      <w:fldChar w:fldCharType="separate"/>
    </w:r>
    <w:r w:rsidR="0050574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7CFF0" w14:textId="77777777" w:rsidR="00DE2CDE" w:rsidRDefault="00DE2C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D695E" w14:textId="77777777" w:rsidR="009240D2" w:rsidRDefault="009240D2">
      <w:pPr>
        <w:spacing w:line="240" w:lineRule="auto"/>
      </w:pPr>
      <w:r>
        <w:separator/>
      </w:r>
    </w:p>
  </w:footnote>
  <w:footnote w:type="continuationSeparator" w:id="0">
    <w:p w14:paraId="73137F45" w14:textId="77777777" w:rsidR="009240D2" w:rsidRDefault="009240D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CDE"/>
    <w:rsid w:val="00505741"/>
    <w:rsid w:val="009240D2"/>
    <w:rsid w:val="00DE2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04489B"/>
  <w15:docId w15:val="{6E2E2FC7-8448-9D47-BCD1-FABBC5DB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jc w:val="both"/>
      <w:outlineLvl w:val="2"/>
    </w:pPr>
    <w:rPr>
      <w:sz w:val="28"/>
      <w:szCs w:val="28"/>
    </w:rPr>
  </w:style>
  <w:style w:type="paragraph" w:styleId="Heading4">
    <w:name w:val="heading 4"/>
    <w:basedOn w:val="Normal"/>
    <w:next w:val="Normal"/>
    <w:uiPriority w:val="9"/>
    <w:semiHidden/>
    <w:unhideWhenUsed/>
    <w:qFormat/>
    <w:pPr>
      <w:keepNext/>
      <w:keepLines/>
      <w:spacing w:before="280" w:after="80"/>
      <w:jc w:val="both"/>
      <w:outlineLvl w:val="3"/>
    </w:pPr>
    <w:rPr>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sz w:val="30"/>
      <w:szCs w:val="30"/>
    </w:rPr>
  </w:style>
  <w:style w:type="character" w:styleId="LineNumber">
    <w:name w:val="line number"/>
    <w:basedOn w:val="DefaultParagraphFont"/>
    <w:uiPriority w:val="99"/>
    <w:semiHidden/>
    <w:unhideWhenUsed/>
    <w:rsid w:val="00505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sVqSOi" TargetMode="External"/><Relationship Id="rId21" Type="http://schemas.openxmlformats.org/officeDocument/2006/relationships/hyperlink" Target="https://www.zotero.org/google-docs/?vGrl1u" TargetMode="External"/><Relationship Id="rId63" Type="http://schemas.openxmlformats.org/officeDocument/2006/relationships/hyperlink" Target="https://www.zotero.org/google-docs/?rup8lX" TargetMode="External"/><Relationship Id="rId159" Type="http://schemas.openxmlformats.org/officeDocument/2006/relationships/hyperlink" Target="https://www.zotero.org/google-docs/?sVqSOi" TargetMode="External"/><Relationship Id="rId170" Type="http://schemas.openxmlformats.org/officeDocument/2006/relationships/hyperlink" Target="https://www.zotero.org/google-docs/?sVqSOi" TargetMode="External"/><Relationship Id="rId226" Type="http://schemas.openxmlformats.org/officeDocument/2006/relationships/hyperlink" Target="https://www.zotero.org/google-docs/?sVqSOi" TargetMode="External"/><Relationship Id="rId107" Type="http://schemas.openxmlformats.org/officeDocument/2006/relationships/hyperlink" Target="https://www.zotero.org/google-docs/?sVqSOi" TargetMode="External"/><Relationship Id="rId11" Type="http://schemas.openxmlformats.org/officeDocument/2006/relationships/hyperlink" Target="https://www.zotero.org/google-docs/?LPlLQt" TargetMode="External"/><Relationship Id="rId32" Type="http://schemas.openxmlformats.org/officeDocument/2006/relationships/hyperlink" Target="https://www.zotero.org/google-docs/?I91QUP" TargetMode="External"/><Relationship Id="rId53" Type="http://schemas.openxmlformats.org/officeDocument/2006/relationships/hyperlink" Target="https://www.zotero.org/google-docs/?yzPEuB" TargetMode="External"/><Relationship Id="rId74" Type="http://schemas.openxmlformats.org/officeDocument/2006/relationships/hyperlink" Target="https://www.zotero.org/google-docs/?tLxhjA" TargetMode="External"/><Relationship Id="rId128" Type="http://schemas.openxmlformats.org/officeDocument/2006/relationships/hyperlink" Target="https://www.zotero.org/google-docs/?sVqSOi" TargetMode="External"/><Relationship Id="rId149" Type="http://schemas.openxmlformats.org/officeDocument/2006/relationships/hyperlink" Target="https://www.zotero.org/google-docs/?sVqSOi" TargetMode="External"/><Relationship Id="rId5" Type="http://schemas.openxmlformats.org/officeDocument/2006/relationships/endnotes" Target="endnotes.xml"/><Relationship Id="rId95" Type="http://schemas.openxmlformats.org/officeDocument/2006/relationships/hyperlink" Target="https://www.zotero.org/google-docs/?iovqpq" TargetMode="External"/><Relationship Id="rId160" Type="http://schemas.openxmlformats.org/officeDocument/2006/relationships/hyperlink" Target="https://www.zotero.org/google-docs/?sVqSOi" TargetMode="External"/><Relationship Id="rId181" Type="http://schemas.openxmlformats.org/officeDocument/2006/relationships/hyperlink" Target="https://www.zotero.org/google-docs/?sVqSOi" TargetMode="External"/><Relationship Id="rId216" Type="http://schemas.openxmlformats.org/officeDocument/2006/relationships/hyperlink" Target="https://www.zotero.org/google-docs/?sVqSOi" TargetMode="External"/><Relationship Id="rId237" Type="http://schemas.openxmlformats.org/officeDocument/2006/relationships/hyperlink" Target="https://www.zotero.org/google-docs/?sVqSOi" TargetMode="External"/><Relationship Id="rId258" Type="http://schemas.openxmlformats.org/officeDocument/2006/relationships/hyperlink" Target="https://www.zotero.org/google-docs/?sVqSOi" TargetMode="External"/><Relationship Id="rId22" Type="http://schemas.openxmlformats.org/officeDocument/2006/relationships/hyperlink" Target="https://www.zotero.org/google-docs/?SYtNrg" TargetMode="External"/><Relationship Id="rId43" Type="http://schemas.openxmlformats.org/officeDocument/2006/relationships/hyperlink" Target="https://www.zotero.org/google-docs/?dKylAV" TargetMode="External"/><Relationship Id="rId64" Type="http://schemas.openxmlformats.org/officeDocument/2006/relationships/hyperlink" Target="https://www.zotero.org/google-docs/?mtE5aM" TargetMode="External"/><Relationship Id="rId118" Type="http://schemas.openxmlformats.org/officeDocument/2006/relationships/hyperlink" Target="https://www.zotero.org/google-docs/?sVqSOi" TargetMode="External"/><Relationship Id="rId139" Type="http://schemas.openxmlformats.org/officeDocument/2006/relationships/hyperlink" Target="https://www.zotero.org/google-docs/?sVqSOi" TargetMode="External"/><Relationship Id="rId85" Type="http://schemas.openxmlformats.org/officeDocument/2006/relationships/hyperlink" Target="https://www.zotero.org/google-docs/?lif7wN" TargetMode="External"/><Relationship Id="rId150" Type="http://schemas.openxmlformats.org/officeDocument/2006/relationships/hyperlink" Target="https://www.zotero.org/google-docs/?sVqSOi" TargetMode="External"/><Relationship Id="rId171" Type="http://schemas.openxmlformats.org/officeDocument/2006/relationships/hyperlink" Target="https://www.zotero.org/google-docs/?sVqSOi" TargetMode="External"/><Relationship Id="rId192" Type="http://schemas.openxmlformats.org/officeDocument/2006/relationships/hyperlink" Target="https://www.zotero.org/google-docs/?sVqSOi" TargetMode="External"/><Relationship Id="rId206" Type="http://schemas.openxmlformats.org/officeDocument/2006/relationships/hyperlink" Target="https://www.zotero.org/google-docs/?sVqSOi" TargetMode="External"/><Relationship Id="rId227" Type="http://schemas.openxmlformats.org/officeDocument/2006/relationships/hyperlink" Target="https://www.zotero.org/google-docs/?sVqSOi" TargetMode="External"/><Relationship Id="rId248" Type="http://schemas.openxmlformats.org/officeDocument/2006/relationships/hyperlink" Target="https://www.zotero.org/google-docs/?sVqSOi" TargetMode="External"/><Relationship Id="rId12" Type="http://schemas.openxmlformats.org/officeDocument/2006/relationships/hyperlink" Target="https://www.zotero.org/google-docs/?moOuJK" TargetMode="External"/><Relationship Id="rId33" Type="http://schemas.openxmlformats.org/officeDocument/2006/relationships/hyperlink" Target="https://www.zotero.org/google-docs/?W2f2CH" TargetMode="External"/><Relationship Id="rId108" Type="http://schemas.openxmlformats.org/officeDocument/2006/relationships/hyperlink" Target="https://www.zotero.org/google-docs/?sVqSOi" TargetMode="External"/><Relationship Id="rId129" Type="http://schemas.openxmlformats.org/officeDocument/2006/relationships/hyperlink" Target="https://www.zotero.org/google-docs/?sVqSOi" TargetMode="External"/><Relationship Id="rId54" Type="http://schemas.openxmlformats.org/officeDocument/2006/relationships/hyperlink" Target="https://www.zotero.org/google-docs/?atiMeF" TargetMode="External"/><Relationship Id="rId75" Type="http://schemas.openxmlformats.org/officeDocument/2006/relationships/hyperlink" Target="https://www.zotero.org/google-docs/?sl1HpH" TargetMode="External"/><Relationship Id="rId96" Type="http://schemas.openxmlformats.org/officeDocument/2006/relationships/hyperlink" Target="https://www.zotero.org/google-docs/?Ih4mhC" TargetMode="External"/><Relationship Id="rId140" Type="http://schemas.openxmlformats.org/officeDocument/2006/relationships/hyperlink" Target="https://www.zotero.org/google-docs/?sVqSOi" TargetMode="External"/><Relationship Id="rId161" Type="http://schemas.openxmlformats.org/officeDocument/2006/relationships/hyperlink" Target="https://www.zotero.org/google-docs/?sVqSOi" TargetMode="External"/><Relationship Id="rId182" Type="http://schemas.openxmlformats.org/officeDocument/2006/relationships/hyperlink" Target="https://www.zotero.org/google-docs/?sVqSOi" TargetMode="External"/><Relationship Id="rId217" Type="http://schemas.openxmlformats.org/officeDocument/2006/relationships/hyperlink" Target="https://www.zotero.org/google-docs/?sVqSOi" TargetMode="External"/><Relationship Id="rId6" Type="http://schemas.openxmlformats.org/officeDocument/2006/relationships/hyperlink" Target="https://www.zotero.org/google-docs/?7mVa4V" TargetMode="External"/><Relationship Id="rId238" Type="http://schemas.openxmlformats.org/officeDocument/2006/relationships/hyperlink" Target="https://www.zotero.org/google-docs/?sVqSOi" TargetMode="External"/><Relationship Id="rId259" Type="http://schemas.openxmlformats.org/officeDocument/2006/relationships/hyperlink" Target="https://www.zotero.org/google-docs/?sVqSOi" TargetMode="External"/><Relationship Id="rId23" Type="http://schemas.openxmlformats.org/officeDocument/2006/relationships/hyperlink" Target="https://www.zotero.org/google-docs/?FcPyjI" TargetMode="External"/><Relationship Id="rId119" Type="http://schemas.openxmlformats.org/officeDocument/2006/relationships/hyperlink" Target="https://www.zotero.org/google-docs/?sVqSOi" TargetMode="External"/><Relationship Id="rId44" Type="http://schemas.openxmlformats.org/officeDocument/2006/relationships/hyperlink" Target="https://www.zotero.org/google-docs/?Uva6Yh" TargetMode="External"/><Relationship Id="rId65" Type="http://schemas.openxmlformats.org/officeDocument/2006/relationships/hyperlink" Target="https://www.zotero.org/google-docs/?9vIeoQ" TargetMode="External"/><Relationship Id="rId86" Type="http://schemas.openxmlformats.org/officeDocument/2006/relationships/hyperlink" Target="https://www.zotero.org/google-docs/?RacY3j" TargetMode="External"/><Relationship Id="rId130" Type="http://schemas.openxmlformats.org/officeDocument/2006/relationships/hyperlink" Target="https://www.zotero.org/google-docs/?sVqSOi" TargetMode="External"/><Relationship Id="rId151" Type="http://schemas.openxmlformats.org/officeDocument/2006/relationships/hyperlink" Target="https://www.zotero.org/google-docs/?sVqSOi" TargetMode="External"/><Relationship Id="rId172" Type="http://schemas.openxmlformats.org/officeDocument/2006/relationships/hyperlink" Target="https://www.zotero.org/google-docs/?sVqSOi" TargetMode="External"/><Relationship Id="rId193" Type="http://schemas.openxmlformats.org/officeDocument/2006/relationships/hyperlink" Target="https://www.zotero.org/google-docs/?sVqSOi" TargetMode="External"/><Relationship Id="rId207" Type="http://schemas.openxmlformats.org/officeDocument/2006/relationships/hyperlink" Target="https://www.zotero.org/google-docs/?sVqSOi" TargetMode="External"/><Relationship Id="rId228" Type="http://schemas.openxmlformats.org/officeDocument/2006/relationships/hyperlink" Target="https://www.zotero.org/google-docs/?sVqSOi" TargetMode="External"/><Relationship Id="rId249" Type="http://schemas.openxmlformats.org/officeDocument/2006/relationships/hyperlink" Target="https://www.zotero.org/google-docs/?sVqSOi" TargetMode="External"/><Relationship Id="rId13" Type="http://schemas.openxmlformats.org/officeDocument/2006/relationships/hyperlink" Target="https://www.zotero.org/google-docs/?JfO5aM" TargetMode="External"/><Relationship Id="rId109" Type="http://schemas.openxmlformats.org/officeDocument/2006/relationships/hyperlink" Target="https://www.zotero.org/google-docs/?sVqSOi" TargetMode="External"/><Relationship Id="rId260" Type="http://schemas.openxmlformats.org/officeDocument/2006/relationships/hyperlink" Target="https://www.zotero.org/google-docs/?sVqSOi" TargetMode="External"/><Relationship Id="rId34" Type="http://schemas.openxmlformats.org/officeDocument/2006/relationships/hyperlink" Target="https://www.zotero.org/google-docs/?MnZbLh" TargetMode="External"/><Relationship Id="rId55" Type="http://schemas.openxmlformats.org/officeDocument/2006/relationships/hyperlink" Target="https://www.zotero.org/google-docs/?enTmDA" TargetMode="External"/><Relationship Id="rId76" Type="http://schemas.openxmlformats.org/officeDocument/2006/relationships/hyperlink" Target="https://www.zotero.org/google-docs/?JC0YGM" TargetMode="External"/><Relationship Id="rId97" Type="http://schemas.openxmlformats.org/officeDocument/2006/relationships/hyperlink" Target="http://www.networks-liulab.org/transPCO" TargetMode="External"/><Relationship Id="rId120" Type="http://schemas.openxmlformats.org/officeDocument/2006/relationships/hyperlink" Target="https://www.zotero.org/google-docs/?sVqSOi" TargetMode="External"/><Relationship Id="rId141" Type="http://schemas.openxmlformats.org/officeDocument/2006/relationships/hyperlink" Target="https://www.zotero.org/google-docs/?sVqSOi" TargetMode="External"/><Relationship Id="rId7" Type="http://schemas.openxmlformats.org/officeDocument/2006/relationships/hyperlink" Target="https://www.zotero.org/google-docs/?FXqQNl" TargetMode="External"/><Relationship Id="rId162" Type="http://schemas.openxmlformats.org/officeDocument/2006/relationships/hyperlink" Target="https://www.zotero.org/google-docs/?sVqSOi" TargetMode="External"/><Relationship Id="rId183" Type="http://schemas.openxmlformats.org/officeDocument/2006/relationships/hyperlink" Target="https://www.zotero.org/google-docs/?sVqSOi" TargetMode="External"/><Relationship Id="rId218" Type="http://schemas.openxmlformats.org/officeDocument/2006/relationships/hyperlink" Target="https://www.zotero.org/google-docs/?sVqSOi" TargetMode="External"/><Relationship Id="rId239" Type="http://schemas.openxmlformats.org/officeDocument/2006/relationships/hyperlink" Target="https://www.zotero.org/google-docs/?sVqSOi" TargetMode="External"/><Relationship Id="rId250" Type="http://schemas.openxmlformats.org/officeDocument/2006/relationships/hyperlink" Target="https://www.zotero.org/google-docs/?sVqSOi" TargetMode="External"/><Relationship Id="rId24" Type="http://schemas.openxmlformats.org/officeDocument/2006/relationships/hyperlink" Target="https://www.zotero.org/google-docs/?uv5Jhe" TargetMode="External"/><Relationship Id="rId45" Type="http://schemas.openxmlformats.org/officeDocument/2006/relationships/hyperlink" Target="https://www.zotero.org/google-docs/?nAFuK0" TargetMode="External"/><Relationship Id="rId66" Type="http://schemas.openxmlformats.org/officeDocument/2006/relationships/hyperlink" Target="https://www.zotero.org/google-docs/?wrnJbv" TargetMode="External"/><Relationship Id="rId87" Type="http://schemas.openxmlformats.org/officeDocument/2006/relationships/hyperlink" Target="https://www.zotero.org/google-docs/?wHCjcr" TargetMode="External"/><Relationship Id="rId110" Type="http://schemas.openxmlformats.org/officeDocument/2006/relationships/hyperlink" Target="https://www.zotero.org/google-docs/?sVqSOi" TargetMode="External"/><Relationship Id="rId131" Type="http://schemas.openxmlformats.org/officeDocument/2006/relationships/hyperlink" Target="https://www.zotero.org/google-docs/?sVqSOi" TargetMode="External"/><Relationship Id="rId152" Type="http://schemas.openxmlformats.org/officeDocument/2006/relationships/hyperlink" Target="https://www.zotero.org/google-docs/?sVqSOi" TargetMode="External"/><Relationship Id="rId173" Type="http://schemas.openxmlformats.org/officeDocument/2006/relationships/hyperlink" Target="https://www.zotero.org/google-docs/?sVqSOi" TargetMode="External"/><Relationship Id="rId194" Type="http://schemas.openxmlformats.org/officeDocument/2006/relationships/hyperlink" Target="https://www.zotero.org/google-docs/?sVqSOi" TargetMode="External"/><Relationship Id="rId208" Type="http://schemas.openxmlformats.org/officeDocument/2006/relationships/hyperlink" Target="https://www.zotero.org/google-docs/?sVqSOi" TargetMode="External"/><Relationship Id="rId229" Type="http://schemas.openxmlformats.org/officeDocument/2006/relationships/hyperlink" Target="https://www.zotero.org/google-docs/?sVqSOi" TargetMode="External"/><Relationship Id="rId240" Type="http://schemas.openxmlformats.org/officeDocument/2006/relationships/hyperlink" Target="https://www.zotero.org/google-docs/?sVqSOi" TargetMode="External"/><Relationship Id="rId261" Type="http://schemas.openxmlformats.org/officeDocument/2006/relationships/hyperlink" Target="https://www.zotero.org/google-docs/?sVqSOi" TargetMode="External"/><Relationship Id="rId14" Type="http://schemas.openxmlformats.org/officeDocument/2006/relationships/hyperlink" Target="https://www.zotero.org/google-docs/?7Ima6H" TargetMode="External"/><Relationship Id="rId35" Type="http://schemas.openxmlformats.org/officeDocument/2006/relationships/hyperlink" Target="https://www.zotero.org/google-docs/?UoWfkk" TargetMode="External"/><Relationship Id="rId56" Type="http://schemas.openxmlformats.org/officeDocument/2006/relationships/hyperlink" Target="https://www.zotero.org/google-docs/?dBKiM7" TargetMode="External"/><Relationship Id="rId77" Type="http://schemas.openxmlformats.org/officeDocument/2006/relationships/image" Target="media/image5.png"/><Relationship Id="rId100" Type="http://schemas.openxmlformats.org/officeDocument/2006/relationships/hyperlink" Target="http://www.nealelab.is/uk-biobank/" TargetMode="External"/><Relationship Id="rId8" Type="http://schemas.openxmlformats.org/officeDocument/2006/relationships/hyperlink" Target="https://www.zotero.org/google-docs/?fBQ6Es" TargetMode="External"/><Relationship Id="rId98" Type="http://schemas.openxmlformats.org/officeDocument/2006/relationships/hyperlink" Target="https://www.eqtlgen.org/" TargetMode="External"/><Relationship Id="rId121" Type="http://schemas.openxmlformats.org/officeDocument/2006/relationships/hyperlink" Target="https://www.zotero.org/google-docs/?sVqSOi" TargetMode="External"/><Relationship Id="rId142" Type="http://schemas.openxmlformats.org/officeDocument/2006/relationships/hyperlink" Target="https://www.zotero.org/google-docs/?sVqSOi" TargetMode="External"/><Relationship Id="rId163" Type="http://schemas.openxmlformats.org/officeDocument/2006/relationships/hyperlink" Target="https://www.zotero.org/google-docs/?sVqSOi" TargetMode="External"/><Relationship Id="rId184" Type="http://schemas.openxmlformats.org/officeDocument/2006/relationships/hyperlink" Target="https://www.zotero.org/google-docs/?sVqSOi" TargetMode="External"/><Relationship Id="rId219" Type="http://schemas.openxmlformats.org/officeDocument/2006/relationships/hyperlink" Target="https://www.zotero.org/google-docs/?sVqSOi" TargetMode="External"/><Relationship Id="rId230" Type="http://schemas.openxmlformats.org/officeDocument/2006/relationships/hyperlink" Target="https://www.zotero.org/google-docs/?sVqSOi" TargetMode="External"/><Relationship Id="rId251" Type="http://schemas.openxmlformats.org/officeDocument/2006/relationships/hyperlink" Target="https://www.zotero.org/google-docs/?sVqSOi" TargetMode="External"/><Relationship Id="rId25" Type="http://schemas.openxmlformats.org/officeDocument/2006/relationships/hyperlink" Target="https://www.zotero.org/google-docs/?vYoNwJ" TargetMode="External"/><Relationship Id="rId46" Type="http://schemas.openxmlformats.org/officeDocument/2006/relationships/hyperlink" Target="https://www.zotero.org/google-docs/?zoS7gV" TargetMode="External"/><Relationship Id="rId67" Type="http://schemas.openxmlformats.org/officeDocument/2006/relationships/hyperlink" Target="https://www.zotero.org/google-docs/?OKzBAx" TargetMode="External"/><Relationship Id="rId88" Type="http://schemas.openxmlformats.org/officeDocument/2006/relationships/hyperlink" Target="https://www.zotero.org/google-docs/?v6WFll" TargetMode="External"/><Relationship Id="rId111" Type="http://schemas.openxmlformats.org/officeDocument/2006/relationships/hyperlink" Target="https://www.zotero.org/google-docs/?sVqSOi" TargetMode="External"/><Relationship Id="rId132" Type="http://schemas.openxmlformats.org/officeDocument/2006/relationships/hyperlink" Target="https://www.zotero.org/google-docs/?sVqSOi" TargetMode="External"/><Relationship Id="rId153" Type="http://schemas.openxmlformats.org/officeDocument/2006/relationships/hyperlink" Target="https://www.zotero.org/google-docs/?sVqSOi" TargetMode="External"/><Relationship Id="rId174" Type="http://schemas.openxmlformats.org/officeDocument/2006/relationships/hyperlink" Target="https://www.zotero.org/google-docs/?sVqSOi" TargetMode="External"/><Relationship Id="rId195" Type="http://schemas.openxmlformats.org/officeDocument/2006/relationships/hyperlink" Target="https://www.zotero.org/google-docs/?sVqSOi" TargetMode="External"/><Relationship Id="rId209" Type="http://schemas.openxmlformats.org/officeDocument/2006/relationships/hyperlink" Target="https://www.zotero.org/google-docs/?sVqSOi" TargetMode="External"/><Relationship Id="rId220" Type="http://schemas.openxmlformats.org/officeDocument/2006/relationships/hyperlink" Target="https://www.zotero.org/google-docs/?sVqSOi" TargetMode="External"/><Relationship Id="rId241" Type="http://schemas.openxmlformats.org/officeDocument/2006/relationships/hyperlink" Target="https://www.zotero.org/google-docs/?sVqSOi" TargetMode="External"/><Relationship Id="rId15" Type="http://schemas.openxmlformats.org/officeDocument/2006/relationships/hyperlink" Target="https://www.zotero.org/google-docs/?1lryBc" TargetMode="External"/><Relationship Id="rId36" Type="http://schemas.openxmlformats.org/officeDocument/2006/relationships/hyperlink" Target="https://www.zotero.org/google-docs/?X9Gxiz" TargetMode="External"/><Relationship Id="rId57" Type="http://schemas.openxmlformats.org/officeDocument/2006/relationships/hyperlink" Target="https://www.zotero.org/google-docs/?ZjNprn" TargetMode="External"/><Relationship Id="rId262" Type="http://schemas.openxmlformats.org/officeDocument/2006/relationships/footer" Target="footer1.xml"/><Relationship Id="rId78" Type="http://schemas.openxmlformats.org/officeDocument/2006/relationships/hyperlink" Target="https://www.zotero.org/google-docs/?dapoPJ" TargetMode="External"/><Relationship Id="rId99" Type="http://schemas.openxmlformats.org/officeDocument/2006/relationships/hyperlink" Target="http://www.gsea-msigdb.org/gsea/msigdb/human/genesets.jsp?collection=H" TargetMode="External"/><Relationship Id="rId101" Type="http://schemas.openxmlformats.org/officeDocument/2006/relationships/hyperlink" Target="https://github.com/liliw-w/Trans" TargetMode="External"/><Relationship Id="rId122" Type="http://schemas.openxmlformats.org/officeDocument/2006/relationships/hyperlink" Target="https://www.zotero.org/google-docs/?sVqSOi" TargetMode="External"/><Relationship Id="rId143" Type="http://schemas.openxmlformats.org/officeDocument/2006/relationships/hyperlink" Target="https://www.zotero.org/google-docs/?sVqSOi" TargetMode="External"/><Relationship Id="rId164" Type="http://schemas.openxmlformats.org/officeDocument/2006/relationships/hyperlink" Target="https://www.zotero.org/google-docs/?sVqSOi" TargetMode="External"/><Relationship Id="rId185" Type="http://schemas.openxmlformats.org/officeDocument/2006/relationships/hyperlink" Target="https://www.zotero.org/google-docs/?sVqSOi" TargetMode="External"/><Relationship Id="rId9" Type="http://schemas.openxmlformats.org/officeDocument/2006/relationships/hyperlink" Target="https://www.zotero.org/google-docs/?RRMmtm" TargetMode="External"/><Relationship Id="rId210" Type="http://schemas.openxmlformats.org/officeDocument/2006/relationships/hyperlink" Target="https://www.zotero.org/google-docs/?sVqSOi" TargetMode="External"/><Relationship Id="rId26" Type="http://schemas.openxmlformats.org/officeDocument/2006/relationships/hyperlink" Target="https://www.zotero.org/google-docs/?EagK6Z" TargetMode="External"/><Relationship Id="rId231" Type="http://schemas.openxmlformats.org/officeDocument/2006/relationships/hyperlink" Target="https://www.zotero.org/google-docs/?sVqSOi" TargetMode="External"/><Relationship Id="rId252" Type="http://schemas.openxmlformats.org/officeDocument/2006/relationships/hyperlink" Target="https://www.zotero.org/google-docs/?sVqSOi" TargetMode="External"/><Relationship Id="rId47" Type="http://schemas.openxmlformats.org/officeDocument/2006/relationships/hyperlink" Target="https://www.zotero.org/google-docs/?WDf4wW" TargetMode="External"/><Relationship Id="rId68" Type="http://schemas.openxmlformats.org/officeDocument/2006/relationships/image" Target="media/image3.png"/><Relationship Id="rId89" Type="http://schemas.openxmlformats.org/officeDocument/2006/relationships/hyperlink" Target="http://www.nealelab.is/uk-biobank/" TargetMode="External"/><Relationship Id="rId112" Type="http://schemas.openxmlformats.org/officeDocument/2006/relationships/hyperlink" Target="https://www.zotero.org/google-docs/?sVqSOi" TargetMode="External"/><Relationship Id="rId133" Type="http://schemas.openxmlformats.org/officeDocument/2006/relationships/hyperlink" Target="https://www.zotero.org/google-docs/?sVqSOi" TargetMode="External"/><Relationship Id="rId154" Type="http://schemas.openxmlformats.org/officeDocument/2006/relationships/hyperlink" Target="https://www.zotero.org/google-docs/?sVqSOi" TargetMode="External"/><Relationship Id="rId175" Type="http://schemas.openxmlformats.org/officeDocument/2006/relationships/hyperlink" Target="https://www.zotero.org/google-docs/?sVqSOi" TargetMode="External"/><Relationship Id="rId196" Type="http://schemas.openxmlformats.org/officeDocument/2006/relationships/hyperlink" Target="https://www.zotero.org/google-docs/?sVqSOi" TargetMode="External"/><Relationship Id="rId200" Type="http://schemas.openxmlformats.org/officeDocument/2006/relationships/hyperlink" Target="https://www.zotero.org/google-docs/?sVqSOi" TargetMode="External"/><Relationship Id="rId16" Type="http://schemas.openxmlformats.org/officeDocument/2006/relationships/hyperlink" Target="https://www.zotero.org/google-docs/?Mqlpie" TargetMode="External"/><Relationship Id="rId221" Type="http://schemas.openxmlformats.org/officeDocument/2006/relationships/hyperlink" Target="https://www.zotero.org/google-docs/?sVqSOi" TargetMode="External"/><Relationship Id="rId242" Type="http://schemas.openxmlformats.org/officeDocument/2006/relationships/hyperlink" Target="https://www.zotero.org/google-docs/?sVqSOi" TargetMode="External"/><Relationship Id="rId263" Type="http://schemas.openxmlformats.org/officeDocument/2006/relationships/footer" Target="footer2.xml"/><Relationship Id="rId37" Type="http://schemas.openxmlformats.org/officeDocument/2006/relationships/hyperlink" Target="https://www.zotero.org/google-docs/?X7Dh2W" TargetMode="External"/><Relationship Id="rId58" Type="http://schemas.openxmlformats.org/officeDocument/2006/relationships/hyperlink" Target="https://www.zotero.org/google-docs/?avsdBM" TargetMode="External"/><Relationship Id="rId79" Type="http://schemas.openxmlformats.org/officeDocument/2006/relationships/hyperlink" Target="http://www.networks-liulab.org/transPCO" TargetMode="External"/><Relationship Id="rId102" Type="http://schemas.openxmlformats.org/officeDocument/2006/relationships/hyperlink" Target="https://github.com/broadinstitute/tensorqtl" TargetMode="External"/><Relationship Id="rId123" Type="http://schemas.openxmlformats.org/officeDocument/2006/relationships/hyperlink" Target="https://www.zotero.org/google-docs/?sVqSOi" TargetMode="External"/><Relationship Id="rId144" Type="http://schemas.openxmlformats.org/officeDocument/2006/relationships/hyperlink" Target="https://www.zotero.org/google-docs/?sVqSOi" TargetMode="External"/><Relationship Id="rId90" Type="http://schemas.openxmlformats.org/officeDocument/2006/relationships/hyperlink" Target="https://www.zotero.org/google-docs/?gIGcbX" TargetMode="External"/><Relationship Id="rId165" Type="http://schemas.openxmlformats.org/officeDocument/2006/relationships/hyperlink" Target="https://www.zotero.org/google-docs/?sVqSOi" TargetMode="External"/><Relationship Id="rId186" Type="http://schemas.openxmlformats.org/officeDocument/2006/relationships/hyperlink" Target="https://www.zotero.org/google-docs/?sVqSOi" TargetMode="External"/><Relationship Id="rId211" Type="http://schemas.openxmlformats.org/officeDocument/2006/relationships/hyperlink" Target="https://www.zotero.org/google-docs/?sVqSOi" TargetMode="External"/><Relationship Id="rId232" Type="http://schemas.openxmlformats.org/officeDocument/2006/relationships/hyperlink" Target="https://www.zotero.org/google-docs/?sVqSOi" TargetMode="External"/><Relationship Id="rId253" Type="http://schemas.openxmlformats.org/officeDocument/2006/relationships/hyperlink" Target="https://www.zotero.org/google-docs/?sVqSOi" TargetMode="External"/><Relationship Id="rId27" Type="http://schemas.openxmlformats.org/officeDocument/2006/relationships/hyperlink" Target="https://www.zotero.org/google-docs/?sVqSOi" TargetMode="External"/><Relationship Id="rId48" Type="http://schemas.openxmlformats.org/officeDocument/2006/relationships/hyperlink" Target="https://www.zotero.org/google-docs/?afWNRS" TargetMode="External"/><Relationship Id="rId69" Type="http://schemas.openxmlformats.org/officeDocument/2006/relationships/hyperlink" Target="https://www.zotero.org/google-docs/?r0zWyV" TargetMode="External"/><Relationship Id="rId113" Type="http://schemas.openxmlformats.org/officeDocument/2006/relationships/hyperlink" Target="https://www.zotero.org/google-docs/?sVqSOi" TargetMode="External"/><Relationship Id="rId134" Type="http://schemas.openxmlformats.org/officeDocument/2006/relationships/hyperlink" Target="https://www.zotero.org/google-docs/?sVqSOi" TargetMode="External"/><Relationship Id="rId80" Type="http://schemas.openxmlformats.org/officeDocument/2006/relationships/hyperlink" Target="https://www.zotero.org/google-docs/?Rev5Bk" TargetMode="External"/><Relationship Id="rId155" Type="http://schemas.openxmlformats.org/officeDocument/2006/relationships/hyperlink" Target="https://www.zotero.org/google-docs/?sVqSOi" TargetMode="External"/><Relationship Id="rId176" Type="http://schemas.openxmlformats.org/officeDocument/2006/relationships/hyperlink" Target="https://www.zotero.org/google-docs/?sVqSOi" TargetMode="External"/><Relationship Id="rId197" Type="http://schemas.openxmlformats.org/officeDocument/2006/relationships/hyperlink" Target="https://www.zotero.org/google-docs/?sVqSOi" TargetMode="External"/><Relationship Id="rId201" Type="http://schemas.openxmlformats.org/officeDocument/2006/relationships/hyperlink" Target="https://www.zotero.org/google-docs/?sVqSOi" TargetMode="External"/><Relationship Id="rId222" Type="http://schemas.openxmlformats.org/officeDocument/2006/relationships/hyperlink" Target="https://www.zotero.org/google-docs/?sVqSOi" TargetMode="External"/><Relationship Id="rId243" Type="http://schemas.openxmlformats.org/officeDocument/2006/relationships/hyperlink" Target="https://www.zotero.org/google-docs/?sVqSOi" TargetMode="External"/><Relationship Id="rId264" Type="http://schemas.openxmlformats.org/officeDocument/2006/relationships/fontTable" Target="fontTable.xml"/><Relationship Id="rId17" Type="http://schemas.openxmlformats.org/officeDocument/2006/relationships/hyperlink" Target="https://www.zotero.org/google-docs/?NfE0JF" TargetMode="External"/><Relationship Id="rId38" Type="http://schemas.openxmlformats.org/officeDocument/2006/relationships/hyperlink" Target="https://www.zotero.org/google-docs/?4BkKpG" TargetMode="External"/><Relationship Id="rId59" Type="http://schemas.openxmlformats.org/officeDocument/2006/relationships/hyperlink" Target="https://www.zotero.org/google-docs/?7cwWpi" TargetMode="External"/><Relationship Id="rId103" Type="http://schemas.openxmlformats.org/officeDocument/2006/relationships/hyperlink" Target="https://github.com/chr1swallace/coloc" TargetMode="External"/><Relationship Id="rId124" Type="http://schemas.openxmlformats.org/officeDocument/2006/relationships/hyperlink" Target="https://www.zotero.org/google-docs/?sVqSOi" TargetMode="External"/><Relationship Id="rId70" Type="http://schemas.openxmlformats.org/officeDocument/2006/relationships/hyperlink" Target="https://www.zotero.org/google-docs/?8cXrHA" TargetMode="External"/><Relationship Id="rId91" Type="http://schemas.openxmlformats.org/officeDocument/2006/relationships/hyperlink" Target="https://www.zotero.org/google-docs/?IFGflx" TargetMode="External"/><Relationship Id="rId145" Type="http://schemas.openxmlformats.org/officeDocument/2006/relationships/hyperlink" Target="https://www.zotero.org/google-docs/?sVqSOi" TargetMode="External"/><Relationship Id="rId166" Type="http://schemas.openxmlformats.org/officeDocument/2006/relationships/hyperlink" Target="https://www.zotero.org/google-docs/?sVqSOi" TargetMode="External"/><Relationship Id="rId187" Type="http://schemas.openxmlformats.org/officeDocument/2006/relationships/hyperlink" Target="https://www.zotero.org/google-docs/?sVqSOi" TargetMode="External"/><Relationship Id="rId1" Type="http://schemas.openxmlformats.org/officeDocument/2006/relationships/styles" Target="styles.xml"/><Relationship Id="rId212" Type="http://schemas.openxmlformats.org/officeDocument/2006/relationships/hyperlink" Target="https://www.zotero.org/google-docs/?sVqSOi" TargetMode="External"/><Relationship Id="rId233" Type="http://schemas.openxmlformats.org/officeDocument/2006/relationships/hyperlink" Target="https://www.zotero.org/google-docs/?sVqSOi" TargetMode="External"/><Relationship Id="rId254" Type="http://schemas.openxmlformats.org/officeDocument/2006/relationships/hyperlink" Target="https://www.zotero.org/google-docs/?sVqSOi" TargetMode="External"/><Relationship Id="rId28" Type="http://schemas.openxmlformats.org/officeDocument/2006/relationships/hyperlink" Target="https://www.zotero.org/google-docs/?Ugj506" TargetMode="External"/><Relationship Id="rId49" Type="http://schemas.openxmlformats.org/officeDocument/2006/relationships/image" Target="media/image1.png"/><Relationship Id="rId114" Type="http://schemas.openxmlformats.org/officeDocument/2006/relationships/hyperlink" Target="https://www.zotero.org/google-docs/?sVqSOi" TargetMode="External"/><Relationship Id="rId60" Type="http://schemas.openxmlformats.org/officeDocument/2006/relationships/hyperlink" Target="https://www.zotero.org/google-docs/?cMflLV" TargetMode="External"/><Relationship Id="rId81" Type="http://schemas.openxmlformats.org/officeDocument/2006/relationships/hyperlink" Target="https://www.zotero.org/google-docs/?rBXdv7" TargetMode="External"/><Relationship Id="rId135" Type="http://schemas.openxmlformats.org/officeDocument/2006/relationships/hyperlink" Target="https://www.zotero.org/google-docs/?sVqSOi" TargetMode="External"/><Relationship Id="rId156" Type="http://schemas.openxmlformats.org/officeDocument/2006/relationships/hyperlink" Target="https://www.zotero.org/google-docs/?sVqSOi" TargetMode="External"/><Relationship Id="rId177" Type="http://schemas.openxmlformats.org/officeDocument/2006/relationships/hyperlink" Target="https://www.zotero.org/google-docs/?sVqSOi" TargetMode="External"/><Relationship Id="rId198" Type="http://schemas.openxmlformats.org/officeDocument/2006/relationships/hyperlink" Target="https://www.zotero.org/google-docs/?sVqSOi" TargetMode="External"/><Relationship Id="rId202" Type="http://schemas.openxmlformats.org/officeDocument/2006/relationships/hyperlink" Target="https://www.zotero.org/google-docs/?sVqSOi" TargetMode="External"/><Relationship Id="rId223" Type="http://schemas.openxmlformats.org/officeDocument/2006/relationships/hyperlink" Target="https://www.zotero.org/google-docs/?sVqSOi" TargetMode="External"/><Relationship Id="rId244" Type="http://schemas.openxmlformats.org/officeDocument/2006/relationships/hyperlink" Target="https://www.zotero.org/google-docs/?sVqSOi" TargetMode="External"/><Relationship Id="rId18" Type="http://schemas.openxmlformats.org/officeDocument/2006/relationships/hyperlink" Target="https://www.zotero.org/google-docs/?Qiu4kJ" TargetMode="External"/><Relationship Id="rId39" Type="http://schemas.openxmlformats.org/officeDocument/2006/relationships/hyperlink" Target="https://www.zotero.org/google-docs/?2uFqxT" TargetMode="External"/><Relationship Id="rId265" Type="http://schemas.openxmlformats.org/officeDocument/2006/relationships/theme" Target="theme/theme1.xml"/><Relationship Id="rId50" Type="http://schemas.openxmlformats.org/officeDocument/2006/relationships/hyperlink" Target="https://www.zotero.org/google-docs/?mahL6e" TargetMode="External"/><Relationship Id="rId104" Type="http://schemas.openxmlformats.org/officeDocument/2006/relationships/hyperlink" Target="https://github.com/bulik/ldsc" TargetMode="External"/><Relationship Id="rId125" Type="http://schemas.openxmlformats.org/officeDocument/2006/relationships/hyperlink" Target="https://www.zotero.org/google-docs/?sVqSOi" TargetMode="External"/><Relationship Id="rId146" Type="http://schemas.openxmlformats.org/officeDocument/2006/relationships/hyperlink" Target="https://www.zotero.org/google-docs/?sVqSOi" TargetMode="External"/><Relationship Id="rId167" Type="http://schemas.openxmlformats.org/officeDocument/2006/relationships/hyperlink" Target="https://www.zotero.org/google-docs/?sVqSOi" TargetMode="External"/><Relationship Id="rId188" Type="http://schemas.openxmlformats.org/officeDocument/2006/relationships/hyperlink" Target="https://www.zotero.org/google-docs/?sVqSOi" TargetMode="External"/><Relationship Id="rId71" Type="http://schemas.openxmlformats.org/officeDocument/2006/relationships/hyperlink" Target="https://www.zotero.org/google-docs/?u87OGa" TargetMode="External"/><Relationship Id="rId92" Type="http://schemas.openxmlformats.org/officeDocument/2006/relationships/hyperlink" Target="https://www.zotero.org/google-docs/?tmdrm4" TargetMode="External"/><Relationship Id="rId213" Type="http://schemas.openxmlformats.org/officeDocument/2006/relationships/hyperlink" Target="https://www.zotero.org/google-docs/?sVqSOi" TargetMode="External"/><Relationship Id="rId234" Type="http://schemas.openxmlformats.org/officeDocument/2006/relationships/hyperlink" Target="https://www.zotero.org/google-docs/?sVqSOi" TargetMode="External"/><Relationship Id="rId2" Type="http://schemas.openxmlformats.org/officeDocument/2006/relationships/settings" Target="settings.xml"/><Relationship Id="rId29" Type="http://schemas.openxmlformats.org/officeDocument/2006/relationships/hyperlink" Target="https://www.zotero.org/google-docs/?wjiph2" TargetMode="External"/><Relationship Id="rId255" Type="http://schemas.openxmlformats.org/officeDocument/2006/relationships/hyperlink" Target="https://www.zotero.org/google-docs/?sVqSOi" TargetMode="External"/><Relationship Id="rId40" Type="http://schemas.openxmlformats.org/officeDocument/2006/relationships/hyperlink" Target="https://www.zotero.org/google-docs/?TxbsVc" TargetMode="External"/><Relationship Id="rId115" Type="http://schemas.openxmlformats.org/officeDocument/2006/relationships/hyperlink" Target="https://www.zotero.org/google-docs/?sVqSOi" TargetMode="External"/><Relationship Id="rId136" Type="http://schemas.openxmlformats.org/officeDocument/2006/relationships/hyperlink" Target="https://www.zotero.org/google-docs/?sVqSOi" TargetMode="External"/><Relationship Id="rId157" Type="http://schemas.openxmlformats.org/officeDocument/2006/relationships/hyperlink" Target="https://www.zotero.org/google-docs/?sVqSOi" TargetMode="External"/><Relationship Id="rId178" Type="http://schemas.openxmlformats.org/officeDocument/2006/relationships/hyperlink" Target="https://www.zotero.org/google-docs/?sVqSOi" TargetMode="External"/><Relationship Id="rId61" Type="http://schemas.openxmlformats.org/officeDocument/2006/relationships/hyperlink" Target="https://www.zotero.org/google-docs/?4g1VSQ" TargetMode="External"/><Relationship Id="rId82" Type="http://schemas.openxmlformats.org/officeDocument/2006/relationships/hyperlink" Target="https://www.zotero.org/google-docs/?hOxdqG" TargetMode="External"/><Relationship Id="rId199" Type="http://schemas.openxmlformats.org/officeDocument/2006/relationships/hyperlink" Target="https://www.zotero.org/google-docs/?sVqSOi" TargetMode="External"/><Relationship Id="rId203" Type="http://schemas.openxmlformats.org/officeDocument/2006/relationships/hyperlink" Target="https://www.zotero.org/google-docs/?sVqSOi" TargetMode="External"/><Relationship Id="rId19" Type="http://schemas.openxmlformats.org/officeDocument/2006/relationships/hyperlink" Target="https://www.zotero.org/google-docs/?S7NIQd" TargetMode="External"/><Relationship Id="rId224" Type="http://schemas.openxmlformats.org/officeDocument/2006/relationships/hyperlink" Target="https://www.zotero.org/google-docs/?sVqSOi" TargetMode="External"/><Relationship Id="rId245" Type="http://schemas.openxmlformats.org/officeDocument/2006/relationships/hyperlink" Target="https://www.zotero.org/google-docs/?sVqSOi" TargetMode="External"/><Relationship Id="rId30" Type="http://schemas.openxmlformats.org/officeDocument/2006/relationships/hyperlink" Target="https://www.zotero.org/google-docs/?9SvzTh" TargetMode="External"/><Relationship Id="rId105" Type="http://schemas.openxmlformats.org/officeDocument/2006/relationships/hyperlink" Target="https://www.zotero.org/google-docs/?sVqSOi" TargetMode="External"/><Relationship Id="rId126" Type="http://schemas.openxmlformats.org/officeDocument/2006/relationships/hyperlink" Target="https://www.zotero.org/google-docs/?sVqSOi" TargetMode="External"/><Relationship Id="rId147" Type="http://schemas.openxmlformats.org/officeDocument/2006/relationships/hyperlink" Target="https://www.zotero.org/google-docs/?sVqSOi" TargetMode="External"/><Relationship Id="rId168" Type="http://schemas.openxmlformats.org/officeDocument/2006/relationships/hyperlink" Target="https://www.zotero.org/google-docs/?sVqSOi" TargetMode="External"/><Relationship Id="rId51" Type="http://schemas.openxmlformats.org/officeDocument/2006/relationships/image" Target="media/image2.png"/><Relationship Id="rId72" Type="http://schemas.openxmlformats.org/officeDocument/2006/relationships/hyperlink" Target="https://www.zotero.org/google-docs/?c5L7X4" TargetMode="External"/><Relationship Id="rId93" Type="http://schemas.openxmlformats.org/officeDocument/2006/relationships/hyperlink" Target="https://www.zotero.org/google-docs/?9MYP7n" TargetMode="External"/><Relationship Id="rId189" Type="http://schemas.openxmlformats.org/officeDocument/2006/relationships/hyperlink" Target="https://www.zotero.org/google-docs/?sVqSOi" TargetMode="External"/><Relationship Id="rId3" Type="http://schemas.openxmlformats.org/officeDocument/2006/relationships/webSettings" Target="webSettings.xml"/><Relationship Id="rId214" Type="http://schemas.openxmlformats.org/officeDocument/2006/relationships/hyperlink" Target="https://www.zotero.org/google-docs/?sVqSOi" TargetMode="External"/><Relationship Id="rId235" Type="http://schemas.openxmlformats.org/officeDocument/2006/relationships/hyperlink" Target="https://www.zotero.org/google-docs/?sVqSOi" TargetMode="External"/><Relationship Id="rId256" Type="http://schemas.openxmlformats.org/officeDocument/2006/relationships/hyperlink" Target="https://www.zotero.org/google-docs/?sVqSOi" TargetMode="External"/><Relationship Id="rId116" Type="http://schemas.openxmlformats.org/officeDocument/2006/relationships/hyperlink" Target="https://www.zotero.org/google-docs/?sVqSOi" TargetMode="External"/><Relationship Id="rId137" Type="http://schemas.openxmlformats.org/officeDocument/2006/relationships/hyperlink" Target="https://www.zotero.org/google-docs/?sVqSOi" TargetMode="External"/><Relationship Id="rId158" Type="http://schemas.openxmlformats.org/officeDocument/2006/relationships/hyperlink" Target="https://www.zotero.org/google-docs/?sVqSOi" TargetMode="External"/><Relationship Id="rId20" Type="http://schemas.openxmlformats.org/officeDocument/2006/relationships/hyperlink" Target="https://www.zotero.org/google-docs/?6xQGPf" TargetMode="External"/><Relationship Id="rId41" Type="http://schemas.openxmlformats.org/officeDocument/2006/relationships/hyperlink" Target="http://www.networks-liulab.org/transPCO" TargetMode="External"/><Relationship Id="rId62" Type="http://schemas.openxmlformats.org/officeDocument/2006/relationships/hyperlink" Target="https://www.zotero.org/google-docs/?g0EdT1" TargetMode="External"/><Relationship Id="rId83" Type="http://schemas.openxmlformats.org/officeDocument/2006/relationships/hyperlink" Target="https://www.zotero.org/google-docs/?vpy9Jk" TargetMode="External"/><Relationship Id="rId179" Type="http://schemas.openxmlformats.org/officeDocument/2006/relationships/hyperlink" Target="https://www.zotero.org/google-docs/?sVqSOi" TargetMode="External"/><Relationship Id="rId190" Type="http://schemas.openxmlformats.org/officeDocument/2006/relationships/hyperlink" Target="https://www.zotero.org/google-docs/?sVqSOi" TargetMode="External"/><Relationship Id="rId204" Type="http://schemas.openxmlformats.org/officeDocument/2006/relationships/hyperlink" Target="https://www.zotero.org/google-docs/?sVqSOi" TargetMode="External"/><Relationship Id="rId225" Type="http://schemas.openxmlformats.org/officeDocument/2006/relationships/hyperlink" Target="https://www.zotero.org/google-docs/?sVqSOi" TargetMode="External"/><Relationship Id="rId246" Type="http://schemas.openxmlformats.org/officeDocument/2006/relationships/hyperlink" Target="https://www.zotero.org/google-docs/?sVqSOi" TargetMode="External"/><Relationship Id="rId106" Type="http://schemas.openxmlformats.org/officeDocument/2006/relationships/hyperlink" Target="https://www.zotero.org/google-docs/?sVqSOi" TargetMode="External"/><Relationship Id="rId127" Type="http://schemas.openxmlformats.org/officeDocument/2006/relationships/hyperlink" Target="https://www.zotero.org/google-docs/?sVqSOi" TargetMode="External"/><Relationship Id="rId10" Type="http://schemas.openxmlformats.org/officeDocument/2006/relationships/hyperlink" Target="https://www.zotero.org/google-docs/?RS0yKt" TargetMode="External"/><Relationship Id="rId31" Type="http://schemas.openxmlformats.org/officeDocument/2006/relationships/hyperlink" Target="https://www.zotero.org/google-docs/?90KF25" TargetMode="External"/><Relationship Id="rId52" Type="http://schemas.openxmlformats.org/officeDocument/2006/relationships/hyperlink" Target="https://www.zotero.org/google-docs/?RtljXR" TargetMode="External"/><Relationship Id="rId73" Type="http://schemas.openxmlformats.org/officeDocument/2006/relationships/image" Target="media/image4.png"/><Relationship Id="rId94" Type="http://schemas.openxmlformats.org/officeDocument/2006/relationships/hyperlink" Target="https://www.zotero.org/google-docs/?qf7C1k" TargetMode="External"/><Relationship Id="rId148" Type="http://schemas.openxmlformats.org/officeDocument/2006/relationships/hyperlink" Target="https://www.zotero.org/google-docs/?sVqSOi" TargetMode="External"/><Relationship Id="rId169" Type="http://schemas.openxmlformats.org/officeDocument/2006/relationships/hyperlink" Target="https://www.zotero.org/google-docs/?sVqSOi" TargetMode="External"/><Relationship Id="rId4" Type="http://schemas.openxmlformats.org/officeDocument/2006/relationships/footnotes" Target="footnotes.xml"/><Relationship Id="rId180" Type="http://schemas.openxmlformats.org/officeDocument/2006/relationships/hyperlink" Target="https://www.zotero.org/google-docs/?sVqSOi" TargetMode="External"/><Relationship Id="rId215" Type="http://schemas.openxmlformats.org/officeDocument/2006/relationships/hyperlink" Target="https://www.zotero.org/google-docs/?sVqSOi" TargetMode="External"/><Relationship Id="rId236" Type="http://schemas.openxmlformats.org/officeDocument/2006/relationships/hyperlink" Target="https://www.zotero.org/google-docs/?sVqSOi" TargetMode="External"/><Relationship Id="rId257" Type="http://schemas.openxmlformats.org/officeDocument/2006/relationships/hyperlink" Target="https://www.zotero.org/google-docs/?sVqSOi" TargetMode="External"/><Relationship Id="rId42" Type="http://schemas.openxmlformats.org/officeDocument/2006/relationships/hyperlink" Target="https://www.zotero.org/google-docs/?YF4mw5" TargetMode="External"/><Relationship Id="rId84" Type="http://schemas.openxmlformats.org/officeDocument/2006/relationships/hyperlink" Target="https://www.zotero.org/google-docs/?HPB3Kx" TargetMode="External"/><Relationship Id="rId138" Type="http://schemas.openxmlformats.org/officeDocument/2006/relationships/hyperlink" Target="https://www.zotero.org/google-docs/?sVqSOi" TargetMode="External"/><Relationship Id="rId191" Type="http://schemas.openxmlformats.org/officeDocument/2006/relationships/hyperlink" Target="https://www.zotero.org/google-docs/?sVqSOi" TargetMode="External"/><Relationship Id="rId205" Type="http://schemas.openxmlformats.org/officeDocument/2006/relationships/hyperlink" Target="https://www.zotero.org/google-docs/?sVqSOi" TargetMode="External"/><Relationship Id="rId247" Type="http://schemas.openxmlformats.org/officeDocument/2006/relationships/hyperlink" Target="https://www.zotero.org/google-docs/?sVqS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13343</Words>
  <Characters>76056</Characters>
  <Application>Microsoft Office Word</Application>
  <DocSecurity>0</DocSecurity>
  <Lines>633</Lines>
  <Paragraphs>178</Paragraphs>
  <ScaleCrop>false</ScaleCrop>
  <Company/>
  <LinksUpToDate>false</LinksUpToDate>
  <CharactersWithSpaces>89221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Lili Wang</cp:lastModifiedBy>
  <cp:revision>2</cp:revision>
  <dcterms:created xsi:type="dcterms:W3CDTF">2023-05-10T15:09:00Z</dcterms:created>
  <dcterms:modified xsi:type="dcterms:W3CDTF">2023-05-10T15:09:00Z</dcterms:modified>
</cp:coreProperties>
</file>