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Lili Xu, Li Wang, Ruowen Tan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Work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Ferrara, Emilio, et al. "The rise of social bots."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arXiv preprint arXiv:1407.5225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(2014).</w:t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Lee, Kyumin, et al. "Who will retweet this?: Automatically identifying and engaging strangers on twitter to spread information."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Proceedings of the 19th international conference on Intelligent User Interfaces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ACM, 2014.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  <w:t xml:space="preserve">Bot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purchased 1000 USA followers online for our Twitter account @Mikupa55. The followers of this account are our training set for bot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Non-Bot accounts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Instructed in class, we firstly take Naive Bayes Classifier and Decision tree Classifier into consideration. What’s more, support vector machines and basic regression model (Logistic Regression) will also be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