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29355" w14:textId="77777777" w:rsidR="00AE7B49" w:rsidRPr="00AE7B49" w:rsidRDefault="00AE7B49" w:rsidP="00AE7B49">
      <w:r w:rsidRPr="00AE7B49">
        <w:t>一、法律法规知识</w:t>
      </w:r>
      <w:r w:rsidRPr="00AE7B49">
        <w:rPr>
          <w:rFonts w:ascii="Times New Roman" w:hAnsi="Times New Roman" w:cs="Times New Roman"/>
        </w:rPr>
        <w:t>​</w:t>
      </w:r>
    </w:p>
    <w:p w14:paraId="31BACD2A" w14:textId="77777777" w:rsidR="00AE7B49" w:rsidRPr="00AE7B49" w:rsidRDefault="00AE7B49" w:rsidP="00AE7B49">
      <w:r w:rsidRPr="00AE7B49">
        <w:rPr>
          <w:rFonts w:ascii="Times New Roman" w:hAnsi="Times New Roman" w:cs="Times New Roman"/>
        </w:rPr>
        <w:t>​</w:t>
      </w:r>
    </w:p>
    <w:p w14:paraId="665DA151" w14:textId="77777777" w:rsidR="00AE7B49" w:rsidRPr="00AE7B49" w:rsidRDefault="00AE7B49" w:rsidP="00AE7B49">
      <w:pPr>
        <w:numPr>
          <w:ilvl w:val="0"/>
          <w:numId w:val="1"/>
        </w:numPr>
      </w:pPr>
      <w:r w:rsidRPr="00AE7B49">
        <w:rPr>
          <w:b/>
          <w:bCs/>
        </w:rPr>
        <w:t>核心法律依据</w:t>
      </w:r>
      <w:r w:rsidRPr="00AE7B49">
        <w:t>：熟悉《中华人民共和国民法典》《中华人民共和国商业银行法》《个人信息保护法》以及《互联网金融贷后催收业务指引》等相关法律法规。这些法规明确了在贷款催收过程中各方的权利和义务，是开展催收工作的基础和准则。例如，《民法典》中关于债权债务关系的规定，为催收提供了基本的法律框架；《个人信息保护法》严格限制了对债务人个人信息的使用和保护，催收人员必须确保在合法合规的范围内处理相关信息。</w:t>
      </w:r>
      <w:r w:rsidRPr="00AE7B49">
        <w:rPr>
          <w:rFonts w:ascii="Times New Roman" w:hAnsi="Times New Roman" w:cs="Times New Roman"/>
        </w:rPr>
        <w:t>​</w:t>
      </w:r>
    </w:p>
    <w:p w14:paraId="31029132" w14:textId="77777777" w:rsidR="00AE7B49" w:rsidRPr="00AE7B49" w:rsidRDefault="00AE7B49" w:rsidP="00AE7B49">
      <w:pPr>
        <w:numPr>
          <w:ilvl w:val="0"/>
          <w:numId w:val="2"/>
        </w:numPr>
      </w:pPr>
      <w:r w:rsidRPr="00AE7B49">
        <w:rPr>
          <w:b/>
          <w:bCs/>
        </w:rPr>
        <w:t>合法催收界限</w:t>
      </w:r>
      <w:r w:rsidRPr="00AE7B49">
        <w:t>：明确禁止使用暴力、威胁、恐吓、侮辱、诽谤等非法手段进行催收。不得频繁拨打债务人电话、发送短信，避免对债务人及其联系人的正常生活造成干扰。如《互联网金融贷后催收业务指引》规定，双方未约定催收时间的，催收作业不应在每日 22:00 至次日 8:00 进行。同时，严禁向无关第三人透露债务人的欠款信息，除非在特定合法情形下，如无法联系到债务人本人，为及时恢复与债务人联系，且只能向联系人询问债务人联系方式或请其代为转告债务人与金融机构联系。</w:t>
      </w:r>
      <w:r w:rsidRPr="00AE7B49">
        <w:rPr>
          <w:rFonts w:ascii="Times New Roman" w:hAnsi="Times New Roman" w:cs="Times New Roman"/>
        </w:rPr>
        <w:t>​</w:t>
      </w:r>
    </w:p>
    <w:p w14:paraId="4A88ECCD" w14:textId="77777777" w:rsidR="00AE7B49" w:rsidRPr="00AE7B49" w:rsidRDefault="00AE7B49" w:rsidP="00AE7B49">
      <w:r w:rsidRPr="00AE7B49">
        <w:t>二、催收流程与策略</w:t>
      </w:r>
      <w:r w:rsidRPr="00AE7B49">
        <w:rPr>
          <w:rFonts w:ascii="Times New Roman" w:hAnsi="Times New Roman" w:cs="Times New Roman"/>
        </w:rPr>
        <w:t>​</w:t>
      </w:r>
    </w:p>
    <w:p w14:paraId="01F152D0" w14:textId="77777777" w:rsidR="00AE7B49" w:rsidRPr="00AE7B49" w:rsidRDefault="00AE7B49" w:rsidP="00AE7B49">
      <w:pPr>
        <w:numPr>
          <w:ilvl w:val="0"/>
          <w:numId w:val="3"/>
        </w:numPr>
      </w:pPr>
      <w:r w:rsidRPr="00AE7B49">
        <w:rPr>
          <w:b/>
          <w:bCs/>
        </w:rPr>
        <w:t>逾期账户识别与分类</w:t>
      </w:r>
      <w:r w:rsidRPr="00AE7B49">
        <w:t>：银行通过内部系统监控，及时识别出逾期未还款的账户。根据债务人的信用历史、欠款金额、逾期时间等因素，将逾期账户分为不同类别，如轻度逾期（逾期 1 - 30 天）、中度逾期（逾期 31 - 90 天）、重度逾期（逾期 91 天以上）。针对不同类别的账户，制定个性化的催收策略和沟通计划。例如，对于轻度逾期客户，可能以温和的提醒为主，通过短信、邮件等方式告知其还款逾期情况及可能产生的后果；而对于重度逾期客户，则可能需要采取更为强硬的措施，包括法律诉讼等。</w:t>
      </w:r>
      <w:r w:rsidRPr="00AE7B49">
        <w:rPr>
          <w:rFonts w:ascii="Times New Roman" w:hAnsi="Times New Roman" w:cs="Times New Roman"/>
        </w:rPr>
        <w:t>​</w:t>
      </w:r>
    </w:p>
    <w:p w14:paraId="22029CFA" w14:textId="77777777" w:rsidR="00AE7B49" w:rsidRPr="00AE7B49" w:rsidRDefault="00AE7B49" w:rsidP="00AE7B49">
      <w:pPr>
        <w:numPr>
          <w:ilvl w:val="0"/>
          <w:numId w:val="4"/>
        </w:numPr>
        <w:rPr>
          <w:b/>
          <w:bCs/>
        </w:rPr>
      </w:pPr>
      <w:r w:rsidRPr="00AE7B49">
        <w:rPr>
          <w:b/>
          <w:bCs/>
        </w:rPr>
        <w:t>制定催收策略</w:t>
      </w:r>
      <w:r w:rsidRPr="00AE7B49">
        <w:rPr>
          <w:rFonts w:ascii="Times New Roman" w:hAnsi="Times New Roman" w:cs="Times New Roman"/>
          <w:b/>
          <w:bCs/>
        </w:rPr>
        <w:t>​</w:t>
      </w:r>
    </w:p>
    <w:p w14:paraId="594CEB21" w14:textId="77777777" w:rsidR="00AE7B49" w:rsidRPr="00AE7B49" w:rsidRDefault="00AE7B49" w:rsidP="00AE7B49">
      <w:pPr>
        <w:numPr>
          <w:ilvl w:val="0"/>
          <w:numId w:val="5"/>
        </w:numPr>
      </w:pPr>
      <w:r w:rsidRPr="00AE7B49">
        <w:rPr>
          <w:b/>
          <w:bCs/>
        </w:rPr>
        <w:t>沟通方式选择</w:t>
      </w:r>
      <w:r w:rsidRPr="00AE7B49">
        <w:t>：根据债务人的具体情况，选择合适的沟通方式。电话催收是最常用的方式之一，具有直接、高效的特点。在拨打电话时，要注意语言礼貌、态度专业，遵循相关的通话规范，如控制通话时长、避免在不合适的时间拨打等。信函催收则适用于需要正式通知债务人还款事宜的情况，信函内容应清晰明确，包含逾期金额、还款期限、违约后果等关键信息。此外，还可以结合短信、电子邮件等方式进行辅助提醒。</w:t>
      </w:r>
      <w:r w:rsidRPr="00AE7B49">
        <w:rPr>
          <w:rFonts w:ascii="Times New Roman" w:hAnsi="Times New Roman" w:cs="Times New Roman"/>
        </w:rPr>
        <w:t>​</w:t>
      </w:r>
    </w:p>
    <w:p w14:paraId="76E52654" w14:textId="77777777" w:rsidR="00AE7B49" w:rsidRPr="00AE7B49" w:rsidRDefault="00AE7B49" w:rsidP="00AE7B49">
      <w:pPr>
        <w:numPr>
          <w:ilvl w:val="0"/>
          <w:numId w:val="6"/>
        </w:numPr>
      </w:pPr>
      <w:r w:rsidRPr="00AE7B49">
        <w:rPr>
          <w:b/>
          <w:bCs/>
        </w:rPr>
        <w:t>还款方案制定</w:t>
      </w:r>
      <w:r w:rsidRPr="00AE7B49">
        <w:t>：对于有还款意愿但暂时存在还款困难的债务人，催收人员应与债务人共同协商，制定合理的还款方案。这可能包括分期付款、延期还款、减免部分利息或费用等方式。例如，根据债务人的收入情况，制定每月固定还款金额的分期计划，帮助债务人逐步偿还欠款，同时也提高了银行的回款可能性。</w:t>
      </w:r>
      <w:r w:rsidRPr="00AE7B49">
        <w:rPr>
          <w:rFonts w:ascii="Times New Roman" w:hAnsi="Times New Roman" w:cs="Times New Roman"/>
        </w:rPr>
        <w:t>​</w:t>
      </w:r>
    </w:p>
    <w:p w14:paraId="4FFC6072" w14:textId="77777777" w:rsidR="00AE7B49" w:rsidRPr="00AE7B49" w:rsidRDefault="00AE7B49" w:rsidP="00AE7B49">
      <w:pPr>
        <w:numPr>
          <w:ilvl w:val="0"/>
          <w:numId w:val="7"/>
        </w:numPr>
      </w:pPr>
      <w:r w:rsidRPr="00AE7B49">
        <w:rPr>
          <w:b/>
          <w:bCs/>
        </w:rPr>
        <w:lastRenderedPageBreak/>
        <w:t>法律手段运用</w:t>
      </w:r>
      <w:r w:rsidRPr="00AE7B49">
        <w:t>：在必要时，通过法律途径维护银行的合法权益。这包括向债务人发送律师函，明确告知其违约行为及可能面临的法律后果；申请支付令，要求债务人在规定期限内偿还债务；向法院提起诉讼，通过司法程序强制执行债务人的财产。但法律手段通常作为最后的手段，在采取之前应充分评估成本和效果。</w:t>
      </w:r>
      <w:r w:rsidRPr="00AE7B49">
        <w:rPr>
          <w:rFonts w:ascii="Times New Roman" w:hAnsi="Times New Roman" w:cs="Times New Roman"/>
        </w:rPr>
        <w:t>​</w:t>
      </w:r>
    </w:p>
    <w:p w14:paraId="200CE00A" w14:textId="77777777" w:rsidR="00AE7B49" w:rsidRPr="00AE7B49" w:rsidRDefault="00AE7B49" w:rsidP="00AE7B49">
      <w:r w:rsidRPr="00AE7B49">
        <w:t>三、人员管理与职业素养</w:t>
      </w:r>
      <w:r w:rsidRPr="00AE7B49">
        <w:rPr>
          <w:rFonts w:ascii="Times New Roman" w:hAnsi="Times New Roman" w:cs="Times New Roman"/>
        </w:rPr>
        <w:t>​</w:t>
      </w:r>
    </w:p>
    <w:p w14:paraId="28FBA551" w14:textId="77777777" w:rsidR="00AE7B49" w:rsidRPr="00AE7B49" w:rsidRDefault="00AE7B49" w:rsidP="00AE7B49">
      <w:pPr>
        <w:numPr>
          <w:ilvl w:val="0"/>
          <w:numId w:val="8"/>
        </w:numPr>
      </w:pPr>
      <w:r w:rsidRPr="00AE7B49">
        <w:rPr>
          <w:b/>
          <w:bCs/>
        </w:rPr>
        <w:t>人员选用标准</w:t>
      </w:r>
      <w:r w:rsidRPr="00AE7B49">
        <w:t>：制定严格的催收人员选用标准，优先录用具备金融、法律、心理学等相关专业知识背景的人员。坚决避免选用有暴力犯罪记录和严重不良信用记录的人员，确保催收团队的整体素质和形象。</w:t>
      </w:r>
      <w:r w:rsidRPr="00AE7B49">
        <w:rPr>
          <w:rFonts w:ascii="Times New Roman" w:hAnsi="Times New Roman" w:cs="Times New Roman"/>
        </w:rPr>
        <w:t>​</w:t>
      </w:r>
    </w:p>
    <w:p w14:paraId="5901EB6B" w14:textId="77777777" w:rsidR="00AE7B49" w:rsidRPr="00AE7B49" w:rsidRDefault="00AE7B49" w:rsidP="00AE7B49">
      <w:pPr>
        <w:numPr>
          <w:ilvl w:val="0"/>
          <w:numId w:val="9"/>
        </w:numPr>
        <w:rPr>
          <w:b/>
          <w:bCs/>
        </w:rPr>
      </w:pPr>
      <w:r w:rsidRPr="00AE7B49">
        <w:rPr>
          <w:b/>
          <w:bCs/>
        </w:rPr>
        <w:t>培训与考核机制</w:t>
      </w:r>
      <w:r w:rsidRPr="00AE7B49">
        <w:rPr>
          <w:rFonts w:ascii="Times New Roman" w:hAnsi="Times New Roman" w:cs="Times New Roman"/>
          <w:b/>
          <w:bCs/>
        </w:rPr>
        <w:t>​</w:t>
      </w:r>
    </w:p>
    <w:p w14:paraId="39B13D4A" w14:textId="77777777" w:rsidR="00AE7B49" w:rsidRPr="00AE7B49" w:rsidRDefault="00AE7B49" w:rsidP="00AE7B49">
      <w:pPr>
        <w:numPr>
          <w:ilvl w:val="0"/>
          <w:numId w:val="10"/>
        </w:numPr>
      </w:pPr>
      <w:r w:rsidRPr="00AE7B49">
        <w:rPr>
          <w:b/>
          <w:bCs/>
        </w:rPr>
        <w:t>岗前培训</w:t>
      </w:r>
      <w:r w:rsidRPr="00AE7B49">
        <w:t>：催收人员上岗前必须进行全面系统的岗前培训，培训内容包括金融基础知识，如贷款产品的种类、利率计算方式、还款方式等；职业道德规范，强调合法合规、诚信、公正等原则；作业规范，详细讲解催收流程、沟通技巧、各类催收工具的使用方法等；网络安全知识和保护客户隐私的相关要求，确保在工作中能够妥善保护债务人的个人信息安全。培训结束后，进行严格的考核，只有考核合格的人员才能正式上岗。</w:t>
      </w:r>
      <w:r w:rsidRPr="00AE7B49">
        <w:rPr>
          <w:rFonts w:ascii="Times New Roman" w:hAnsi="Times New Roman" w:cs="Times New Roman"/>
        </w:rPr>
        <w:t>​</w:t>
      </w:r>
    </w:p>
    <w:p w14:paraId="5F891C6B" w14:textId="77777777" w:rsidR="00AE7B49" w:rsidRPr="00AE7B49" w:rsidRDefault="00AE7B49" w:rsidP="00AE7B49">
      <w:pPr>
        <w:numPr>
          <w:ilvl w:val="0"/>
          <w:numId w:val="11"/>
        </w:numPr>
      </w:pPr>
      <w:r w:rsidRPr="00AE7B49">
        <w:rPr>
          <w:b/>
          <w:bCs/>
        </w:rPr>
        <w:t>在职培训与考核</w:t>
      </w:r>
      <w:r w:rsidRPr="00AE7B49">
        <w:t>：每年至少对催收人员进行一次催收业务、网络安全意识培训和考核，持续提升其专业能力和职业素养。随着法律法规的不断完善和市场环境的变化，及时更新培训内容，使催收人员能够掌握最新的政策和业务知识。同时，将合规操作、催收效果、信息安全、投诉情况等纳入综合考核体系，避免采用单一以债务回收金额提成的考核方式，引导催收人员注重合规和服务质量。</w:t>
      </w:r>
      <w:r w:rsidRPr="00AE7B49">
        <w:rPr>
          <w:rFonts w:ascii="Times New Roman" w:hAnsi="Times New Roman" w:cs="Times New Roman"/>
        </w:rPr>
        <w:t>​</w:t>
      </w:r>
    </w:p>
    <w:p w14:paraId="2A141B3A" w14:textId="77777777" w:rsidR="00AE7B49" w:rsidRPr="00AE7B49" w:rsidRDefault="00AE7B49" w:rsidP="00AE7B49">
      <w:pPr>
        <w:numPr>
          <w:ilvl w:val="0"/>
          <w:numId w:val="12"/>
        </w:numPr>
      </w:pPr>
      <w:r w:rsidRPr="00AE7B49">
        <w:rPr>
          <w:b/>
          <w:bCs/>
        </w:rPr>
        <w:t>行为规范与职业道德</w:t>
      </w:r>
      <w:r w:rsidRPr="00AE7B49">
        <w:t>：催收人员在工作中应始终保持专业、客观、公正的态度，不得利用职务之便谋取私利。严格遵守保密制度，对债务人的个人信息和催收过程中的相关信息予以保密。尊重债务人的人格尊严和合法权益，不得使用侮辱性语言或采取不当行为对债务人进行催收。例如，不得在公共场合大声宣扬债务人的欠款信息，避免对债务人的名誉造成损害。</w:t>
      </w:r>
      <w:r w:rsidRPr="00AE7B49">
        <w:rPr>
          <w:rFonts w:ascii="Times New Roman" w:hAnsi="Times New Roman" w:cs="Times New Roman"/>
        </w:rPr>
        <w:t>​</w:t>
      </w:r>
    </w:p>
    <w:p w14:paraId="60653831" w14:textId="77777777" w:rsidR="00AE7B49" w:rsidRPr="00AE7B49" w:rsidRDefault="00AE7B49" w:rsidP="00AE7B49">
      <w:r w:rsidRPr="00AE7B49">
        <w:t>四、个人信息保护</w:t>
      </w:r>
      <w:r w:rsidRPr="00AE7B49">
        <w:rPr>
          <w:rFonts w:ascii="Times New Roman" w:hAnsi="Times New Roman" w:cs="Times New Roman"/>
        </w:rPr>
        <w:t>​</w:t>
      </w:r>
    </w:p>
    <w:p w14:paraId="26298B84" w14:textId="77777777" w:rsidR="00AE7B49" w:rsidRPr="00AE7B49" w:rsidRDefault="00AE7B49" w:rsidP="00AE7B49">
      <w:pPr>
        <w:numPr>
          <w:ilvl w:val="0"/>
          <w:numId w:val="13"/>
        </w:numPr>
      </w:pPr>
      <w:r w:rsidRPr="00AE7B49">
        <w:rPr>
          <w:b/>
          <w:bCs/>
        </w:rPr>
        <w:t>信息获取与使用</w:t>
      </w:r>
      <w:r w:rsidRPr="00AE7B49">
        <w:t>：金融机构和第三方催收机构只能通过合法途径获取债务人的联系信息，如合同或协议约定的联系方式、在金融机构预留的联系方式、双方沟通后获取的联系方式、债务人本人自行公开的联系方式等。在使用债务人的个人信息时，必须遵循最少、必要、够用原则，仅用于与催收业务直接相关的目的，不得将信息泄露给无关第三方或用于其他商业用途。</w:t>
      </w:r>
      <w:r w:rsidRPr="00AE7B49">
        <w:rPr>
          <w:rFonts w:ascii="Times New Roman" w:hAnsi="Times New Roman" w:cs="Times New Roman"/>
        </w:rPr>
        <w:t>​</w:t>
      </w:r>
    </w:p>
    <w:p w14:paraId="22DA0705" w14:textId="77777777" w:rsidR="00AE7B49" w:rsidRPr="00AE7B49" w:rsidRDefault="00AE7B49" w:rsidP="00AE7B49">
      <w:pPr>
        <w:numPr>
          <w:ilvl w:val="0"/>
          <w:numId w:val="14"/>
        </w:numPr>
      </w:pPr>
      <w:r w:rsidRPr="00AE7B49">
        <w:rPr>
          <w:b/>
          <w:bCs/>
        </w:rPr>
        <w:t>信息存储与安全</w:t>
      </w:r>
      <w:r w:rsidRPr="00AE7B49">
        <w:t>：对债务人的个人信息进行妥善存储，采取必要的技术和管理</w:t>
      </w:r>
      <w:r w:rsidRPr="00AE7B49">
        <w:lastRenderedPageBreak/>
        <w:t>措施，确保信息的安全性。例如，使用加密技术对敏感信息进行加密存储，限制访问权限，只有经过授权的人员才能访问相关信息。建立信息安全应急处置机制，一旦发生信息泄露事件，能够及时采取措施进行补救，降低损失和影响。</w:t>
      </w:r>
      <w:r w:rsidRPr="00AE7B49">
        <w:rPr>
          <w:rFonts w:ascii="Times New Roman" w:hAnsi="Times New Roman" w:cs="Times New Roman"/>
        </w:rPr>
        <w:t>​</w:t>
      </w:r>
    </w:p>
    <w:p w14:paraId="214C09E9" w14:textId="77777777" w:rsidR="00AE7B49" w:rsidRPr="00AE7B49" w:rsidRDefault="00AE7B49" w:rsidP="00AE7B49">
      <w:pPr>
        <w:numPr>
          <w:ilvl w:val="0"/>
          <w:numId w:val="15"/>
        </w:numPr>
      </w:pPr>
      <w:r w:rsidRPr="00AE7B49">
        <w:rPr>
          <w:b/>
          <w:bCs/>
        </w:rPr>
        <w:t>信息披露与告知</w:t>
      </w:r>
      <w:r w:rsidRPr="00AE7B49">
        <w:t>：金融机构应以清晰易懂的语言向债务人明确告知可能将其个人信息向第三方催收机构提供的适用情形和范围。在与第三方催收机构签订的协议中，明确规定第三方催收机构对个人信息的保护义务和具体违约责任，确保债务人的个人信息在委托催收过程中得到充分保护。</w:t>
      </w:r>
      <w:r w:rsidRPr="00AE7B49">
        <w:rPr>
          <w:rFonts w:ascii="Times New Roman" w:hAnsi="Times New Roman" w:cs="Times New Roman"/>
        </w:rPr>
        <w:t>​</w:t>
      </w:r>
    </w:p>
    <w:p w14:paraId="7D24E0DE" w14:textId="77777777" w:rsidR="00AE7B49" w:rsidRPr="00AE7B49" w:rsidRDefault="00AE7B49" w:rsidP="00AE7B49">
      <w:r w:rsidRPr="00AE7B49">
        <w:t>五、投诉处理与风险防范</w:t>
      </w:r>
      <w:r w:rsidRPr="00AE7B49">
        <w:rPr>
          <w:rFonts w:ascii="Times New Roman" w:hAnsi="Times New Roman" w:cs="Times New Roman"/>
        </w:rPr>
        <w:t>​</w:t>
      </w:r>
    </w:p>
    <w:p w14:paraId="0AD3B1D1" w14:textId="77777777" w:rsidR="00AE7B49" w:rsidRPr="00AE7B49" w:rsidRDefault="00AE7B49" w:rsidP="00AE7B49">
      <w:pPr>
        <w:numPr>
          <w:ilvl w:val="0"/>
          <w:numId w:val="16"/>
        </w:numPr>
      </w:pPr>
      <w:r w:rsidRPr="00AE7B49">
        <w:rPr>
          <w:b/>
          <w:bCs/>
        </w:rPr>
        <w:t>投诉渠道与处理流程</w:t>
      </w:r>
      <w:r w:rsidRPr="00AE7B49">
        <w:t>：在官方网站、移动应用程序等官方渠道的醒目位置对外披露投诉处理信息，保障投诉渠道畅通。当收到债务人或相关方的投诉时，应及时、积极地进行处理。建立专门的投诉处理团队或岗位，对投诉内容进行详细记录和分析，在规定的时间内给予投诉人明确的答复和解决方案。对于合理的投诉，应及时采取措施进行整改，避免类似问题再次发生。</w:t>
      </w:r>
      <w:r w:rsidRPr="00AE7B49">
        <w:rPr>
          <w:rFonts w:ascii="Times New Roman" w:hAnsi="Times New Roman" w:cs="Times New Roman"/>
        </w:rPr>
        <w:t>​</w:t>
      </w:r>
    </w:p>
    <w:p w14:paraId="76595A7E" w14:textId="77777777" w:rsidR="00AE7B49" w:rsidRPr="00AE7B49" w:rsidRDefault="00AE7B49" w:rsidP="00AE7B49">
      <w:pPr>
        <w:numPr>
          <w:ilvl w:val="0"/>
          <w:numId w:val="17"/>
        </w:numPr>
      </w:pPr>
      <w:r w:rsidRPr="00AE7B49">
        <w:rPr>
          <w:b/>
          <w:bCs/>
        </w:rPr>
        <w:t>风险预警与应急处置</w:t>
      </w:r>
      <w:r w:rsidRPr="00AE7B49">
        <w:t>：建立风险预警机制，通过数据分析和监测，及时发现潜在的催收风险，如债务人出现失联、恶意拖欠等迹象。针对可能出现的风险事件，制定相应的应急处置预案，明确在不同风险情况下的应对措施和责任分工。例如，当遇到债务人投诉催收人员存在违规行为时，能够迅速启动调查程序，对相关人员进行处理，并及时向投诉人反馈处理结果，有效化解风险和危机，维护银行的声誉和形象。</w:t>
      </w:r>
    </w:p>
    <w:p w14:paraId="74ED7B30" w14:textId="77777777" w:rsidR="00583AA2" w:rsidRDefault="00583AA2">
      <w:pPr>
        <w:rPr>
          <w:rFonts w:hint="eastAsia"/>
        </w:rPr>
      </w:pPr>
    </w:p>
    <w:sectPr w:rsidR="00583A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826AB2" w14:textId="77777777" w:rsidR="003B522D" w:rsidRDefault="003B522D" w:rsidP="00AE7B49">
      <w:pPr>
        <w:spacing w:after="0" w:line="240" w:lineRule="auto"/>
        <w:rPr>
          <w:rFonts w:hint="eastAsia"/>
        </w:rPr>
      </w:pPr>
      <w:r>
        <w:separator/>
      </w:r>
    </w:p>
  </w:endnote>
  <w:endnote w:type="continuationSeparator" w:id="0">
    <w:p w14:paraId="23692129" w14:textId="77777777" w:rsidR="003B522D" w:rsidRDefault="003B522D" w:rsidP="00AE7B49">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C04D26" w14:textId="77777777" w:rsidR="003B522D" w:rsidRDefault="003B522D" w:rsidP="00AE7B49">
      <w:pPr>
        <w:spacing w:after="0" w:line="240" w:lineRule="auto"/>
        <w:rPr>
          <w:rFonts w:hint="eastAsia"/>
        </w:rPr>
      </w:pPr>
      <w:r>
        <w:separator/>
      </w:r>
    </w:p>
  </w:footnote>
  <w:footnote w:type="continuationSeparator" w:id="0">
    <w:p w14:paraId="17E2F6E1" w14:textId="77777777" w:rsidR="003B522D" w:rsidRDefault="003B522D" w:rsidP="00AE7B49">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55822"/>
    <w:multiLevelType w:val="multilevel"/>
    <w:tmpl w:val="A6F0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04024"/>
    <w:multiLevelType w:val="multilevel"/>
    <w:tmpl w:val="AAEE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D5053"/>
    <w:multiLevelType w:val="multilevel"/>
    <w:tmpl w:val="6CBA7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CB0B67"/>
    <w:multiLevelType w:val="multilevel"/>
    <w:tmpl w:val="23CA4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646C5F"/>
    <w:multiLevelType w:val="multilevel"/>
    <w:tmpl w:val="76CC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91960"/>
    <w:multiLevelType w:val="multilevel"/>
    <w:tmpl w:val="51BC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414544"/>
    <w:multiLevelType w:val="multilevel"/>
    <w:tmpl w:val="2362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24947"/>
    <w:multiLevelType w:val="multilevel"/>
    <w:tmpl w:val="CD5CC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CA71A3"/>
    <w:multiLevelType w:val="multilevel"/>
    <w:tmpl w:val="90D001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E9001C"/>
    <w:multiLevelType w:val="multilevel"/>
    <w:tmpl w:val="E3EA1C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4D43FA"/>
    <w:multiLevelType w:val="multilevel"/>
    <w:tmpl w:val="FCBEA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100382"/>
    <w:multiLevelType w:val="multilevel"/>
    <w:tmpl w:val="7676FC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4C00F0"/>
    <w:multiLevelType w:val="multilevel"/>
    <w:tmpl w:val="4686F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CB05EE"/>
    <w:multiLevelType w:val="multilevel"/>
    <w:tmpl w:val="6298BB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2F1106"/>
    <w:multiLevelType w:val="multilevel"/>
    <w:tmpl w:val="8F7ADF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7C4893"/>
    <w:multiLevelType w:val="multilevel"/>
    <w:tmpl w:val="CE3C6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500A29"/>
    <w:multiLevelType w:val="multilevel"/>
    <w:tmpl w:val="E31A00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6218063">
    <w:abstractNumId w:val="10"/>
  </w:num>
  <w:num w:numId="2" w16cid:durableId="427309572">
    <w:abstractNumId w:val="7"/>
  </w:num>
  <w:num w:numId="3" w16cid:durableId="1422337282">
    <w:abstractNumId w:val="15"/>
  </w:num>
  <w:num w:numId="4" w16cid:durableId="555094285">
    <w:abstractNumId w:val="11"/>
  </w:num>
  <w:num w:numId="5" w16cid:durableId="1999920207">
    <w:abstractNumId w:val="6"/>
  </w:num>
  <w:num w:numId="6" w16cid:durableId="449517396">
    <w:abstractNumId w:val="1"/>
  </w:num>
  <w:num w:numId="7" w16cid:durableId="662243757">
    <w:abstractNumId w:val="0"/>
  </w:num>
  <w:num w:numId="8" w16cid:durableId="1762330476">
    <w:abstractNumId w:val="12"/>
  </w:num>
  <w:num w:numId="9" w16cid:durableId="534385959">
    <w:abstractNumId w:val="16"/>
  </w:num>
  <w:num w:numId="10" w16cid:durableId="651183109">
    <w:abstractNumId w:val="4"/>
  </w:num>
  <w:num w:numId="11" w16cid:durableId="1203514229">
    <w:abstractNumId w:val="5"/>
  </w:num>
  <w:num w:numId="12" w16cid:durableId="585043442">
    <w:abstractNumId w:val="13"/>
  </w:num>
  <w:num w:numId="13" w16cid:durableId="851913428">
    <w:abstractNumId w:val="2"/>
  </w:num>
  <w:num w:numId="14" w16cid:durableId="1192457966">
    <w:abstractNumId w:val="8"/>
  </w:num>
  <w:num w:numId="15" w16cid:durableId="680477217">
    <w:abstractNumId w:val="9"/>
  </w:num>
  <w:num w:numId="16" w16cid:durableId="1335187257">
    <w:abstractNumId w:val="3"/>
  </w:num>
  <w:num w:numId="17" w16cid:durableId="8940046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8C8"/>
    <w:rsid w:val="003B522D"/>
    <w:rsid w:val="00583AA2"/>
    <w:rsid w:val="00675511"/>
    <w:rsid w:val="009B58C8"/>
    <w:rsid w:val="009E2A7B"/>
    <w:rsid w:val="00AE7B49"/>
    <w:rsid w:val="00DF1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9ED81BDD-B328-46AE-9BB8-3A7EC6FD1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B58C8"/>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9B58C8"/>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9B58C8"/>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9B58C8"/>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9B58C8"/>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9B58C8"/>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9B58C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B58C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B58C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58C8"/>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9B58C8"/>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9B58C8"/>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9B58C8"/>
    <w:rPr>
      <w:rFonts w:cstheme="majorBidi"/>
      <w:color w:val="2F5496" w:themeColor="accent1" w:themeShade="BF"/>
      <w:sz w:val="28"/>
      <w:szCs w:val="28"/>
    </w:rPr>
  </w:style>
  <w:style w:type="character" w:customStyle="1" w:styleId="50">
    <w:name w:val="标题 5 字符"/>
    <w:basedOn w:val="a0"/>
    <w:link w:val="5"/>
    <w:uiPriority w:val="9"/>
    <w:semiHidden/>
    <w:rsid w:val="009B58C8"/>
    <w:rPr>
      <w:rFonts w:cstheme="majorBidi"/>
      <w:color w:val="2F5496" w:themeColor="accent1" w:themeShade="BF"/>
      <w:sz w:val="24"/>
    </w:rPr>
  </w:style>
  <w:style w:type="character" w:customStyle="1" w:styleId="60">
    <w:name w:val="标题 6 字符"/>
    <w:basedOn w:val="a0"/>
    <w:link w:val="6"/>
    <w:uiPriority w:val="9"/>
    <w:semiHidden/>
    <w:rsid w:val="009B58C8"/>
    <w:rPr>
      <w:rFonts w:cstheme="majorBidi"/>
      <w:b/>
      <w:bCs/>
      <w:color w:val="2F5496" w:themeColor="accent1" w:themeShade="BF"/>
    </w:rPr>
  </w:style>
  <w:style w:type="character" w:customStyle="1" w:styleId="70">
    <w:name w:val="标题 7 字符"/>
    <w:basedOn w:val="a0"/>
    <w:link w:val="7"/>
    <w:uiPriority w:val="9"/>
    <w:semiHidden/>
    <w:rsid w:val="009B58C8"/>
    <w:rPr>
      <w:rFonts w:cstheme="majorBidi"/>
      <w:b/>
      <w:bCs/>
      <w:color w:val="595959" w:themeColor="text1" w:themeTint="A6"/>
    </w:rPr>
  </w:style>
  <w:style w:type="character" w:customStyle="1" w:styleId="80">
    <w:name w:val="标题 8 字符"/>
    <w:basedOn w:val="a0"/>
    <w:link w:val="8"/>
    <w:uiPriority w:val="9"/>
    <w:semiHidden/>
    <w:rsid w:val="009B58C8"/>
    <w:rPr>
      <w:rFonts w:cstheme="majorBidi"/>
      <w:color w:val="595959" w:themeColor="text1" w:themeTint="A6"/>
    </w:rPr>
  </w:style>
  <w:style w:type="character" w:customStyle="1" w:styleId="90">
    <w:name w:val="标题 9 字符"/>
    <w:basedOn w:val="a0"/>
    <w:link w:val="9"/>
    <w:uiPriority w:val="9"/>
    <w:semiHidden/>
    <w:rsid w:val="009B58C8"/>
    <w:rPr>
      <w:rFonts w:eastAsiaTheme="majorEastAsia" w:cstheme="majorBidi"/>
      <w:color w:val="595959" w:themeColor="text1" w:themeTint="A6"/>
    </w:rPr>
  </w:style>
  <w:style w:type="paragraph" w:styleId="a3">
    <w:name w:val="Title"/>
    <w:basedOn w:val="a"/>
    <w:next w:val="a"/>
    <w:link w:val="a4"/>
    <w:uiPriority w:val="10"/>
    <w:qFormat/>
    <w:rsid w:val="009B58C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B58C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B58C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B58C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B58C8"/>
    <w:pPr>
      <w:spacing w:before="160"/>
      <w:jc w:val="center"/>
    </w:pPr>
    <w:rPr>
      <w:i/>
      <w:iCs/>
      <w:color w:val="404040" w:themeColor="text1" w:themeTint="BF"/>
    </w:rPr>
  </w:style>
  <w:style w:type="character" w:customStyle="1" w:styleId="a8">
    <w:name w:val="引用 字符"/>
    <w:basedOn w:val="a0"/>
    <w:link w:val="a7"/>
    <w:uiPriority w:val="29"/>
    <w:rsid w:val="009B58C8"/>
    <w:rPr>
      <w:i/>
      <w:iCs/>
      <w:color w:val="404040" w:themeColor="text1" w:themeTint="BF"/>
    </w:rPr>
  </w:style>
  <w:style w:type="paragraph" w:styleId="a9">
    <w:name w:val="List Paragraph"/>
    <w:basedOn w:val="a"/>
    <w:uiPriority w:val="34"/>
    <w:qFormat/>
    <w:rsid w:val="009B58C8"/>
    <w:pPr>
      <w:ind w:left="720"/>
      <w:contextualSpacing/>
    </w:pPr>
  </w:style>
  <w:style w:type="character" w:styleId="aa">
    <w:name w:val="Intense Emphasis"/>
    <w:basedOn w:val="a0"/>
    <w:uiPriority w:val="21"/>
    <w:qFormat/>
    <w:rsid w:val="009B58C8"/>
    <w:rPr>
      <w:i/>
      <w:iCs/>
      <w:color w:val="2F5496" w:themeColor="accent1" w:themeShade="BF"/>
    </w:rPr>
  </w:style>
  <w:style w:type="paragraph" w:styleId="ab">
    <w:name w:val="Intense Quote"/>
    <w:basedOn w:val="a"/>
    <w:next w:val="a"/>
    <w:link w:val="ac"/>
    <w:uiPriority w:val="30"/>
    <w:qFormat/>
    <w:rsid w:val="009B58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9B58C8"/>
    <w:rPr>
      <w:i/>
      <w:iCs/>
      <w:color w:val="2F5496" w:themeColor="accent1" w:themeShade="BF"/>
    </w:rPr>
  </w:style>
  <w:style w:type="character" w:styleId="ad">
    <w:name w:val="Intense Reference"/>
    <w:basedOn w:val="a0"/>
    <w:uiPriority w:val="32"/>
    <w:qFormat/>
    <w:rsid w:val="009B58C8"/>
    <w:rPr>
      <w:b/>
      <w:bCs/>
      <w:smallCaps/>
      <w:color w:val="2F5496" w:themeColor="accent1" w:themeShade="BF"/>
      <w:spacing w:val="5"/>
    </w:rPr>
  </w:style>
  <w:style w:type="paragraph" w:styleId="ae">
    <w:name w:val="header"/>
    <w:basedOn w:val="a"/>
    <w:link w:val="af"/>
    <w:uiPriority w:val="99"/>
    <w:unhideWhenUsed/>
    <w:rsid w:val="00AE7B49"/>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AE7B49"/>
    <w:rPr>
      <w:sz w:val="18"/>
      <w:szCs w:val="18"/>
    </w:rPr>
  </w:style>
  <w:style w:type="paragraph" w:styleId="af0">
    <w:name w:val="footer"/>
    <w:basedOn w:val="a"/>
    <w:link w:val="af1"/>
    <w:uiPriority w:val="99"/>
    <w:unhideWhenUsed/>
    <w:rsid w:val="00AE7B49"/>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AE7B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剑松 李</dc:creator>
  <cp:keywords/>
  <dc:description/>
  <cp:lastModifiedBy>剑松 李</cp:lastModifiedBy>
  <cp:revision>2</cp:revision>
  <dcterms:created xsi:type="dcterms:W3CDTF">2025-07-30T01:17:00Z</dcterms:created>
  <dcterms:modified xsi:type="dcterms:W3CDTF">2025-07-30T01:17:00Z</dcterms:modified>
</cp:coreProperties>
</file>