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filtered out any method whose name contained the string `test` (these were mostly auto-generated names like `test_0967`, `test_0564`, etc.), and discarded methods longer than 256 tokens.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with max sequence length 512, per-device batch size 1 and gradient accumulation 4 (effective batch size 4), using AdamW with learning rate 1e-4; this run had about 9.8k training steps, and a final training loss of about 2.32, yielding an exact-match accuracy of </w:t>
      </w:r>
      <w:r>
        <w:rPr>
          <w:rFonts w:ascii="Times New Roman" w:hAnsi="Times New Roman"/>
          <w:b/>
          <w:bCs/>
          <w:sz w:val="22"/>
          <w:szCs w:val="22"/>
        </w:rPr>
        <w:t>44.6%</w:t>
      </w:r>
      <w:r>
        <w:rPr>
          <w:rFonts w:ascii="Times New Roman" w:hAnsi="Times New Roman"/>
          <w:sz w:val="22"/>
          <w:szCs w:val="22"/>
        </w:rPr>
        <w:t xml:space="preserve">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w:t>
      </w:r>
      <w:r>
        <w:rPr>
          <w:rFonts w:ascii="Times New Roman" w:hAnsi="Times New Roman"/>
          <w:b/>
          <w:bCs/>
          <w:sz w:val="22"/>
          <w:szCs w:val="22"/>
        </w:rPr>
        <w:t>48.84%</w:t>
      </w:r>
      <w:r>
        <w:rPr>
          <w:rFonts w:ascii="Times New Roman" w:hAnsi="Times New Roman"/>
          <w:sz w:val="22"/>
          <w:szCs w:val="22"/>
        </w:rPr>
        <w:t xml:space="preserve"> on the same 10k-method test set. Finally, </w:t>
      </w:r>
      <w:r>
        <w:rPr>
          <w:rFonts w:ascii="Times New Roman" w:hAnsi="Times New Roman"/>
          <w:sz w:val="22"/>
          <w:szCs w:val="22"/>
        </w:rPr>
        <w:t>I</w:t>
      </w:r>
      <w:r>
        <w:rPr>
          <w:rFonts w:ascii="Times New Roman" w:hAnsi="Times New Roman"/>
          <w:sz w:val="22"/>
          <w:szCs w:val="22"/>
        </w:rPr>
        <w:t xml:space="preserve"> keep the same data and hyperparameters while increasing the number of epochs, I observed smaller but consistent gains: training for two epochs yielded an exact-match accuracy of </w:t>
      </w:r>
      <w:r>
        <w:rPr>
          <w:rFonts w:ascii="Times New Roman" w:hAnsi="Times New Roman"/>
          <w:b/>
          <w:bCs/>
          <w:sz w:val="22"/>
          <w:szCs w:val="22"/>
        </w:rPr>
        <w:t>51.84%</w:t>
      </w:r>
      <w:r>
        <w:rPr>
          <w:rFonts w:ascii="Times New Roman" w:hAnsi="Times New Roman"/>
          <w:sz w:val="22"/>
          <w:szCs w:val="22"/>
        </w:rPr>
        <w:t xml:space="preserve">, and training for three epochs further improved the exact-match accuracy to </w:t>
      </w:r>
      <w:r>
        <w:rPr>
          <w:rFonts w:ascii="Times New Roman" w:hAnsi="Times New Roman"/>
          <w:b/>
          <w:bCs/>
          <w:sz w:val="22"/>
          <w:szCs w:val="22"/>
        </w:rPr>
        <w:t>52.34%</w:t>
      </w:r>
      <w:r>
        <w:rPr>
          <w:rFonts w:ascii="Times New Roman" w:hAnsi="Times New Roman"/>
          <w:sz w:val="22"/>
          <w:szCs w:val="22"/>
        </w:rPr>
        <w:t xml:space="preserve"> on the same 10k-method test set. </w:t>
      </w:r>
    </w:p>
    <w:p>
      <w:pPr>
        <w:pStyle w:val="BodyText"/>
        <w:bidi w:val="0"/>
        <w:jc w:val="start"/>
        <w:rPr/>
      </w:pPr>
      <w:r>
        <w:rPr>
          <w:rStyle w:val="Strong"/>
          <w:rFonts w:ascii="Times New Roman" w:hAnsi="Times New Roman"/>
          <w:b w:val="false"/>
          <w:bCs w:val="false"/>
          <w:sz w:val="22"/>
          <w:szCs w:val="22"/>
        </w:rPr>
        <w:t xml:space="preserve">Based on final improved model's prediction result </w:t>
      </w:r>
      <w:r>
        <w:rPr>
          <w:rStyle w:val="Strong"/>
          <w:rFonts w:ascii="Times New Roman" w:hAnsi="Times New Roman"/>
          <w:b w:val="false"/>
          <w:bCs w:val="false"/>
          <w:sz w:val="22"/>
          <w:szCs w:val="22"/>
        </w:rPr>
        <w:t>which</w:t>
      </w:r>
      <w:r>
        <w:rPr>
          <w:rStyle w:val="Strong"/>
          <w:rFonts w:ascii="Times New Roman" w:hAnsi="Times New Roman"/>
          <w:b w:val="false"/>
          <w:bCs w:val="false"/>
          <w:sz w:val="22"/>
          <w:szCs w:val="22"/>
        </w:rPr>
        <w:t xml:space="preserve"> obtained an exact-match accuracy of 52.34 % (5234 correct, 4766 wrong). Accuracy is clearly length-sensitive: short names (≤10 chars) reach 62.05 %, medium names (11–20) drop to 46.01 %, and long names (&gt;20) to 32.65 %; the same pattern appears by subtoken count, with 62.69 % for 1-token names, 52.21 % for 2–3 tokens, and 36.83 % for names with more than 3 tokens. Subtoken coverage shows that in 99.23 % of all methods every subtoken of the true name appears somewhere in the method body (roughly 99 % for both correct and wrong cases), so the relevant lexical cues are almost always present in the code. For wrong predictions, the average string similarity of 0.386 indicates that many errors are near-misses rather than completely unrelated names. Overall, these metrics suggest the model is strong on short, simple names but struggles to compose longer, multi-token names even when all the necessary subtokens are visible in the method body. </w:t>
      </w:r>
    </w:p>
    <w:p>
      <w:pPr>
        <w:pStyle w:val="BodyText"/>
        <w:bidi w:val="0"/>
        <w:jc w:val="start"/>
        <w:rPr/>
      </w:pPr>
      <w:r>
        <w:rPr>
          <w:rStyle w:val="Strong"/>
          <w:rFonts w:ascii="Times New Roman" w:hAnsi="Times New Roman"/>
          <w:b w:val="false"/>
          <w:bCs w:val="false"/>
          <w:sz w:val="22"/>
          <w:szCs w:val="22"/>
        </w:rPr>
        <w:t xml:space="preserve">Building on this analysis, I looked more closely at the high-similarity “near-miss” errors and saw four main challenges for the model. First, many failures involve arbitrary or project-specific identifiers (case numbers, suffix digits, or internal IDs) where the code does not really contain enough information to choose the exact index, for example mcpatcherforge$redirectColor17 vs mcpatcherforge$redirectColor1. Second, some errors reflect missing very fine-grained semantic distinctions, such as confusing which numeric or color variant should be chosen, which requires deep understanding of project conventions rather than just local code cues. Third, a few predictions introduce slightly odd or unexpected characters or variants (for instance extra underscores or unusual capitalization), showing that the model sometimes drifts toward locally plausible but stylistically inconsistent tokens. Fourth, for long composite names the model struggles to keep every segment stable, as in extractNestedBootStrapJar vs extractNestedBootstrapJar or writeFloat8Vector vs writeFloat4Vector, where it preserves most of the structure but silently alters one subpart (e.g., “BootStrap” vs “Bootstrap” or “8” vs “4”). Together, these patterns suggest that the remaining errors are concentrated in very detailed, convention-heavy aspects of naming, rather than in understanding the broad intent of the method. </w:t>
      </w:r>
    </w:p>
    <w:p>
      <w:pPr>
        <w:pStyle w:val="BodyText"/>
        <w:bidi w:val="0"/>
        <w:jc w:val="start"/>
        <w:rPr/>
      </w:pPr>
      <w:r>
        <w:rPr>
          <w:rStyle w:val="Strong"/>
          <w:rFonts w:ascii="Times New Roman" w:hAnsi="Times New Roman"/>
          <w:b w:val="false"/>
          <w:bCs w:val="false"/>
          <w:sz w:val="22"/>
          <w:szCs w:val="22"/>
        </w:rPr>
        <w:t>B</w:t>
      </w:r>
      <w:r>
        <w:rPr>
          <w:rStyle w:val="Strong"/>
          <w:rFonts w:ascii="Times New Roman" w:hAnsi="Times New Roman"/>
          <w:b w:val="false"/>
          <w:bCs w:val="false"/>
          <w:sz w:val="22"/>
          <w:szCs w:val="22"/>
        </w:rPr>
        <w:t xml:space="preserve">ased on </w:t>
      </w:r>
      <w:r>
        <w:rPr>
          <w:rStyle w:val="Strong"/>
          <w:rFonts w:ascii="Times New Roman" w:hAnsi="Times New Roman"/>
          <w:b w:val="false"/>
          <w:bCs w:val="false"/>
          <w:sz w:val="22"/>
          <w:szCs w:val="22"/>
        </w:rPr>
        <w:t xml:space="preserve">the “most off” wrong predictions with zero string similarity, </w:t>
      </w:r>
      <w:r>
        <w:rPr>
          <w:rStyle w:val="Strong"/>
          <w:rFonts w:ascii="Times New Roman" w:hAnsi="Times New Roman"/>
          <w:b w:val="false"/>
          <w:bCs w:val="false"/>
          <w:sz w:val="22"/>
          <w:szCs w:val="22"/>
        </w:rPr>
        <w:t>m</w:t>
      </w:r>
      <w:r>
        <w:rPr>
          <w:rStyle w:val="Strong"/>
          <w:rFonts w:ascii="Times New Roman" w:hAnsi="Times New Roman"/>
          <w:b w:val="false"/>
          <w:bCs w:val="false"/>
          <w:sz w:val="22"/>
          <w:szCs w:val="22"/>
        </w:rPr>
        <w:t xml:space="preserve">any pairs have reasonably high semantic similarity (for example register vs loadFormATS, process vs visit, capacity vs getKeysCount, load vs reset), which means the model often stays in the right functional neighbourhood but confuses different lifecycle stages or roles such as loading versus resetting, processing versus visiting, or capacity versus key count. Several other pairs involve very short and generic names (save vs load, choose vs get, add vs put, of vs build), where the code context is too underspecified and the model defaults to another common verb with similar frequency, so any single choice looks arbitrary. There is also a smaller set of genuinely off cases where both string and semantic similarity are low (for example fromTag vs init or init vs checkResources), which suggests that, for some methods, the available lexical and structural cues in the body are not enough for the model to recover the developer’s naming intent. Overall, these “most off” errors highlight that residual mistakes mainly arise when the name is extremely short or overloaded, or when several semantically close but functionally distinct actions are plausible and the model chooses the wrong one. </w:t>
      </w:r>
    </w:p>
    <w:p>
      <w:pPr>
        <w:pStyle w:val="BodyText"/>
        <w:bidi w:val="0"/>
        <w:jc w:val="start"/>
        <w:rPr/>
      </w:pPr>
      <w:r>
        <w:rPr>
          <w:rStyle w:val="Strong"/>
          <w:rFonts w:ascii="Times New Roman" w:hAnsi="Times New Roman"/>
          <w:b w:val="false"/>
          <w:bCs w:val="false"/>
          <w:sz w:val="22"/>
          <w:szCs w:val="22"/>
        </w:rPr>
        <w:t xml:space="preserve">As I also inspected the wrong predictions more closely, I compared how often subtokens from the true name versus “false-only” predicted subtokens appear in the method body and found that in 78.68% of wrong cases the true subtokens actually occur more frequently, only 15.93% favor the predicted-only subtokens, and 5.39% are ties, suggesting that the model’s mistakes are not simply driven by token frequency in the code but by stronger learned priors over naming patterns. I then analyzed token-set relationships and observed that almost none of the errors are just re-ordering of the same subtokens (0.04%), while 8.04% are “over-specified” (prediction is a superset of the true subtokens), 11.69% are “under-specified” (prediction is a subset of the true subtokens), and the remaining 80.23% are mixed or disjoint sets, indicating that most residual errors involve genuine content mismatches rather than trivial order changes, with a noticeable portion reflecting overly long or overly short but still related names. </w:t>
      </w:r>
    </w:p>
    <w:p>
      <w:pPr>
        <w:pStyle w:val="BodyText"/>
        <w:rPr>
          <w:rFonts w:ascii="Times New Roman" w:hAnsi="Times New Roman"/>
          <w:sz w:val="22"/>
          <w:szCs w:val="22"/>
        </w:rPr>
      </w:pPr>
      <w:r>
        <w:rPr>
          <w:rFonts w:ascii="Times New Roman" w:hAnsi="Times New Roman"/>
          <w:sz w:val="22"/>
          <w:szCs w:val="22"/>
        </w:rPr>
        <w:t xml:space="preserve">I analyzed the subset of wrong predictions that a WordNet-based heuristic classified as “synonym-like”: quantitatively, about 14.02% of all wrong cases (668 out of 4 766) fall into this synonym-like bucket, 0% into an “ambiguous-like” bucket under the same criteria, and the remaining 85.98% into other wrong cases. Within the synonym-like subset I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(e.g., aTaintCase0033 predicted as aTaintCase0013), where the model stays in the right family prefix but fails to guess the essentially arbitrary numeric or suffix component. Overall, these metrics and patterns show that the synonym-like bucket captures a non-trivial but still minority portion of the errors where the model’s prediction is not random noise but a semantically related name; within this subset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improving semantic precision remains an important open problem. </w:t>
      </w:r>
    </w:p>
    <w:p>
      <w:pPr>
        <w:pStyle w:val="BodyText"/>
        <w:bidi w:val="0"/>
        <w:jc w:val="start"/>
        <w:rPr>
          <w:rFonts w:ascii="Times New Roman" w:hAnsi="Times New Roman"/>
          <w:sz w:val="22"/>
          <w:szCs w:val="22"/>
        </w:rPr>
      </w:pPr>
      <w:r>
        <w:rPr>
          <w:rFonts w:ascii="Times New Roman" w:hAnsi="Times New Roman"/>
          <w:sz w:val="22"/>
          <w:szCs w:val="22"/>
        </w:rPr>
        <w:t>Finally,</w:t>
      </w:r>
      <w:r>
        <w:rPr>
          <w:rFonts w:ascii="Times New Roman" w:hAnsi="Times New Roman"/>
          <w:sz w:val="22"/>
          <w:szCs w:val="22"/>
        </w:rPr>
        <w:t xml:space="preserve"> </w:t>
      </w:r>
      <w:r>
        <w:rPr>
          <w:rFonts w:ascii="Times New Roman" w:hAnsi="Times New Roman"/>
          <w:sz w:val="22"/>
          <w:szCs w:val="22"/>
        </w:rPr>
        <w:t>I compared the methods that were previously mispredicted by the 48%-accuracy model but correctly predicted by the 52%-accuracy model</w:t>
      </w:r>
      <w:r>
        <w:rPr>
          <w:rFonts w:ascii="Times New Roman" w:hAnsi="Times New Roman"/>
          <w:sz w:val="22"/>
          <w:szCs w:val="22"/>
        </w:rPr>
        <w:t>,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7">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 train</w:t>
      </w:r>
      <w:r>
        <w:rPr>
          <w:rStyle w:val="Strong"/>
          <w:rFonts w:ascii="Times New Roman" w:hAnsi="Times New Roman"/>
          <w:b w:val="false"/>
          <w:bCs w:val="false"/>
          <w:sz w:val="22"/>
          <w:szCs w:val="22"/>
        </w:rPr>
        <w:t>ing</w:t>
      </w:r>
      <w:r>
        <w:rPr>
          <w:rStyle w:val="Strong"/>
          <w:rFonts w:ascii="Times New Roman" w:hAnsi="Times New Roman"/>
          <w:b w:val="false"/>
          <w:bCs w:val="false"/>
          <w:sz w:val="22"/>
          <w:szCs w:val="22"/>
        </w:rPr>
        <w:t xml:space="preserve">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11430</wp:posOffset>
            </wp:positionH>
            <wp:positionV relativeFrom="paragraph">
              <wp:posOffset>55880</wp:posOffset>
            </wp:positionV>
            <wp:extent cx="6332220" cy="421005"/>
            <wp:effectExtent l="0" t="0" r="0" b="0"/>
            <wp:wrapSquare wrapText="largest"/>
            <wp:docPr id="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 descr="" title=""/>
                    <pic:cNvPicPr>
                      <a:picLocks noChangeAspect="1" noChangeArrowheads="1"/>
                    </pic:cNvPicPr>
                  </pic:nvPicPr>
                  <pic:blipFill>
                    <a:blip r:embed="rId6"/>
                    <a:stretch>
                      <a:fillRect/>
                    </a:stretch>
                  </pic:blipFill>
                  <pic:spPr bwMode="auto">
                    <a:xfrm>
                      <a:off x="0" y="0"/>
                      <a:ext cx="6332220" cy="421005"/>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First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7"/>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Second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8"/>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8">
            <wp:simplePos x="0" y="0"/>
            <wp:positionH relativeFrom="column">
              <wp:posOffset>17145</wp:posOffset>
            </wp:positionH>
            <wp:positionV relativeFrom="paragraph">
              <wp:posOffset>47625</wp:posOffset>
            </wp:positionV>
            <wp:extent cx="6220460" cy="62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 test result:</w:t>
      </w:r>
    </w:p>
    <w:p>
      <w:pPr>
        <w:pStyle w:val="Normal"/>
        <w:bidi w:val="0"/>
        <w:jc w:val="start"/>
        <w:rPr>
          <w:rFonts w:ascii="Times New Roman" w:hAnsi="Times New Roman"/>
          <w:b w:val="false"/>
          <w:bCs w:val="false"/>
          <w:sz w:val="22"/>
          <w:szCs w:val="22"/>
        </w:rPr>
      </w:pPr>
      <w:r>
        <w:rPr/>
        <w:drawing>
          <wp:anchor behindDoc="0" distT="0" distB="0" distL="0" distR="0" simplePos="0" locked="0" layoutInCell="0" allowOverlap="1" relativeHeight="9">
            <wp:simplePos x="0" y="0"/>
            <wp:positionH relativeFrom="column">
              <wp:posOffset>16510</wp:posOffset>
            </wp:positionH>
            <wp:positionV relativeFrom="paragraph">
              <wp:posOffset>73660</wp:posOffset>
            </wp:positionV>
            <wp:extent cx="5944235" cy="1600200"/>
            <wp:effectExtent l="0" t="0" r="0" b="0"/>
            <wp:wrapSquare wrapText="largest"/>
            <wp:docPr id="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title=""/>
                    <pic:cNvPicPr>
                      <a:picLocks noChangeAspect="1" noChangeArrowheads="1"/>
                    </pic:cNvPicPr>
                  </pic:nvPicPr>
                  <pic:blipFill>
                    <a:blip r:embed="rId10"/>
                    <a:stretch>
                      <a:fillRect/>
                    </a:stretch>
                  </pic:blipFill>
                  <pic:spPr bwMode="auto">
                    <a:xfrm>
                      <a:off x="0" y="0"/>
                      <a:ext cx="5944235" cy="160020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pPr>
      <w:r>
        <w:rPr>
          <w:rStyle w:val="Strong"/>
          <w:rFonts w:ascii="Times New Roman" w:hAnsi="Times New Roman"/>
          <w:b w:val="false"/>
          <w:bCs w:val="false"/>
          <w:sz w:val="22"/>
          <w:szCs w:val="22"/>
        </w:rPr>
        <w:t>Analysis of the final model’s results</w:t>
      </w:r>
      <w:r>
        <w:rPr>
          <w:rStyle w:val="Strong"/>
          <w:rFonts w:ascii="Times New Roman" w:hAnsi="Times New Roman"/>
          <w:b w:val="false"/>
          <w:bCs w:val="false"/>
          <w:sz w:val="22"/>
          <w:szCs w:val="22"/>
        </w:rPr>
        <w:t>:</w:t>
      </w:r>
    </w:p>
    <w:p>
      <w:pPr>
        <w:pStyle w:val="BodyText"/>
        <w:bidi w:val="0"/>
        <w:jc w:val="start"/>
        <w:rPr>
          <w:rStyle w:val="Strong"/>
          <w:rFonts w:ascii="Times New Roman" w:hAnsi="Times New Roman"/>
          <w:b w:val="false"/>
          <w:bCs w:val="false"/>
          <w:sz w:val="22"/>
          <w:szCs w:val="22"/>
        </w:rPr>
      </w:pPr>
      <w:r>
        <w:rPr/>
        <w:drawing>
          <wp:anchor behindDoc="0" distT="0" distB="0" distL="0" distR="0" simplePos="0" locked="0" layoutInCell="0" allowOverlap="1" relativeHeight="11">
            <wp:simplePos x="0" y="0"/>
            <wp:positionH relativeFrom="column">
              <wp:posOffset>34925</wp:posOffset>
            </wp:positionH>
            <wp:positionV relativeFrom="paragraph">
              <wp:posOffset>-24765</wp:posOffset>
            </wp:positionV>
            <wp:extent cx="3538220" cy="3396615"/>
            <wp:effectExtent l="0" t="0" r="0" b="0"/>
            <wp:wrapSquare wrapText="largest"/>
            <wp:docPr id="10"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title=""/>
                    <pic:cNvPicPr>
                      <a:picLocks noChangeAspect="1" noChangeArrowheads="1"/>
                    </pic:cNvPicPr>
                  </pic:nvPicPr>
                  <pic:blipFill>
                    <a:blip r:embed="rId11"/>
                    <a:stretch>
                      <a:fillRect/>
                    </a:stretch>
                  </pic:blipFill>
                  <pic:spPr bwMode="auto">
                    <a:xfrm>
                      <a:off x="0" y="0"/>
                      <a:ext cx="3538220" cy="3396615"/>
                    </a:xfrm>
                    <a:prstGeom prst="rect">
                      <a:avLst/>
                    </a:prstGeom>
                    <a:noFill/>
                  </pic:spPr>
                </pic:pic>
              </a:graphicData>
            </a:graphic>
          </wp:anchor>
        </w:drawing>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BodyText"/>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2">
            <wp:simplePos x="0" y="0"/>
            <wp:positionH relativeFrom="column">
              <wp:posOffset>46355</wp:posOffset>
            </wp:positionH>
            <wp:positionV relativeFrom="paragraph">
              <wp:posOffset>26035</wp:posOffset>
            </wp:positionV>
            <wp:extent cx="3535680" cy="3937000"/>
            <wp:effectExtent l="0" t="0" r="0" b="0"/>
            <wp:wrapSquare wrapText="largest"/>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12"/>
                    <a:stretch>
                      <a:fillRect/>
                    </a:stretch>
                  </pic:blipFill>
                  <pic:spPr bwMode="auto">
                    <a:xfrm>
                      <a:off x="0" y="0"/>
                      <a:ext cx="3535680" cy="3937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86"/>
    <w:family w:val="roman"/>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1110</TotalTime>
  <Application>LibreOffice/25.2.6.2$Windows_X86_64 LibreOffice_project/729c5bfe710f5eb71ed3bbde9e06a6065e9c6c5d</Application>
  <AppVersion>15.0000</AppVersion>
  <Pages>5</Pages>
  <Words>1682</Words>
  <Characters>9660</Characters>
  <CharactersWithSpaces>11322</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cp:lastPrinted>2025-11-24T22:48:15Z</cp:lastPrinted>
  <dcterms:modified xsi:type="dcterms:W3CDTF">2025-11-24T22:48:06Z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