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3F067" w14:textId="77777777" w:rsidR="005962BF" w:rsidRPr="00B65973" w:rsidRDefault="005962BF" w:rsidP="005962BF">
      <w:pPr>
        <w:spacing w:after="0"/>
        <w:jc w:val="center"/>
        <w:rPr>
          <w:b/>
          <w:bCs/>
          <w:sz w:val="28"/>
          <w:szCs w:val="28"/>
        </w:rPr>
      </w:pPr>
    </w:p>
    <w:p w14:paraId="40EA980E" w14:textId="77777777" w:rsidR="005962BF" w:rsidRPr="00B65973" w:rsidRDefault="005962BF" w:rsidP="005962BF">
      <w:pPr>
        <w:spacing w:after="0"/>
        <w:jc w:val="center"/>
        <w:rPr>
          <w:b/>
          <w:bCs/>
          <w:sz w:val="28"/>
          <w:szCs w:val="28"/>
        </w:rPr>
      </w:pPr>
    </w:p>
    <w:p w14:paraId="02D81580" w14:textId="77777777" w:rsidR="005962BF" w:rsidRPr="00B65973" w:rsidRDefault="005962BF" w:rsidP="005962BF">
      <w:pPr>
        <w:spacing w:after="0"/>
        <w:jc w:val="center"/>
        <w:rPr>
          <w:b/>
          <w:bCs/>
          <w:sz w:val="28"/>
          <w:szCs w:val="28"/>
        </w:rPr>
      </w:pPr>
    </w:p>
    <w:p w14:paraId="36BD7CC2" w14:textId="77777777" w:rsidR="005962BF" w:rsidRPr="00B65973" w:rsidRDefault="005962BF" w:rsidP="005962BF">
      <w:pPr>
        <w:spacing w:after="0"/>
        <w:jc w:val="center"/>
        <w:rPr>
          <w:b/>
          <w:bCs/>
          <w:sz w:val="28"/>
          <w:szCs w:val="28"/>
        </w:rPr>
      </w:pPr>
    </w:p>
    <w:p w14:paraId="1E67ED3B" w14:textId="77777777" w:rsidR="005962BF" w:rsidRPr="00B65973" w:rsidRDefault="005962BF" w:rsidP="005962BF">
      <w:pPr>
        <w:spacing w:after="0"/>
        <w:jc w:val="center"/>
        <w:rPr>
          <w:b/>
          <w:bCs/>
          <w:sz w:val="28"/>
          <w:szCs w:val="28"/>
        </w:rPr>
      </w:pPr>
    </w:p>
    <w:p w14:paraId="1404B73E" w14:textId="77777777" w:rsidR="005962BF" w:rsidRPr="00B65973" w:rsidRDefault="005962BF" w:rsidP="005962BF">
      <w:pPr>
        <w:spacing w:after="0"/>
        <w:jc w:val="center"/>
        <w:rPr>
          <w:b/>
          <w:bCs/>
          <w:sz w:val="28"/>
          <w:szCs w:val="28"/>
        </w:rPr>
      </w:pPr>
    </w:p>
    <w:p w14:paraId="31C36C78" w14:textId="0BB20375" w:rsidR="005F55EF" w:rsidRPr="00B65973" w:rsidRDefault="005F55EF" w:rsidP="000A2891">
      <w:pPr>
        <w:spacing w:after="0"/>
        <w:rPr>
          <w:b/>
          <w:bCs/>
          <w:sz w:val="28"/>
          <w:szCs w:val="28"/>
        </w:rPr>
      </w:pPr>
    </w:p>
    <w:p w14:paraId="32464B77" w14:textId="77777777" w:rsidR="005962BF" w:rsidRPr="00B65973" w:rsidRDefault="005962BF" w:rsidP="00040C07">
      <w:pPr>
        <w:spacing w:after="0"/>
        <w:rPr>
          <w:b/>
          <w:bCs/>
          <w:sz w:val="28"/>
          <w:szCs w:val="28"/>
        </w:rPr>
      </w:pPr>
    </w:p>
    <w:p w14:paraId="4DC9EC45" w14:textId="77777777" w:rsidR="005962BF" w:rsidRPr="00B65973" w:rsidRDefault="005962BF" w:rsidP="005962BF">
      <w:pPr>
        <w:spacing w:after="0"/>
        <w:jc w:val="center"/>
        <w:rPr>
          <w:b/>
          <w:bCs/>
          <w:sz w:val="28"/>
          <w:szCs w:val="28"/>
        </w:rPr>
      </w:pPr>
    </w:p>
    <w:p w14:paraId="20F7D5A2" w14:textId="19D1343F" w:rsidR="00AE3A54" w:rsidRPr="00B65973" w:rsidRDefault="00040C07" w:rsidP="005962BF">
      <w:pPr>
        <w:spacing w:after="0"/>
        <w:jc w:val="center"/>
        <w:rPr>
          <w:b/>
          <w:bCs/>
          <w:sz w:val="28"/>
          <w:szCs w:val="28"/>
        </w:rPr>
      </w:pPr>
      <w:r w:rsidRPr="00040C07">
        <w:rPr>
          <w:b/>
          <w:bCs/>
          <w:sz w:val="28"/>
          <w:szCs w:val="28"/>
        </w:rPr>
        <w:t xml:space="preserve">Rural development in the Common Agricultural Policy: </w:t>
      </w:r>
      <w:r w:rsidR="00357568">
        <w:rPr>
          <w:b/>
          <w:bCs/>
          <w:sz w:val="28"/>
          <w:szCs w:val="28"/>
        </w:rPr>
        <w:t>c</w:t>
      </w:r>
      <w:r w:rsidRPr="00040C07">
        <w:rPr>
          <w:b/>
          <w:bCs/>
          <w:sz w:val="28"/>
          <w:szCs w:val="28"/>
        </w:rPr>
        <w:t>orrelations at regional level</w:t>
      </w:r>
    </w:p>
    <w:p w14:paraId="5ECB6D15" w14:textId="77777777" w:rsidR="00AE3A54" w:rsidRPr="00B65973" w:rsidRDefault="00AE3A54" w:rsidP="005962BF">
      <w:pPr>
        <w:spacing w:after="0"/>
        <w:jc w:val="center"/>
        <w:rPr>
          <w:b/>
          <w:bCs/>
          <w:sz w:val="28"/>
          <w:szCs w:val="28"/>
        </w:rPr>
      </w:pPr>
    </w:p>
    <w:p w14:paraId="3D24B88A" w14:textId="77777777" w:rsidR="00AE3A54" w:rsidRPr="00B65973" w:rsidRDefault="00AE3A54" w:rsidP="005962BF">
      <w:pPr>
        <w:spacing w:after="0"/>
        <w:jc w:val="center"/>
        <w:rPr>
          <w:b/>
          <w:bCs/>
          <w:sz w:val="28"/>
          <w:szCs w:val="28"/>
        </w:rPr>
      </w:pPr>
    </w:p>
    <w:p w14:paraId="44C84DEA" w14:textId="77777777" w:rsidR="00AF2D63" w:rsidRPr="00B65973" w:rsidRDefault="00B2520A" w:rsidP="005962BF">
      <w:pPr>
        <w:pStyle w:val="Pealkiri3"/>
        <w:spacing w:after="0"/>
        <w:jc w:val="center"/>
        <w:rPr>
          <w:u w:val="none"/>
          <w:vertAlign w:val="superscript"/>
        </w:rPr>
      </w:pPr>
      <w:r w:rsidRPr="00B65973">
        <w:rPr>
          <w:u w:val="none"/>
        </w:rPr>
        <w:t>Jüri Lillemets</w:t>
      </w:r>
      <w:r w:rsidR="00E512CF" w:rsidRPr="00B65973">
        <w:rPr>
          <w:u w:val="none"/>
          <w:vertAlign w:val="superscript"/>
        </w:rPr>
        <w:t>1</w:t>
      </w:r>
      <w:r w:rsidRPr="00B65973">
        <w:rPr>
          <w:u w:val="none"/>
        </w:rPr>
        <w:t>, Ants-Hannes Viira</w:t>
      </w:r>
      <w:r w:rsidR="00F21B57" w:rsidRPr="00B65973">
        <w:rPr>
          <w:u w:val="none"/>
          <w:vertAlign w:val="superscript"/>
        </w:rPr>
        <w:t>2</w:t>
      </w:r>
    </w:p>
    <w:p w14:paraId="5361E44C" w14:textId="77777777" w:rsidR="00AE3A54" w:rsidRPr="00B65973" w:rsidRDefault="00CC0FE3" w:rsidP="005962BF">
      <w:pPr>
        <w:spacing w:after="0"/>
        <w:jc w:val="center"/>
      </w:pPr>
      <w:r w:rsidRPr="00B65973">
        <w:rPr>
          <w:vertAlign w:val="superscript"/>
        </w:rPr>
        <w:t>1</w:t>
      </w:r>
      <w:r w:rsidR="00F21B57" w:rsidRPr="00B65973">
        <w:rPr>
          <w:vertAlign w:val="superscript"/>
        </w:rPr>
        <w:t>,2</w:t>
      </w:r>
      <w:r w:rsidRPr="00B65973">
        <w:rPr>
          <w:vertAlign w:val="superscript"/>
        </w:rPr>
        <w:t xml:space="preserve"> </w:t>
      </w:r>
      <w:r w:rsidR="00E512CF" w:rsidRPr="00B65973">
        <w:t>Estonian University of Life Sciences</w:t>
      </w:r>
    </w:p>
    <w:p w14:paraId="6D800CBA" w14:textId="77777777" w:rsidR="00E512CF" w:rsidRPr="00B65973" w:rsidRDefault="00F21B57" w:rsidP="005962BF">
      <w:pPr>
        <w:spacing w:after="0"/>
        <w:jc w:val="center"/>
        <w:rPr>
          <w:b/>
          <w:bCs/>
          <w:sz w:val="20"/>
          <w:szCs w:val="20"/>
        </w:rPr>
      </w:pPr>
      <w:r w:rsidRPr="00B65973">
        <w:rPr>
          <w:vertAlign w:val="superscript"/>
        </w:rPr>
        <w:t>1</w:t>
      </w:r>
      <w:r w:rsidRPr="00B65973">
        <w:t xml:space="preserve"> </w:t>
      </w:r>
      <w:r w:rsidR="00E512CF" w:rsidRPr="00B65973">
        <w:t>jyri.lillemets@emu.ee</w:t>
      </w:r>
    </w:p>
    <w:p w14:paraId="64752298" w14:textId="77777777" w:rsidR="00AE3A54" w:rsidRPr="00B65973" w:rsidRDefault="00AE3A54" w:rsidP="005962BF">
      <w:pPr>
        <w:spacing w:after="0"/>
        <w:jc w:val="center"/>
        <w:rPr>
          <w:b/>
          <w:bCs/>
          <w:sz w:val="20"/>
          <w:szCs w:val="20"/>
        </w:rPr>
      </w:pPr>
    </w:p>
    <w:p w14:paraId="7CBD1820" w14:textId="77777777" w:rsidR="00AE3A54" w:rsidRPr="00B65973" w:rsidRDefault="00AE3A54" w:rsidP="005962BF">
      <w:pPr>
        <w:spacing w:after="0"/>
        <w:jc w:val="center"/>
        <w:rPr>
          <w:b/>
          <w:bCs/>
          <w:sz w:val="20"/>
          <w:szCs w:val="20"/>
        </w:rPr>
      </w:pPr>
    </w:p>
    <w:p w14:paraId="7D538DF0" w14:textId="77777777" w:rsidR="00AE3A54" w:rsidRPr="00B65973" w:rsidRDefault="00AE3A54" w:rsidP="005962BF">
      <w:pPr>
        <w:spacing w:after="0"/>
        <w:jc w:val="center"/>
        <w:rPr>
          <w:b/>
          <w:bCs/>
          <w:sz w:val="20"/>
          <w:szCs w:val="20"/>
        </w:rPr>
      </w:pPr>
    </w:p>
    <w:p w14:paraId="09793C62" w14:textId="77777777" w:rsidR="00AE3A54" w:rsidRPr="00B65973" w:rsidRDefault="00AE3A54" w:rsidP="005962BF">
      <w:pPr>
        <w:spacing w:after="0"/>
        <w:jc w:val="center"/>
        <w:rPr>
          <w:b/>
          <w:bCs/>
          <w:sz w:val="20"/>
          <w:szCs w:val="20"/>
        </w:rPr>
      </w:pPr>
    </w:p>
    <w:p w14:paraId="0B0E2963" w14:textId="77777777" w:rsidR="00AE3A54" w:rsidRPr="00B65973" w:rsidRDefault="000D720E" w:rsidP="005962BF">
      <w:pPr>
        <w:spacing w:after="0"/>
        <w:jc w:val="center"/>
        <w:rPr>
          <w:b/>
          <w:bCs/>
          <w:sz w:val="20"/>
          <w:szCs w:val="20"/>
        </w:rPr>
      </w:pPr>
      <w:r w:rsidRPr="00B65973">
        <w:rPr>
          <w:rFonts w:ascii="News Gothic" w:hAnsi="News Gothic" w:cs="News Gothic"/>
          <w:noProof/>
          <w:lang w:val="et-EE" w:eastAsia="et-EE"/>
        </w:rPr>
        <w:drawing>
          <wp:inline distT="0" distB="0" distL="0" distR="0" wp14:anchorId="3CB79FD2" wp14:editId="6B7B1C18">
            <wp:extent cx="901700" cy="8636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extLst>
                        <a:ext uri="{28A0092B-C50C-407E-A947-70E740481C1C}">
                          <a14:useLocalDpi xmlns:a14="http://schemas.microsoft.com/office/drawing/2010/main" val="0"/>
                        </a:ext>
                      </a:extLst>
                    </a:blip>
                    <a:srcRect l="-166" t="-175" r="-166" b="-175"/>
                    <a:stretch>
                      <a:fillRect/>
                    </a:stretch>
                  </pic:blipFill>
                  <pic:spPr bwMode="auto">
                    <a:xfrm>
                      <a:off x="0" y="0"/>
                      <a:ext cx="901700" cy="863600"/>
                    </a:xfrm>
                    <a:prstGeom prst="rect">
                      <a:avLst/>
                    </a:prstGeom>
                    <a:noFill/>
                    <a:ln>
                      <a:noFill/>
                    </a:ln>
                  </pic:spPr>
                </pic:pic>
              </a:graphicData>
            </a:graphic>
          </wp:inline>
        </w:drawing>
      </w:r>
    </w:p>
    <w:p w14:paraId="39566DC4" w14:textId="77777777" w:rsidR="00AE3A54" w:rsidRPr="00B65973" w:rsidRDefault="00AE3A54" w:rsidP="005962BF">
      <w:pPr>
        <w:spacing w:after="0"/>
        <w:jc w:val="center"/>
        <w:rPr>
          <w:b/>
          <w:bCs/>
          <w:sz w:val="20"/>
          <w:szCs w:val="20"/>
        </w:rPr>
      </w:pPr>
    </w:p>
    <w:p w14:paraId="43BDD7E3" w14:textId="77777777" w:rsidR="00AE3A54" w:rsidRPr="00B65973" w:rsidRDefault="00AE3A54" w:rsidP="005962BF">
      <w:pPr>
        <w:spacing w:after="0"/>
        <w:jc w:val="center"/>
        <w:rPr>
          <w:b/>
          <w:bCs/>
          <w:sz w:val="20"/>
          <w:szCs w:val="20"/>
        </w:rPr>
      </w:pPr>
    </w:p>
    <w:p w14:paraId="650FF794" w14:textId="77777777" w:rsidR="00AE3A54" w:rsidRPr="00B65973" w:rsidRDefault="00AE3A54" w:rsidP="005962BF">
      <w:pPr>
        <w:spacing w:after="0"/>
        <w:rPr>
          <w:b/>
          <w:bCs/>
          <w:sz w:val="20"/>
          <w:szCs w:val="20"/>
        </w:rPr>
      </w:pPr>
    </w:p>
    <w:p w14:paraId="3099D9FC" w14:textId="77777777" w:rsidR="00AE3A54" w:rsidRPr="00B65973" w:rsidRDefault="00AE3A54" w:rsidP="005962BF">
      <w:pPr>
        <w:spacing w:after="0"/>
        <w:jc w:val="center"/>
        <w:rPr>
          <w:b/>
          <w:bCs/>
        </w:rPr>
      </w:pPr>
    </w:p>
    <w:p w14:paraId="194C5DA2" w14:textId="77777777" w:rsidR="00AF2D63" w:rsidRPr="00B65973" w:rsidRDefault="00AF2D63" w:rsidP="005962BF">
      <w:pPr>
        <w:spacing w:after="0"/>
        <w:jc w:val="center"/>
        <w:rPr>
          <w:b/>
          <w:bCs/>
        </w:rPr>
      </w:pPr>
    </w:p>
    <w:p w14:paraId="21B0D576" w14:textId="77777777" w:rsidR="008260A9" w:rsidRPr="00B65973" w:rsidRDefault="00AE3A54" w:rsidP="005962BF">
      <w:pPr>
        <w:autoSpaceDE w:val="0"/>
        <w:autoSpaceDN w:val="0"/>
        <w:adjustRightInd w:val="0"/>
        <w:spacing w:after="0"/>
        <w:jc w:val="center"/>
        <w:rPr>
          <w:rFonts w:ascii="Arial" w:hAnsi="Arial" w:cs="Arial"/>
          <w:b/>
          <w:i/>
          <w:sz w:val="20"/>
          <w:szCs w:val="20"/>
        </w:rPr>
      </w:pPr>
      <w:r w:rsidRPr="00B65973">
        <w:rPr>
          <w:rFonts w:ascii="Arial" w:hAnsi="Arial" w:cs="Arial"/>
          <w:b/>
          <w:bCs/>
          <w:sz w:val="20"/>
          <w:szCs w:val="20"/>
        </w:rPr>
        <w:t xml:space="preserve">Paper prepared for presentation </w:t>
      </w:r>
      <w:r w:rsidR="000D720E" w:rsidRPr="00B65973">
        <w:rPr>
          <w:rFonts w:ascii="Arial" w:hAnsi="Arial" w:cs="Arial"/>
          <w:b/>
          <w:bCs/>
          <w:sz w:val="20"/>
          <w:szCs w:val="20"/>
        </w:rPr>
        <w:t>for</w:t>
      </w:r>
      <w:r w:rsidRPr="00B65973">
        <w:rPr>
          <w:rFonts w:ascii="Arial" w:hAnsi="Arial" w:cs="Arial"/>
          <w:b/>
          <w:bCs/>
          <w:sz w:val="20"/>
          <w:szCs w:val="20"/>
        </w:rPr>
        <w:t xml:space="preserve"> the</w:t>
      </w:r>
      <w:r w:rsidR="000D720E" w:rsidRPr="00B65973">
        <w:rPr>
          <w:rFonts w:ascii="Arial" w:hAnsi="Arial" w:cs="Arial"/>
          <w:b/>
          <w:bCs/>
          <w:sz w:val="20"/>
          <w:szCs w:val="20"/>
        </w:rPr>
        <w:t xml:space="preserve"> </w:t>
      </w:r>
      <w:r w:rsidR="00BB5838" w:rsidRPr="00B65973">
        <w:rPr>
          <w:rStyle w:val="Tugev"/>
          <w:rFonts w:ascii="Arial" w:hAnsi="Arial" w:cs="Arial"/>
          <w:sz w:val="20"/>
          <w:szCs w:val="20"/>
        </w:rPr>
        <w:t>8</w:t>
      </w:r>
      <w:r w:rsidR="00BB5838" w:rsidRPr="00B65973">
        <w:rPr>
          <w:rStyle w:val="Tugev"/>
          <w:rFonts w:ascii="Arial" w:hAnsi="Arial" w:cs="Arial"/>
          <w:sz w:val="20"/>
          <w:szCs w:val="20"/>
          <w:vertAlign w:val="superscript"/>
        </w:rPr>
        <w:t>th</w:t>
      </w:r>
      <w:r w:rsidR="00BB5838" w:rsidRPr="00B65973">
        <w:rPr>
          <w:rStyle w:val="Tugev"/>
          <w:rFonts w:ascii="Arial" w:hAnsi="Arial" w:cs="Arial"/>
          <w:sz w:val="20"/>
          <w:szCs w:val="20"/>
        </w:rPr>
        <w:t xml:space="preserve"> EAAE PhD student workshop</w:t>
      </w:r>
    </w:p>
    <w:p w14:paraId="17F9DFE5" w14:textId="77777777" w:rsidR="00C85AC3" w:rsidRPr="00B65973" w:rsidRDefault="00AE3A54" w:rsidP="005962BF">
      <w:pPr>
        <w:autoSpaceDE w:val="0"/>
        <w:autoSpaceDN w:val="0"/>
        <w:adjustRightInd w:val="0"/>
        <w:spacing w:after="0"/>
        <w:jc w:val="center"/>
        <w:rPr>
          <w:rStyle w:val="apple-style-span"/>
          <w:rFonts w:ascii="Arial" w:hAnsi="Arial" w:cs="Arial"/>
          <w:sz w:val="20"/>
          <w:szCs w:val="20"/>
        </w:rPr>
      </w:pPr>
      <w:r w:rsidRPr="00B65973">
        <w:rPr>
          <w:rFonts w:ascii="Arial" w:hAnsi="Arial" w:cs="Arial"/>
          <w:sz w:val="20"/>
          <w:szCs w:val="20"/>
        </w:rPr>
        <w:br/>
      </w:r>
      <w:r w:rsidRPr="00B65973">
        <w:rPr>
          <w:rFonts w:ascii="Arial" w:hAnsi="Arial" w:cs="Arial"/>
          <w:sz w:val="20"/>
          <w:szCs w:val="20"/>
        </w:rPr>
        <w:br/>
      </w:r>
      <w:r w:rsidR="00BB5838" w:rsidRPr="00B65973">
        <w:rPr>
          <w:rStyle w:val="apple-style-span"/>
          <w:rFonts w:ascii="Arial" w:hAnsi="Arial" w:cs="Arial"/>
          <w:sz w:val="20"/>
          <w:szCs w:val="20"/>
        </w:rPr>
        <w:t>June 10 - 12</w:t>
      </w:r>
      <w:r w:rsidRPr="00B65973">
        <w:rPr>
          <w:rStyle w:val="apple-style-span"/>
          <w:rFonts w:ascii="Arial" w:hAnsi="Arial" w:cs="Arial"/>
          <w:sz w:val="20"/>
          <w:szCs w:val="20"/>
        </w:rPr>
        <w:t>, 201</w:t>
      </w:r>
      <w:r w:rsidR="00C85AC3" w:rsidRPr="00B65973">
        <w:rPr>
          <w:rStyle w:val="apple-style-span"/>
          <w:rFonts w:ascii="Arial" w:hAnsi="Arial" w:cs="Arial"/>
          <w:sz w:val="20"/>
          <w:szCs w:val="20"/>
        </w:rPr>
        <w:t>9</w:t>
      </w:r>
    </w:p>
    <w:p w14:paraId="680F075E" w14:textId="77777777" w:rsidR="000D720E" w:rsidRPr="00B65973" w:rsidRDefault="00C85AC3" w:rsidP="005962BF">
      <w:pPr>
        <w:autoSpaceDE w:val="0"/>
        <w:autoSpaceDN w:val="0"/>
        <w:adjustRightInd w:val="0"/>
        <w:spacing w:after="0"/>
        <w:jc w:val="center"/>
        <w:rPr>
          <w:rStyle w:val="apple-style-span"/>
          <w:rFonts w:ascii="Arial" w:hAnsi="Arial" w:cs="Arial"/>
          <w:sz w:val="20"/>
          <w:szCs w:val="20"/>
        </w:rPr>
      </w:pPr>
      <w:r w:rsidRPr="00B65973">
        <w:rPr>
          <w:rStyle w:val="apple-style-span"/>
          <w:rFonts w:ascii="Arial" w:hAnsi="Arial" w:cs="Arial"/>
          <w:sz w:val="20"/>
          <w:szCs w:val="20"/>
        </w:rPr>
        <w:t>Swedish University of Agricultural Sciences</w:t>
      </w:r>
      <w:r w:rsidR="000D720E" w:rsidRPr="00B65973">
        <w:rPr>
          <w:rStyle w:val="apple-style-span"/>
          <w:rFonts w:ascii="Arial" w:hAnsi="Arial" w:cs="Arial"/>
          <w:sz w:val="20"/>
          <w:szCs w:val="20"/>
        </w:rPr>
        <w:t xml:space="preserve"> </w:t>
      </w:r>
    </w:p>
    <w:p w14:paraId="239A7D50" w14:textId="77777777" w:rsidR="00AE3A54" w:rsidRPr="00B65973" w:rsidRDefault="00C85AC3" w:rsidP="005962BF">
      <w:pPr>
        <w:autoSpaceDE w:val="0"/>
        <w:autoSpaceDN w:val="0"/>
        <w:adjustRightInd w:val="0"/>
        <w:spacing w:after="0"/>
        <w:jc w:val="center"/>
        <w:rPr>
          <w:rFonts w:ascii="Arial" w:hAnsi="Arial" w:cs="Arial"/>
          <w:b/>
          <w:bCs/>
          <w:sz w:val="20"/>
          <w:szCs w:val="20"/>
        </w:rPr>
      </w:pPr>
      <w:r w:rsidRPr="00B65973">
        <w:rPr>
          <w:rStyle w:val="apple-style-span"/>
          <w:rFonts w:ascii="Arial" w:hAnsi="Arial" w:cs="Arial"/>
          <w:sz w:val="20"/>
          <w:szCs w:val="20"/>
        </w:rPr>
        <w:t>Uppsala, Sweden</w:t>
      </w:r>
      <w:r w:rsidR="00AE3A54" w:rsidRPr="00B65973">
        <w:rPr>
          <w:rFonts w:ascii="Arial" w:hAnsi="Arial" w:cs="Arial"/>
          <w:sz w:val="20"/>
          <w:szCs w:val="20"/>
        </w:rPr>
        <w:br/>
      </w:r>
    </w:p>
    <w:p w14:paraId="78C62992" w14:textId="77777777" w:rsidR="00AE3A54" w:rsidRPr="00B65973" w:rsidRDefault="00AE3A54" w:rsidP="005962BF">
      <w:pPr>
        <w:spacing w:after="0"/>
        <w:rPr>
          <w:b/>
          <w:bCs/>
          <w:sz w:val="20"/>
          <w:szCs w:val="20"/>
        </w:rPr>
      </w:pPr>
    </w:p>
    <w:p w14:paraId="6535B921" w14:textId="77777777" w:rsidR="00AE3A54" w:rsidRPr="00B65973" w:rsidRDefault="00AE3A54" w:rsidP="005962BF">
      <w:pPr>
        <w:spacing w:after="0"/>
        <w:rPr>
          <w:b/>
          <w:bCs/>
          <w:sz w:val="20"/>
          <w:szCs w:val="20"/>
        </w:rPr>
      </w:pPr>
    </w:p>
    <w:p w14:paraId="590C00D3" w14:textId="77777777" w:rsidR="00AE3A54" w:rsidRPr="00B65973" w:rsidRDefault="00AE3A54" w:rsidP="005962BF">
      <w:pPr>
        <w:spacing w:after="0"/>
        <w:rPr>
          <w:b/>
          <w:bCs/>
          <w:sz w:val="20"/>
          <w:szCs w:val="20"/>
        </w:rPr>
      </w:pPr>
    </w:p>
    <w:p w14:paraId="3C8896B0" w14:textId="77777777" w:rsidR="00AE3A54" w:rsidRPr="00B65973" w:rsidRDefault="00AE3A54" w:rsidP="005962BF">
      <w:pPr>
        <w:spacing w:after="0"/>
        <w:rPr>
          <w:b/>
          <w:bCs/>
          <w:sz w:val="20"/>
          <w:szCs w:val="20"/>
        </w:rPr>
      </w:pPr>
    </w:p>
    <w:p w14:paraId="5F09B753" w14:textId="77777777" w:rsidR="00AE3A54" w:rsidRPr="00B65973" w:rsidRDefault="00AE3A54" w:rsidP="005962BF">
      <w:pPr>
        <w:spacing w:after="0"/>
        <w:rPr>
          <w:b/>
          <w:bCs/>
          <w:sz w:val="20"/>
          <w:szCs w:val="20"/>
        </w:rPr>
      </w:pPr>
    </w:p>
    <w:p w14:paraId="12CADFBE" w14:textId="77777777" w:rsidR="00AE3A54" w:rsidRPr="00B65973" w:rsidRDefault="00AE3A54" w:rsidP="005962BF">
      <w:pPr>
        <w:spacing w:after="0"/>
        <w:rPr>
          <w:b/>
          <w:bCs/>
          <w:sz w:val="20"/>
          <w:szCs w:val="20"/>
        </w:rPr>
      </w:pPr>
    </w:p>
    <w:p w14:paraId="0BF647C8" w14:textId="1098A87E" w:rsidR="00E512CF" w:rsidRPr="00B65973" w:rsidRDefault="00AE3A54" w:rsidP="005962BF">
      <w:pPr>
        <w:spacing w:after="0"/>
        <w:rPr>
          <w:i/>
          <w:iCs/>
        </w:rPr>
      </w:pPr>
      <w:r w:rsidRPr="00B65973">
        <w:rPr>
          <w:i/>
          <w:iCs/>
        </w:rPr>
        <w:t>Copyright 201</w:t>
      </w:r>
      <w:r w:rsidR="00C85AC3" w:rsidRPr="00B65973">
        <w:rPr>
          <w:i/>
          <w:iCs/>
        </w:rPr>
        <w:t>9</w:t>
      </w:r>
      <w:r w:rsidRPr="00B65973">
        <w:rPr>
          <w:i/>
          <w:iCs/>
        </w:rPr>
        <w:t xml:space="preserve"> by </w:t>
      </w:r>
      <w:r w:rsidR="00E512CF" w:rsidRPr="00B65973">
        <w:rPr>
          <w:i/>
          <w:iCs/>
        </w:rPr>
        <w:t>Jüri Lillemets, Ants-Hannes Viira</w:t>
      </w:r>
      <w:r w:rsidRPr="00B65973">
        <w:rPr>
          <w:i/>
          <w:iCs/>
        </w:rPr>
        <w:t>. All rights reserved. Readers may make verbatim copies of this document for non-commercial purposes by any means, provided that this copyright no</w:t>
      </w:r>
      <w:r w:rsidR="00AF2D63" w:rsidRPr="00B65973">
        <w:rPr>
          <w:i/>
          <w:iCs/>
        </w:rPr>
        <w:t>tice appears on all such copies.</w:t>
      </w:r>
    </w:p>
    <w:p w14:paraId="022C6946" w14:textId="77777777" w:rsidR="00E512CF" w:rsidRPr="00B65973" w:rsidRDefault="00E512CF">
      <w:pPr>
        <w:rPr>
          <w:i/>
          <w:iCs/>
        </w:rPr>
      </w:pPr>
      <w:r w:rsidRPr="00B65973">
        <w:rPr>
          <w:i/>
          <w:iCs/>
        </w:rPr>
        <w:br w:type="page"/>
      </w:r>
    </w:p>
    <w:p w14:paraId="3AB238E8" w14:textId="768D4C80" w:rsidR="009215AA" w:rsidRDefault="00932A8B" w:rsidP="00F632BF">
      <w:pPr>
        <w:rPr>
          <w:i/>
        </w:rPr>
      </w:pPr>
      <w:r>
        <w:rPr>
          <w:i/>
        </w:rPr>
        <w:lastRenderedPageBreak/>
        <w:t>B</w:t>
      </w:r>
      <w:r w:rsidR="005F3AA2">
        <w:rPr>
          <w:i/>
        </w:rPr>
        <w:t xml:space="preserve">alanced territorial development is one of the </w:t>
      </w:r>
      <w:r>
        <w:rPr>
          <w:i/>
        </w:rPr>
        <w:t xml:space="preserve">key </w:t>
      </w:r>
      <w:r w:rsidR="005F3AA2">
        <w:rPr>
          <w:i/>
        </w:rPr>
        <w:t xml:space="preserve">objectives of </w:t>
      </w:r>
      <w:r>
        <w:rPr>
          <w:i/>
        </w:rPr>
        <w:t xml:space="preserve">the rural development expenditure of the CAP. However, territorial aspects do not </w:t>
      </w:r>
      <w:r w:rsidR="009215AA">
        <w:rPr>
          <w:i/>
        </w:rPr>
        <w:t>appear</w:t>
      </w:r>
      <w:r>
        <w:rPr>
          <w:i/>
        </w:rPr>
        <w:t xml:space="preserve"> to be sufficiently considered in the policy design </w:t>
      </w:r>
      <w:r w:rsidR="009215AA">
        <w:rPr>
          <w:i/>
        </w:rPr>
        <w:t>nor in</w:t>
      </w:r>
      <w:r>
        <w:rPr>
          <w:i/>
        </w:rPr>
        <w:t xml:space="preserve"> allocation of funds. We used data on per capita EAFRD expenditures </w:t>
      </w:r>
      <w:r w:rsidR="00CA5DB4">
        <w:rPr>
          <w:i/>
        </w:rPr>
        <w:t>to</w:t>
      </w:r>
      <w:r>
        <w:rPr>
          <w:i/>
        </w:rPr>
        <w:t xml:space="preserve"> evaluate correlations between and among NUTS2 regions. Global as well as local measures of spatial autocorrelation demonstrated a high </w:t>
      </w:r>
      <w:r w:rsidR="00A158B7">
        <w:rPr>
          <w:i/>
        </w:rPr>
        <w:t xml:space="preserve">spatial </w:t>
      </w:r>
      <w:r>
        <w:rPr>
          <w:i/>
        </w:rPr>
        <w:t>association as</w:t>
      </w:r>
      <w:r w:rsidR="009215AA">
        <w:rPr>
          <w:i/>
        </w:rPr>
        <w:t xml:space="preserve"> payments ten</w:t>
      </w:r>
      <w:r w:rsidR="00F71658">
        <w:rPr>
          <w:i/>
        </w:rPr>
        <w:softHyphen/>
      </w:r>
      <w:r w:rsidR="00F71658">
        <w:rPr>
          <w:i/>
        </w:rPr>
        <w:softHyphen/>
      </w:r>
      <w:r w:rsidR="00F71658">
        <w:rPr>
          <w:i/>
        </w:rPr>
        <w:softHyphen/>
      </w:r>
      <w:r w:rsidR="00F71658">
        <w:rPr>
          <w:i/>
        </w:rPr>
        <w:softHyphen/>
      </w:r>
      <w:r w:rsidR="00F71658">
        <w:rPr>
          <w:i/>
        </w:rPr>
        <w:softHyphen/>
      </w:r>
      <w:r w:rsidR="009215AA">
        <w:rPr>
          <w:i/>
        </w:rPr>
        <w:t>d to be above average throughout</w:t>
      </w:r>
      <w:r w:rsidR="00A158B7">
        <w:rPr>
          <w:i/>
        </w:rPr>
        <w:t xml:space="preserve"> the eastern part of the EU. </w:t>
      </w:r>
      <w:r w:rsidR="009215AA">
        <w:rPr>
          <w:i/>
        </w:rPr>
        <w:t>The expenditure is increasingly</w:t>
      </w:r>
      <w:r w:rsidR="009215AA" w:rsidRPr="009215AA">
        <w:rPr>
          <w:i/>
        </w:rPr>
        <w:t xml:space="preserve"> positively associated with small farming, agricultural employment and investments, </w:t>
      </w:r>
      <w:r w:rsidR="009215AA">
        <w:rPr>
          <w:i/>
        </w:rPr>
        <w:t xml:space="preserve">while </w:t>
      </w:r>
      <w:r w:rsidR="009215AA" w:rsidRPr="009215AA">
        <w:rPr>
          <w:i/>
        </w:rPr>
        <w:t>relationship with organic production has weakened</w:t>
      </w:r>
      <w:r w:rsidR="009215AA">
        <w:rPr>
          <w:i/>
        </w:rPr>
        <w:t>.</w:t>
      </w:r>
    </w:p>
    <w:p w14:paraId="3A2DAACD" w14:textId="56077043" w:rsidR="00E512CF" w:rsidRPr="00B65973" w:rsidRDefault="00E512CF" w:rsidP="00E512CF">
      <w:pPr>
        <w:rPr>
          <w:iCs/>
        </w:rPr>
      </w:pPr>
      <w:r w:rsidRPr="00B65973">
        <w:rPr>
          <w:iCs/>
        </w:rPr>
        <w:t>Keywords:</w:t>
      </w:r>
      <w:r w:rsidR="00121AEB" w:rsidRPr="00121AEB">
        <w:t xml:space="preserve"> </w:t>
      </w:r>
      <w:r w:rsidR="00121AEB" w:rsidRPr="00121AEB">
        <w:rPr>
          <w:iCs/>
        </w:rPr>
        <w:t xml:space="preserve">Common Agricultural Policy, </w:t>
      </w:r>
      <w:r w:rsidR="00121AEB">
        <w:rPr>
          <w:iCs/>
        </w:rPr>
        <w:t>rural development,</w:t>
      </w:r>
      <w:r w:rsidR="005F55EF">
        <w:rPr>
          <w:iCs/>
        </w:rPr>
        <w:t xml:space="preserve"> subsidies,</w:t>
      </w:r>
      <w:r w:rsidR="00121AEB">
        <w:rPr>
          <w:iCs/>
        </w:rPr>
        <w:t xml:space="preserve"> spatial autocorrelation</w:t>
      </w:r>
    </w:p>
    <w:p w14:paraId="04FE40D6" w14:textId="5490990C" w:rsidR="00E512CF" w:rsidRDefault="00E512CF" w:rsidP="00921FDF">
      <w:pPr>
        <w:pStyle w:val="Pealkiri1"/>
        <w:rPr>
          <w:lang w:val="en-US"/>
        </w:rPr>
      </w:pPr>
      <w:r w:rsidRPr="00B65973">
        <w:rPr>
          <w:lang w:val="en-US"/>
        </w:rPr>
        <w:t>Introduction</w:t>
      </w:r>
    </w:p>
    <w:p w14:paraId="070564EA" w14:textId="1B77AFEA" w:rsidR="00040C07" w:rsidRDefault="00040C07" w:rsidP="00040C07">
      <w:r>
        <w:t xml:space="preserve">Regionally balanced growth in the EU is promoted from various funds, each of which is focused on a </w:t>
      </w:r>
      <w:proofErr w:type="gramStart"/>
      <w:r>
        <w:t>more or less specific</w:t>
      </w:r>
      <w:proofErr w:type="gramEnd"/>
      <w:r>
        <w:t xml:space="preserve"> area of development. Some of the factors generating this uneven regional development are productivity, transportation infrastructure, technology and knowledge spillovers and factor mobility</w:t>
      </w:r>
      <w:r w:rsidR="001E200C">
        <w:t xml:space="preserve"> </w:t>
      </w:r>
      <w:r w:rsidR="001E200C">
        <w:fldChar w:fldCharType="begin"/>
      </w:r>
      <w:r w:rsidR="00357568">
        <w:instrText xml:space="preserve"> ADDIN ZOTERO_ITEM CSL_CITATION {"citationID":"bvcAFvLG","properties":{"formattedCitation":"(Dall\\uc0\\u8217{}erba, 2005)","plainCitation":"(Dall’erba, 2005)","noteIndex":0},"citationItems":[{"id":50,"uris":["http://zotero.org/users/5499844/items/TP28I6MB"],"uri":["http://zotero.org/users/5499844/items/TP28I6MB"],"itemData":{"id":50,"type":"article-journal","title":"Distribution of regional income and regional funds in Europe 1989–1999: An exploratory spatial data analysis","container-title":"The Annals of Regional Science","page":"121-148","volume":"39","issue":"1","source":"Crossref","abstract":"The eﬀorts of the European Commission to reduce regional inequalities over its territory continue to attract the attention of researchers. The purpose of this paper is to perform an exploratory investigation of the relationship between the spatial distribution of regional income and of regional development funds among 145 European regions over 1989–1999. Using a set of tools of spatial statistics, we ﬁrst detect the presence of global and local spatial autocorrelation in the distribution of regional per capita incomes, traducing that rich (poor) regions tend to be clustered close to other rich (poor) regions, and in the distribution of regional growth rate and regional funds. Second, the results of LISA statistics conclude to the presence of spatial heterogeneity in the form of two spatial clusters of rich and poor regions over the decade, highlighting the persistence of a signiﬁcant core-periphery pattern among European regions. Finally, an exploratory analysis reveals a negative correlation between growth and initial income, that tends to indicate b-convergence. A positive relationship between regional growth and structural funds is identiﬁed among the signiﬁcant results as well. Only Andalucia, Galicia and Sterea Ellada show atypical linkages. These results suggest that further research should include spatial eﬀects and the distribution of regional funds in the spatial econometric estimation of regional convergence in Europe.","DOI":"10.1007/s00168-004-0199-4","ISSN":"0570-1864, 1432-0592","title-short":"Distribution of regional income and regional funds in Europe 1989–1999","language":"en","author":[{"family":"Dall’erba","given":"Sandy"}],"issued":{"date-parts":[["2005",3]]}}}],"schema":"https://github.com/citation-style-language/schema/raw/master/csl-citation.json"} </w:instrText>
      </w:r>
      <w:r w:rsidR="001E200C">
        <w:fldChar w:fldCharType="separate"/>
      </w:r>
      <w:r w:rsidR="00357568" w:rsidRPr="00357568">
        <w:t>(</w:t>
      </w:r>
      <w:proofErr w:type="spellStart"/>
      <w:r w:rsidR="00357568" w:rsidRPr="00357568">
        <w:t>Dall’erba</w:t>
      </w:r>
      <w:proofErr w:type="spellEnd"/>
      <w:r w:rsidR="00357568" w:rsidRPr="00357568">
        <w:t>, 2005)</w:t>
      </w:r>
      <w:r w:rsidR="001E200C">
        <w:fldChar w:fldCharType="end"/>
      </w:r>
      <w:r>
        <w:t xml:space="preserve">. Management of </w:t>
      </w:r>
      <w:r w:rsidR="008E6C04">
        <w:t xml:space="preserve">most of </w:t>
      </w:r>
      <w:r>
        <w:t xml:space="preserve">these factors is an essential part of recent rural development policy of the Common Agricultural Policy (CAP) as manifested in the Pillar 2 measures. </w:t>
      </w:r>
    </w:p>
    <w:p w14:paraId="2BC6A88D" w14:textId="4E6FF4F5" w:rsidR="00040C07" w:rsidRDefault="00040C07" w:rsidP="00040C07">
      <w:r>
        <w:t xml:space="preserve">Despite that </w:t>
      </w:r>
      <w:r w:rsidR="001F19CC">
        <w:t>since its inception,</w:t>
      </w:r>
      <w:r>
        <w:t xml:space="preserve"> the main aim of the CAP </w:t>
      </w:r>
      <w:r w:rsidR="00F611A5">
        <w:t>has been</w:t>
      </w:r>
      <w:r>
        <w:t xml:space="preserve"> to ensure </w:t>
      </w:r>
      <w:proofErr w:type="gramStart"/>
      <w:r>
        <w:t>sufficient</w:t>
      </w:r>
      <w:proofErr w:type="gramEnd"/>
      <w:r>
        <w:t xml:space="preserve"> income for farmers and stable supply of food for consumers, goals related to environment and rural communities have become increasingly important. Although some measures of </w:t>
      </w:r>
      <w:r w:rsidR="00F611A5">
        <w:t xml:space="preserve">the </w:t>
      </w:r>
      <w:r>
        <w:t>CAP with territorial characteristics can be traced back to 1970's</w:t>
      </w:r>
      <w:r w:rsidR="001E200C">
        <w:t xml:space="preserve"> </w:t>
      </w:r>
      <w:r w:rsidR="001E200C">
        <w:fldChar w:fldCharType="begin"/>
      </w:r>
      <w:r w:rsidR="00357568">
        <w:instrText xml:space="preserve"> ADDIN ZOTERO_ITEM CSL_CITATION {"citationID":"tHiQwoCb","properties":{"formattedCitation":"(Dwyer et al., 2007)","plainCitation":"(Dwyer et al., 2007)","noteIndex":0},"citationItems":[{"id":666,"uris":["http://zotero.org/users/5499844/items/6Q6VVHCS"],"uri":["http://zotero.org/users/5499844/items/6Q6VVHCS"],"itemData":{"id":666,"type":"article-journal","title":"European Rural Development under the Common Agricultural Policy's ‘Second Pillar’: Institutional Conservatism and Innovation","container-title":"Regional Studies","page":"873-888","volume":"41","issue":"7","source":"Crossref","DOI":"10.1080/00343400601142795","ISSN":"0034-3404, 1360-0591","title-short":"European Rural Development under the Common Agricultural Policy's ‘Second Pillar’","language":"en","author":[{"family":"Dwyer","given":"Janet"},{"family":"Ward","given":"Neil"},{"family":"Lowe","given":"Philip"},{"family":"Baldock","given":"David"}],"issued":{"date-parts":[["2007",10]]}}}],"schema":"https://github.com/citation-style-language/schema/raw/master/csl-citation.json"} </w:instrText>
      </w:r>
      <w:r w:rsidR="001E200C">
        <w:fldChar w:fldCharType="separate"/>
      </w:r>
      <w:r w:rsidR="00357568" w:rsidRPr="00357568">
        <w:t>(Dwyer et al., 2007)</w:t>
      </w:r>
      <w:r w:rsidR="001E200C">
        <w:fldChar w:fldCharType="end"/>
      </w:r>
      <w:r>
        <w:t xml:space="preserve">, it wasn't until the establishment of the Pillar 2 in 2000 as part of the CAP that economic cohesion became an explicit goal of the policy </w:t>
      </w:r>
      <w:r w:rsidR="001E200C">
        <w:fldChar w:fldCharType="begin"/>
      </w:r>
      <w:r w:rsidR="00357568">
        <w:instrText xml:space="preserve"> ADDIN ZOTERO_ITEM CSL_CITATION {"citationID":"nz90nHMr","properties":{"formattedCitation":"(Garzon, 2006)","plainCitation":"(Garzon, 2006)","noteIndex":0},"citationItems":[{"id":671,"uris":["http://zotero.org/users/5499844/items/ZZ4TK8KZ"],"uri":["http://zotero.org/users/5499844/items/ZZ4TK8KZ"],"itemData":{"id":671,"type":"book","title":"Reforming the common agricultural policy: history of a paradigm change","publisher":"Palgrave Macmillan","ISBN":"0-230-62657-2","author":[{"family":"Garzon","given":"Isabelle"}],"issued":{"date-parts":[["2006"]]}}}],"schema":"https://github.com/citation-style-language/schema/raw/master/csl-citation.json"} </w:instrText>
      </w:r>
      <w:r w:rsidR="001E200C">
        <w:fldChar w:fldCharType="separate"/>
      </w:r>
      <w:r w:rsidR="00357568" w:rsidRPr="00357568">
        <w:t>(Garzon, 2006)</w:t>
      </w:r>
      <w:r w:rsidR="001E200C">
        <w:fldChar w:fldCharType="end"/>
      </w:r>
      <w:r>
        <w:t xml:space="preserve">. The implementation of European Agricultural Fund for Rural Development (EAFRD) since 2007 further outlined the CAP expenditure aimed at rural development. Yet, despite a strong territorial </w:t>
      </w:r>
      <w:r w:rsidR="005B4BB0">
        <w:t>rhetoric</w:t>
      </w:r>
      <w:r>
        <w:t xml:space="preserve">, it can be argued that territorial aspects have not been seriously considered in the policy design of the CAP nor Pillar 2 in </w:t>
      </w:r>
      <w:r w:rsidR="00932A8B">
        <w:t xml:space="preserve">particular </w:t>
      </w:r>
      <w:r w:rsidR="001E200C">
        <w:fldChar w:fldCharType="begin"/>
      </w:r>
      <w:r w:rsidR="00357568">
        <w:instrText xml:space="preserve"> ADDIN ZOTERO_ITEM CSL_CITATION {"citationID":"LZ71Qvuh","properties":{"formattedCitation":"(Zasada et al., 2018)","plainCitation":"(Zasada et al., 2018)","noteIndex":0},"citationItems":[{"id":81,"uris":["http://zotero.org/users/5499844/items/A678KKHU"],"uri":["http://zotero.org/users/5499844/items/A678KKHU"],"itemData":{"id":81,"type":"article-journal","title":"EU’s rural development policy at the regional level—Are expenditures for natural capital linked with territorial needs?","container-title":"Land Use Policy","page":"344-353","volume":"77","source":"Crossref","abstract":"The restoration and improvement of natural capital (NC) in rural areas represents one of the main objectives of the EU’s rural development policy (RDP). In addition to creating environmental and biodiversity beneﬁts, NC represents an important territorial asset and a basis to generate socio-economic second-order eﬀects for economic competitiveness and rural viability. However, the regional capability to valorise NC depends on the speciﬁc regional context, needs and potentials, as well as targeted policy support. It has therefore been questioned whether RDP suﬃciently considers territorial aspects. Based on a previous study, which distinguished RDP (2007–2013) funding priorities and regional expenditure patterns, this paper focusses on European regions (NUTS2/3) characterised by above-average relative expenditures for measures related to NC support.","DOI":"10.1016/j.landusepol.2018.05.053","ISSN":"02648377","language":"en","author":[{"family":"Zasada","given":"I."},{"family":"Weltin","given":"M."},{"family":"Reutter","given":"M."},{"family":"Verburg","given":"P.H."},{"family":"Piorr","given":"A."}],"issued":{"date-parts":[["2018",9]]}}}],"schema":"https://github.com/citation-style-language/schema/raw/master/csl-citation.json"} </w:instrText>
      </w:r>
      <w:r w:rsidR="001E200C">
        <w:fldChar w:fldCharType="separate"/>
      </w:r>
      <w:r w:rsidR="00357568" w:rsidRPr="00357568">
        <w:t>(</w:t>
      </w:r>
      <w:proofErr w:type="spellStart"/>
      <w:r w:rsidR="00357568" w:rsidRPr="00357568">
        <w:t>Zasada</w:t>
      </w:r>
      <w:proofErr w:type="spellEnd"/>
      <w:r w:rsidR="00357568" w:rsidRPr="00357568">
        <w:t xml:space="preserve"> et al., 2018)</w:t>
      </w:r>
      <w:r w:rsidR="001E200C">
        <w:fldChar w:fldCharType="end"/>
      </w:r>
      <w:r>
        <w:t xml:space="preserve">. These trends suggest an investigation of the territorial distribution of </w:t>
      </w:r>
      <w:r w:rsidR="005B4BB0">
        <w:t xml:space="preserve">the </w:t>
      </w:r>
      <w:r>
        <w:t>CAP funds and its relation to regional characteristics.</w:t>
      </w:r>
    </w:p>
    <w:p w14:paraId="5DD1865A" w14:textId="41FFA4A4" w:rsidR="00040C07" w:rsidRDefault="00040C07" w:rsidP="00040C07">
      <w:r>
        <w:t>Some previous attempts at quantifying the relationship between EAFRD expenditure and rural development at regional level cast doubt on the intended focus of the policy</w:t>
      </w:r>
      <w:r w:rsidR="00CA5DB4">
        <w:t xml:space="preserve"> </w:t>
      </w:r>
      <w:r w:rsidR="00F71658">
        <w:fldChar w:fldCharType="begin"/>
      </w:r>
      <w:r w:rsidR="00357568">
        <w:instrText xml:space="preserve"> ADDIN ZOTERO_ITEM CSL_CITATION {"citationID":"aji5oe8ihd","properties":{"formattedCitation":"(Bakucs et al., 2019, 2018)","plainCitation":"(Bakucs et al., 2019, 2018)","noteIndex":0},"citationItems":[{"id":494,"uris":["http://zotero.org/users/5499844/items/C2JJ2YJW"],"uri":["http://zotero.org/users/5499844/items/C2JJ2YJW"],"itemData":{"id":494,"type":"article-journal","title":"Success or Waste of Taxpayer Money? Impact Assessment of Rural Development Programs in Hungary","container-title":"Sustainability","page":"2158","volume":"11","issue":"7","source":"DOI.org (Crossref)","abstract":"The effectiveness of support directed to less developed regions is a timely question more than halfway through the 2014–2020 programming period. We present an analysis of the impact of rural development support on the well-being of Hungarian LAU1 regions between 2008 and 2013. The aim was to measure the overall impact of all of the Rural Development Funds, covering all measures within the program. Two indices of local well-being were used: the multi-dimensional, local-variables-based Regional Development Index that measures the overall level of regional development and a simple, migration-based index as a proxy for perceived quality of life. Generalized propensity score matching, and difference-in-differences estimation techniques were employed to evaluate the impact of subsidies. Irrespective of how the amount of support was calculated, the measure of local well-being, or the methodology employed, the impact was not signiﬁcant, and was sometimes even negative. This casts doubt on the effectiveness of Rural Development Policy in Hungary.","DOI":"10.3390/su11072158","ISSN":"2071-1050","title-short":"Success or Waste of Taxpayer Money?","journalAbbreviation":"Sustainability","language":"en","author":[{"family":"Bakucs","given":"Zoltán"},{"family":"Fertő","given":"Imre"},{"family":"Benedek","given":"Zsófia"}],"issued":{"date-parts":[["2019",4,11]]}}},{"id":71,"uris":["http://zotero.org/users/5499844/items/TNNMZBPT"],"uri":["http://zotero.org/users/5499844/items/TNNMZBPT"],"itemData":{"id":71,"type":"article-journal","title":"Impact of European Union development subsidies on Hungarian regions","container-title":"European Planning Studies","page":"1121-1136","volume":"26","issue":"6","source":"Crossref","abstract":"Since the collapse of the communist system, regional inequalities have increased in Central European Countries. This paper describes an assessment of the impacts of regional development programmes on the development of Hungarian regions at a highly disaggregated level between 2002 and 2008. We construct a multi-dimensional composite indicator to estimate the overall development of rural regions and capture social, economic and environmental dimensions. The impacts of rural development programmes were investigated through counterfactual analysis in combination with Propensity Score Matching and Difference-inDifferences approaches. There has been considerable variation with increasing concentration in the level of subsidies distributed during the analysed period. From a policy perspective, the results are disappointing. Irrespective of the subsidy measures or methodology employed, the impact of the former is very close to zero or non-significant. Our findings cast serious doubt on the effectiveness of development policy and the long-run convergence of European regions.","DOI":"10.1080/09654313.2018.1437394","ISSN":"0965-4313, 1469-5944","language":"en","author":[{"family":"Bakucs","given":"Zoltán"},{"family":"Fertő","given":"Imre"},{"family":"Varga","given":"Ágnes"},{"family":"Benedek","given":"Zsófia"}],"issued":{"date-parts":[["2018",6,3]]}}}],"schema":"https://github.com/citation-style-language/schema/raw/master/csl-citation.json"} </w:instrText>
      </w:r>
      <w:r w:rsidR="00F71658">
        <w:fldChar w:fldCharType="separate"/>
      </w:r>
      <w:r w:rsidR="00357568" w:rsidRPr="00357568">
        <w:t>(</w:t>
      </w:r>
      <w:proofErr w:type="spellStart"/>
      <w:r w:rsidR="00357568" w:rsidRPr="00357568">
        <w:t>Bakucs</w:t>
      </w:r>
      <w:proofErr w:type="spellEnd"/>
      <w:r w:rsidR="00357568" w:rsidRPr="00357568">
        <w:t xml:space="preserve"> et al., 2019, 2018)</w:t>
      </w:r>
      <w:r w:rsidR="00F71658">
        <w:fldChar w:fldCharType="end"/>
      </w:r>
      <w:r>
        <w:t xml:space="preserve">. Due to being based on historical crop yields, payments related to Pillar 1 are inclined to be higher in wealthier regions but </w:t>
      </w:r>
      <w:r w:rsidR="00CA5DB4">
        <w:t xml:space="preserve">a </w:t>
      </w:r>
      <w:r>
        <w:t>negative correlation between Pillar 2 support and regional income</w:t>
      </w:r>
      <w:r w:rsidR="005B4BB0">
        <w:t xml:space="preserve"> has not been found </w:t>
      </w:r>
      <w:r w:rsidR="001E200C">
        <w:fldChar w:fldCharType="begin"/>
      </w:r>
      <w:r w:rsidR="00357568">
        <w:instrText xml:space="preserve"> ADDIN ZOTERO_ITEM CSL_CITATION {"citationID":"v30SuNaa","properties":{"formattedCitation":"(Esposti, 2008)","plainCitation":"(Esposti, 2008)","noteIndex":0},"citationItems":[{"id":920,"uris":["http://zotero.org/users/5499844/items/MYKIKAPT"],"uri":["http://zotero.org/users/5499844/items/MYKIKAPT"],"itemData":{"id":920,"type":"paper-conference","title":"Reforming the CAP: An agenda for regional growth?","publisher":"1","publisher-place":"Viterbo, Italy","page":"45","source":"Zotero","event":"109th EAAE Seminar \"The CAP after the Fischler reform: national implementations, impact assessment and the agenda for future reformers\"","event-place":"Viterbo, Italy","abstract":"This paper aims at analysing the recent CAP reform from the perspective of the current general and strategic objectives of the EU as defined by the Lisbon Strategy. A critical appraisal of the CAP impact in terms of regional growth is carried out. Firstly from a strictly conceptual and methodological point of view, then by analysing more in detail how CAP reform (of both Pillar I and II) might have actually affected the role of the CAP in promoting (or hindering) regional growth and, therefore, convergence. Empirical evidence provided by the different available methodologies has progressively emerged in the very last years. Though a conclusive answer on the impact of the reform can not be drawn, it still emerges that the role of CAP design and implementation in affecting regional growth and convergence is usually underestimated and often neglected in the discussions about the future of the CAP. At the same time, however, this role is not univocal and strongly case-specific, as it substantially differs across regions according to their socio-economic structure and how reforms are jointly implemented.","language":"en","author":[{"family":"Esposti","given":"Roberto"}],"issued":{"date-parts":[["2008",11]]}}}],"schema":"https://github.com/citation-style-language/schema/raw/master/csl-citation.json"} </w:instrText>
      </w:r>
      <w:r w:rsidR="001E200C">
        <w:fldChar w:fldCharType="separate"/>
      </w:r>
      <w:r w:rsidR="00357568" w:rsidRPr="00357568">
        <w:t>(</w:t>
      </w:r>
      <w:proofErr w:type="spellStart"/>
      <w:r w:rsidR="00357568" w:rsidRPr="00357568">
        <w:t>Esposti</w:t>
      </w:r>
      <w:proofErr w:type="spellEnd"/>
      <w:r w:rsidR="00357568" w:rsidRPr="00357568">
        <w:t>, 2008)</w:t>
      </w:r>
      <w:r w:rsidR="001E200C">
        <w:fldChar w:fldCharType="end"/>
      </w:r>
      <w:r>
        <w:t>. It has also been demonstrated that distribution of funds from other regional policies have stronger association with regional disadvantage compared to Pillar 2</w:t>
      </w:r>
      <w:r w:rsidR="001E200C">
        <w:t xml:space="preserve"> </w:t>
      </w:r>
      <w:r w:rsidR="001E200C">
        <w:fldChar w:fldCharType="begin"/>
      </w:r>
      <w:r w:rsidR="00357568">
        <w:instrText xml:space="preserve"> ADDIN ZOTERO_ITEM CSL_CITATION {"citationID":"CUkCOJtN","properties":{"formattedCitation":"(Crescenzi et al., 2011)","plainCitation":"(Crescenzi et al., 2011)","noteIndex":0},"citationItems":[{"id":918,"uris":["http://zotero.org/users/5499844/items/3N2IM793"],"uri":["http://zotero.org/users/5499844/items/3N2IM793"],"itemData":{"id":918,"type":"report","title":"In tandem for cohesion? Synergies and conflicts between regional and agricultural policies of the European Union","collection-title":"LSE ‘Europe in Question’ Discussion Paper Series","page":"1-50","genre":"Discussion Paper","source":"Zotero","abstract":"The paper sets out to analyze the allocations of financial resources accruing to the European regions from the Regional, Rural Development and Agricultural policies of the European Union in order to assess their territorial coordination and synergies and their degree of compatibility with the \"general\" objective of territorial cohesion. Regression analysis is used to evaluate the relationship between allocated funds (dependent variable) and factors of territorial disadvantage (explanatory variables) covering the 20-year period 1994-2013 and approximately 90% of total Community expenditure. The analysis reveals that both coordination and compatibility with territorial cohesion of the various areas of Community policy have not always improved in response to major policy reforms. The territorial ‘vocation’ of overall Community spending is weakly linked to its distribution among different policies, but it crucially depends upon how each policy area defines appropriate allocation mechanisms and interventions, based upon the characteristics of each region and its ‘local’ needs.","number":"LEQS Paper No. 40/2011","language":"en","author":[{"family":"Crescenzi","given":"Riccardo"},{"family":"Filippis","given":"Fabrizio De"},{"family":"Pierangeli","given":"Fabio"}],"issued":{"date-parts":[["2011",7]]}}}],"schema":"https://github.com/citation-style-language/schema/raw/master/csl-citation.json"} </w:instrText>
      </w:r>
      <w:r w:rsidR="001E200C">
        <w:fldChar w:fldCharType="separate"/>
      </w:r>
      <w:r w:rsidR="00357568" w:rsidRPr="00357568">
        <w:t>(Crescenzi et al., 2011)</w:t>
      </w:r>
      <w:r w:rsidR="001E200C">
        <w:fldChar w:fldCharType="end"/>
      </w:r>
      <w:r>
        <w:t xml:space="preserve">. In their econometric analysis involving spatial component, </w:t>
      </w:r>
      <w:proofErr w:type="spellStart"/>
      <w:r>
        <w:t>Camaioni</w:t>
      </w:r>
      <w:proofErr w:type="spellEnd"/>
      <w:r>
        <w:t xml:space="preserve"> </w:t>
      </w:r>
      <w:r w:rsidR="00D03B8E">
        <w:t xml:space="preserve">et al. </w:t>
      </w:r>
      <w:r w:rsidR="001E200C">
        <w:fldChar w:fldCharType="begin"/>
      </w:r>
      <w:r w:rsidR="001E200C">
        <w:instrText xml:space="preserve"> ADDIN ZOTERO_ITEM CSL_CITATION {"citationID":"9OWbLFBy","properties":{"formattedCitation":"(2014)","plainCitation":"(2014)","noteIndex":0},"citationItems":[{"id":497,"uris":["http://zotero.org/users/5499844/items/YCJK7IVP"],"uri":["http://zotero.org/users/5499844/items/YCJK7IVP"],"itemData":{"id":497,"type":"report","title":"How does space affect the allocation of the EU rural development policy's expenditure? An econometric assessment","author":[{"family":"Camaioni","given":"Beatrice"},{"family":"Esposti","given":"Roberto"},{"family":"Pagliacci","given":"Francesco"},{"family":"Sotte","given":"Franco"}],"issued":{"date-parts":[["2014"]]}},"suppress-author":true}],"schema":"https://github.com/citation-style-language/schema/raw/master/csl-citation.json"} </w:instrText>
      </w:r>
      <w:r w:rsidR="001E200C">
        <w:fldChar w:fldCharType="separate"/>
      </w:r>
      <w:r w:rsidR="001E200C" w:rsidRPr="001E200C">
        <w:t>(2014)</w:t>
      </w:r>
      <w:r w:rsidR="001E200C">
        <w:fldChar w:fldCharType="end"/>
      </w:r>
      <w:r>
        <w:t xml:space="preserve"> observed that less rural regions have in fact higher Pillar </w:t>
      </w:r>
      <w:r w:rsidR="00E154B2">
        <w:t xml:space="preserve">2 </w:t>
      </w:r>
      <w:r>
        <w:t xml:space="preserve">expenditure intensity. </w:t>
      </w:r>
    </w:p>
    <w:p w14:paraId="06CC5208" w14:textId="55BB0E97" w:rsidR="00040C07" w:rsidRPr="00040C07" w:rsidRDefault="00040C07" w:rsidP="00040C07">
      <w:r w:rsidRPr="00040C07">
        <w:t xml:space="preserve">One of the three policy objectives </w:t>
      </w:r>
      <w:r w:rsidR="005B4BB0">
        <w:t xml:space="preserve">of </w:t>
      </w:r>
      <w:r w:rsidRPr="00040C07">
        <w:t>the EAFRD funds is "achieving a balanced territorial development of rural and economic communities"</w:t>
      </w:r>
      <w:r w:rsidR="001E200C">
        <w:t xml:space="preserve"> </w:t>
      </w:r>
      <w:r w:rsidR="001E200C">
        <w:fldChar w:fldCharType="begin"/>
      </w:r>
      <w:r w:rsidR="00357568">
        <w:instrText xml:space="preserve"> ADDIN ZOTERO_ITEM CSL_CITATION {"citationID":"MlNZ62x7","properties":{"formattedCitation":"(European Parliament and Council of the European Union, 2013)","plainCitation":"(European Parliament and Council of the European Union, 2013)","noteIndex":0},"citationItems":[{"id":89,"uris":["http://zotero.org/users/5499844/items/QI3SZG4F"],"uri":["http://zotero.org/users/5499844/items/QI3SZG4F"],"itemData":{"id":89,"type":"bill","title":"Regulation (EU) No 1305/2013 of the European Parliament and of the Council of 17 december 2013 on support for rural development by the European Agricultural Fund for Rural Development (EAFRD) and repealing Council Regulation (EC) No 1698/2005","container-title":"347","authority":"European Parliament and Council of the European Union","page":"487-548","number":"1305/2013","language":"en","author":[{"literal":"European Parliament and Council of the European Union"}],"issued":{"date-parts":[["2013",12,20]]}}}],"schema":"https://github.com/citation-style-language/schema/raw/master/csl-citation.json"} </w:instrText>
      </w:r>
      <w:r w:rsidR="001E200C">
        <w:fldChar w:fldCharType="separate"/>
      </w:r>
      <w:r w:rsidR="00357568" w:rsidRPr="00357568">
        <w:t>(European Parliament and Council of the European Union, 2013)</w:t>
      </w:r>
      <w:r w:rsidR="001E200C">
        <w:fldChar w:fldCharType="end"/>
      </w:r>
      <w:r w:rsidRPr="00040C07">
        <w:t>. Hence, at least some territorial inequalities in the distribution of these payments can be expected due to focus on disadvantaged regions. It has been demonstrated that as is the case with other structural funds</w:t>
      </w:r>
      <w:r w:rsidR="001E200C">
        <w:t xml:space="preserve"> </w:t>
      </w:r>
      <w:r w:rsidR="001E200C">
        <w:fldChar w:fldCharType="begin"/>
      </w:r>
      <w:r w:rsidR="00357568">
        <w:instrText xml:space="preserve"> ADDIN ZOTERO_ITEM CSL_CITATION {"citationID":"W3LSku17","properties":{"formattedCitation":"(Becker et al., 2012; Dall\\uc0\\u8217{}erba, 2005)","plainCitation":"(Becker et al., 2012; Dall’erba, 2005)","noteIndex":0},"citationItems":[{"id":66,"uris":["http://zotero.org/users/5499844/items/RHWSXP94"],"uri":["http://zotero.org/users/5499844/items/RHWSXP94"],"itemData":{"id":66,"type":"article-journal","title":"Too much of a good thing? On the growth effects of the EU's regional policy","container-title":"European Economic Review","page":"648-668","volume":"56","issue":"4","source":"Crossref","abstract":"The European Union (EU) provides grants to disadvantaged regions of member states from two pools, the Structural Funds and the Cohesion Fund. The main goal of the associated transfers is to facilitate convergence of poor regions (in terms of per-capita income) to the EU average. We use data at the NUTS3 level from the last two EU budgetary periods (1994–1999 and 2000–2006) and generalized propensity score estimation to analyze to which extent the goal of fostering growth in the target regions was achieved with the funds provided and whether or not more transfers generated stronger growth effects. We ﬁnd that, overall, EU transfers enable faster growth in the recipient regions as intended, but we estimate that in 36% of the recipient regions the transfer intensity exceeds the aggregate efﬁciency maximizing level and in 18% of the regions a reduction of transfers would not even reduce their growth. We conclude that some reallocation of the funds across target regions would lead to higher aggregate growth in the EU and could generate even faster convergence than the current scheme does.","DOI":"10.1016/j.euroecorev.2012.03.001","ISSN":"00142921","title-short":"Too much of a good thing?","language":"en","author":[{"family":"Becker","given":"Sascha O."},{"family":"Egger","given":"Peter H."},{"family":"Ehrlich","given":"Maximilian","non-dropping-particle":"von"}],"issued":{"date-parts":[["2012",5]]}}},{"id":50,"uris":["http://zotero.org/users/5499844/items/TP28I6MB"],"uri":["http://zotero.org/users/5499844/items/TP28I6MB"],"itemData":{"id":50,"type":"article-journal","title":"Distribution of regional income and regional funds in Europe 1989–1999: An exploratory spatial data analysis","container-title":"The Annals of Regional Science","page":"121-148","volume":"39","issue":"1","source":"Crossref","abstract":"The eﬀorts of the European Commission to reduce regional inequalities over its territory continue to attract the attention of researchers. The purpose of this paper is to perform an exploratory investigation of the relationship between the spatial distribution of regional income and of regional development funds among 145 European regions over 1989–1999. Using a set of tools of spatial statistics, we ﬁrst detect the presence of global and local spatial autocorrelation in the distribution of regional per capita incomes, traducing that rich (poor) regions tend to be clustered close to other rich (poor) regions, and in the distribution of regional growth rate and regional funds. Second, the results of LISA statistics conclude to the presence of spatial heterogeneity in the form of two spatial clusters of rich and poor regions over the decade, highlighting the persistence of a signiﬁcant core-periphery pattern among European regions. Finally, an exploratory analysis reveals a negative correlation between growth and initial income, that tends to indicate b-convergence. A positive relationship between regional growth and structural funds is identiﬁed among the signiﬁcant results as well. Only Andalucia, Galicia and Sterea Ellada show atypical linkages. These results suggest that further research should include spatial eﬀects and the distribution of regional funds in the spatial econometric estimation of regional convergence in Europe.","DOI":"10.1007/s00168-004-0199-4","ISSN":"0570-1864, 1432-0592","title-short":"Distribution of regional income and regional funds in Europe 1989–1999","language":"en","author":[{"family":"Dall’erba","given":"Sandy"}],"issued":{"date-parts":[["2005",3]]}}}],"schema":"https://github.com/citation-style-language/schema/raw/master/csl-citation.json"} </w:instrText>
      </w:r>
      <w:r w:rsidR="001E200C">
        <w:fldChar w:fldCharType="separate"/>
      </w:r>
      <w:r w:rsidR="00357568" w:rsidRPr="00357568">
        <w:t xml:space="preserve">(Becker et al., 2012; </w:t>
      </w:r>
      <w:proofErr w:type="spellStart"/>
      <w:r w:rsidR="00357568" w:rsidRPr="00357568">
        <w:t>Dall’erba</w:t>
      </w:r>
      <w:proofErr w:type="spellEnd"/>
      <w:r w:rsidR="00357568" w:rsidRPr="00357568">
        <w:t>, 2005)</w:t>
      </w:r>
      <w:r w:rsidR="001E200C">
        <w:fldChar w:fldCharType="end"/>
      </w:r>
      <w:r w:rsidRPr="00040C07">
        <w:t xml:space="preserve">, there is substantial </w:t>
      </w:r>
      <w:bookmarkStart w:id="0" w:name="_GoBack"/>
      <w:bookmarkEnd w:id="0"/>
      <w:r w:rsidRPr="00040C07">
        <w:t>heterogeneity in the regional distribution of EAFRD expenditure</w:t>
      </w:r>
      <w:r w:rsidR="001E200C">
        <w:t xml:space="preserve"> </w:t>
      </w:r>
      <w:r w:rsidR="001E200C">
        <w:fldChar w:fldCharType="begin"/>
      </w:r>
      <w:r w:rsidR="00357568">
        <w:instrText xml:space="preserve"> ADDIN ZOTERO_ITEM CSL_CITATION {"citationID":"i5jvotlB","properties":{"formattedCitation":"(Bonfiglio et al., 2015; Camaioni et al., 2014)","plainCitation":"(Bonfiglio et al., 2015; Camaioni et al., 2014)","noteIndex":0},"citationItems":[{"id":127,"uris":["http://zotero.org/users/5499844/items/LY2PC72U"],"uri":["http://zotero.org/users/5499844/items/LY2PC72U"],"itemData":{"id":127,"type":"paper-conference","title":"Distributional and Re-distributional Patterns of CAP Expenditure through the EU Space","publisher":"Italian Association of Agricultural and Applied Economics (AIEAA)","publisher-place":"Milan","page":"1-30","event":"29th ICAE - International Conference of Agricultural Economist \"Agriculture in an interconnected world\"","event-place":"Milan","abstract":"This paper is aimed at assessing distribution of Common Agricultural Policy (CAP) expenditure through the European Union (EU) space. Firstly, spatial distribution of past CAP expenditure is analysed, specifically 2007-2011 payments. Both overall expenditure and disentangled measures are investigated; major territorial patterns through the EU-27 are highlighted as well. Secondly, spatial distribution of future expenditure, according to latest 2014-2020 CAP reform, is analysed. In particular, we assess re-distributional effects connected with spatial spillovers that are due to regional economic integration. Assessment is made through the adoption of a multiregional I-O model. The analysis is carried out at a very high level of disaggregation, i.e. NUTS 3 level throughout the EU-27. Furthermore, a specific focus is devoted to rural-urban relationships.","author":[{"family":"Bonfiglio","given":"Andrea"},{"family":"Camaioni","given":"Beatrice"},{"family":"Esposti","given":"Roberto"},{"family":"Pagliacci","given":"Francesco"},{"family":"Sotte","given":"Franco"}],"issued":{"date-parts":[["2015",8]]}}},{"id":497,"uris":["http://zotero.org/users/5499844/items/YCJK7IVP"],"uri":["http://zotero.org/users/5499844/items/YCJK7IVP"],"itemData":{"id":497,"type":"report","title":"How does space affect the allocation of the EU rural development policy's expenditure? An econometric assessment","author":[{"family":"Camaioni","given":"Beatrice"},{"family":"Esposti","given":"Roberto"},{"family":"Pagliacci","given":"Francesco"},{"family":"Sotte","given":"Franco"}],"issued":{"date-parts":[["2014"]]}}}],"schema":"https://github.com/citation-style-language/schema/raw/master/csl-citation.json"} </w:instrText>
      </w:r>
      <w:r w:rsidR="001E200C">
        <w:fldChar w:fldCharType="separate"/>
      </w:r>
      <w:r w:rsidR="00357568" w:rsidRPr="00357568">
        <w:t>(</w:t>
      </w:r>
      <w:proofErr w:type="spellStart"/>
      <w:r w:rsidR="00357568" w:rsidRPr="00357568">
        <w:t>Bonfiglio</w:t>
      </w:r>
      <w:proofErr w:type="spellEnd"/>
      <w:r w:rsidR="00357568" w:rsidRPr="00357568">
        <w:t xml:space="preserve"> et al., 2015; </w:t>
      </w:r>
      <w:proofErr w:type="spellStart"/>
      <w:r w:rsidR="00357568" w:rsidRPr="00357568">
        <w:t>Camaioni</w:t>
      </w:r>
      <w:proofErr w:type="spellEnd"/>
      <w:r w:rsidR="00357568" w:rsidRPr="00357568">
        <w:t xml:space="preserve"> et al., 2014)</w:t>
      </w:r>
      <w:r w:rsidR="001E200C">
        <w:fldChar w:fldCharType="end"/>
      </w:r>
      <w:r w:rsidR="001E200C">
        <w:t>.</w:t>
      </w:r>
      <w:r w:rsidR="008415CC">
        <w:t xml:space="preserve"> </w:t>
      </w:r>
      <w:r w:rsidRPr="00040C07">
        <w:t xml:space="preserve">As illustrated on Figure 1, the relative amounts of EAFRD payments received </w:t>
      </w:r>
      <w:r w:rsidR="008415CC">
        <w:t xml:space="preserve">per capita in </w:t>
      </w:r>
      <w:r w:rsidRPr="00040C07">
        <w:t xml:space="preserve">NUTS2 regions between 2007 and 2013 may differ by an order of magnitude. </w:t>
      </w:r>
    </w:p>
    <w:p w14:paraId="4724BB15" w14:textId="4438188B" w:rsidR="007F6810" w:rsidRPr="00B65973" w:rsidRDefault="00C43CD9" w:rsidP="007F6810">
      <w:pPr>
        <w:keepNext/>
        <w:jc w:val="center"/>
      </w:pPr>
      <w:r w:rsidRPr="00B65973">
        <w:rPr>
          <w:iCs/>
          <w:noProof/>
          <w:lang w:val="et-EE" w:eastAsia="et-EE"/>
        </w:rPr>
        <w:lastRenderedPageBreak/>
        <w:drawing>
          <wp:inline distT="0" distB="0" distL="0" distR="0" wp14:anchorId="6CF1B8A1" wp14:editId="1044F8B2">
            <wp:extent cx="5715000" cy="4762500"/>
            <wp:effectExtent l="0" t="0" r="0" b="0"/>
            <wp:docPr id="2" name="Pilt 2" descr="C:\Users\lillemets\AppData\Local\Microsoft\Windows\INetCache\Content.Word\map_raw_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llemets\AppData\Local\Microsoft\Windows\INetCache\Content.Word\map_raw_cap.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15000" cy="4762500"/>
                    </a:xfrm>
                    <a:prstGeom prst="rect">
                      <a:avLst/>
                    </a:prstGeom>
                  </pic:spPr>
                </pic:pic>
              </a:graphicData>
            </a:graphic>
          </wp:inline>
        </w:drawing>
      </w:r>
    </w:p>
    <w:p w14:paraId="6729F49C" w14:textId="5E59547F" w:rsidR="007F6810" w:rsidRPr="00B65973" w:rsidRDefault="007F6810" w:rsidP="007F6810">
      <w:pPr>
        <w:pStyle w:val="Pealdis"/>
      </w:pPr>
      <w:bookmarkStart w:id="1" w:name="_Ref8042402"/>
      <w:r w:rsidRPr="00B65973">
        <w:t xml:space="preserve">Figure </w:t>
      </w:r>
      <w:r w:rsidRPr="00B65973">
        <w:fldChar w:fldCharType="begin"/>
      </w:r>
      <w:r w:rsidRPr="00B65973">
        <w:instrText xml:space="preserve"> SEQ Figure \* ARABIC </w:instrText>
      </w:r>
      <w:r w:rsidRPr="00B65973">
        <w:fldChar w:fldCharType="separate"/>
      </w:r>
      <w:r w:rsidR="00D71678">
        <w:rPr>
          <w:noProof/>
        </w:rPr>
        <w:t>1</w:t>
      </w:r>
      <w:r w:rsidRPr="00B65973">
        <w:fldChar w:fldCharType="end"/>
      </w:r>
      <w:bookmarkEnd w:id="1"/>
      <w:r w:rsidRPr="00B65973">
        <w:t xml:space="preserve">. </w:t>
      </w:r>
      <w:r w:rsidR="00F8468E" w:rsidRPr="00B65973">
        <w:t xml:space="preserve">EAFRD payments per capita </w:t>
      </w:r>
      <w:r w:rsidR="008A7BC8" w:rsidRPr="00B65973">
        <w:t>in NUTS2 regions (averaged</w:t>
      </w:r>
      <w:r w:rsidR="00C43DE1" w:rsidRPr="00B65973">
        <w:t xml:space="preserve"> annual values of 2007-2014</w:t>
      </w:r>
      <w:r w:rsidR="008A7BC8" w:rsidRPr="00B65973">
        <w:t>)</w:t>
      </w:r>
      <w:r w:rsidR="00C43DE1" w:rsidRPr="00B65973">
        <w:t>.</w:t>
      </w:r>
    </w:p>
    <w:p w14:paraId="4F99F8A9" w14:textId="4D2A35E7" w:rsidR="00E512CF" w:rsidRDefault="00F21B57" w:rsidP="00DD152E">
      <w:pPr>
        <w:pStyle w:val="Source"/>
      </w:pPr>
      <w:r w:rsidRPr="00B65973">
        <w:t>Source: Authors’ calculations based on Eurostat and European Commission data.</w:t>
      </w:r>
    </w:p>
    <w:p w14:paraId="66DE8915" w14:textId="4B88BC34" w:rsidR="00040C07" w:rsidRDefault="00040C07" w:rsidP="00040C07">
      <w:r>
        <w:t xml:space="preserve">However, it is </w:t>
      </w:r>
      <w:r w:rsidR="008415CC">
        <w:t xml:space="preserve">unclear </w:t>
      </w:r>
      <w:r>
        <w:t>wh</w:t>
      </w:r>
      <w:r w:rsidR="008415CC">
        <w:t>at</w:t>
      </w:r>
      <w:r>
        <w:t xml:space="preserve"> </w:t>
      </w:r>
      <w:r w:rsidR="008415CC">
        <w:t xml:space="preserve">are </w:t>
      </w:r>
      <w:r>
        <w:t xml:space="preserve">the actual factors that explain the distribution of funds among these regions. Despite </w:t>
      </w:r>
      <w:r w:rsidR="008415CC">
        <w:t xml:space="preserve">the fact </w:t>
      </w:r>
      <w:r>
        <w:t xml:space="preserve">that various schemes for the calculation of the amounts of rural development transfers to countries have been proposed </w:t>
      </w:r>
      <w:r w:rsidR="001E200C">
        <w:fldChar w:fldCharType="begin"/>
      </w:r>
      <w:r w:rsidR="00357568">
        <w:instrText xml:space="preserve"> ADDIN ZOTERO_ITEM CSL_CITATION {"citationID":"6pCwXNq3","properties":{"formattedCitation":"(European Commission, 2011)","plainCitation":"(European Commission, 2011)","noteIndex":0},"citationItems":[{"id":589,"uris":["http://zotero.org/users/5499844/items/59IWBCIS"],"uri":["http://zotero.org/users/5499844/items/59IWBCIS"],"itemData":{"id":589,"type":"report","title":"Common Agricultural Policy towards 2020. Annex 4.","genre":"Commission staff working paper","URL":"https://ec.europa.eu/agriculture/sites/agriculture/files/policy-perspectives/impact-assessment/cap-towards-2020/report/annex4_en.pdf","author":[{"literal":"European Commission"}],"issued":{"date-parts":[["2011",10,20]]},"accessed":{"date-parts":[["2019",4,14]]}}}],"schema":"https://github.com/citation-style-language/schema/raw/master/csl-citation.json"} </w:instrText>
      </w:r>
      <w:r w:rsidR="001E200C">
        <w:fldChar w:fldCharType="separate"/>
      </w:r>
      <w:r w:rsidR="00357568" w:rsidRPr="00357568">
        <w:t>(European Commission, 2011)</w:t>
      </w:r>
      <w:r w:rsidR="001E200C">
        <w:fldChar w:fldCharType="end"/>
      </w:r>
      <w:r>
        <w:t xml:space="preserve">, it is unclear how these amounts are determined. In case of Pillar 2 measures, </w:t>
      </w:r>
      <w:r w:rsidR="005A1BAE">
        <w:t>Member State</w:t>
      </w:r>
      <w:r>
        <w:t>s are relatively free to decide on their deployment of the funds</w:t>
      </w:r>
      <w:r w:rsidR="001E200C">
        <w:t xml:space="preserve"> </w:t>
      </w:r>
      <w:r w:rsidR="001E200C">
        <w:fldChar w:fldCharType="begin"/>
      </w:r>
      <w:r w:rsidR="00357568">
        <w:instrText xml:space="preserve"> ADDIN ZOTERO_ITEM CSL_CITATION {"citationID":"Ty9dWtpx","properties":{"formattedCitation":"(Ward and Lowe, 2004)","plainCitation":"(Ward and Lowe, 2004)","noteIndex":0},"citationItems":[{"id":598,"uris":["http://zotero.org/users/5499844/items/WJHZLT47"],"uri":["http://zotero.org/users/5499844/items/WJHZLT47"],"itemData":{"id":598,"type":"article-journal","title":"Europeanizing rural development? Implementing the CAP's second pillar in England","container-title":"International Planning Studies","page":"121-137","volume":"9","issue":"2-3","source":"Taylor and Francis+NEJM","abstract":"The paper examines the implementation in England of the Rural Development Regulation (RDR), established in 1999 as the ‘Second Pillar’ to the Common Agricultural Policy. The paper argues that the limited UK allocation of European funds hampered the RDR's initial introduction. However, discretionary national funding decisions have meant that a radical approach to financing the RDR has been adopted in the UK. In England, implementation of the Regulation has strengthened a process of Europeanization, but this currently risks being at the cost of distorting sub‐national priorities to spread rural development support beyond the farm gate.","DOI":"10.1080/1356347042000311730","ISSN":"1356-3475","title-short":"Europeanizing rural development?","author":[{"family":"Ward","given":"Neil"},{"family":"Lowe","given":"Philip"}],"issued":{"date-parts":[["2004",5,1]]}}}],"schema":"https://github.com/citation-style-language/schema/raw/master/csl-citation.json"} </w:instrText>
      </w:r>
      <w:r w:rsidR="001E200C">
        <w:fldChar w:fldCharType="separate"/>
      </w:r>
      <w:r w:rsidR="00357568" w:rsidRPr="00357568">
        <w:t>(Ward and Lowe, 2004)</w:t>
      </w:r>
      <w:r w:rsidR="001E200C">
        <w:fldChar w:fldCharType="end"/>
      </w:r>
      <w:r>
        <w:t>, thus the allocation of EAFRD funds differs considerably between countries. As a result, it is even more challenging to explain the distribution of EAFRD expenditure at l</w:t>
      </w:r>
      <w:r w:rsidR="001F7156">
        <w:t>ower levels of aggregation, e.g.</w:t>
      </w:r>
      <w:r>
        <w:t xml:space="preserve"> NUTS1 or NUTS2 and lower. Furthermore, as Pillar 2 measures are voluntary, the end use of funds is also dependent on the </w:t>
      </w:r>
      <w:r w:rsidR="006E61A7">
        <w:t xml:space="preserve">capacity of regions </w:t>
      </w:r>
      <w:r w:rsidR="006E61A7">
        <w:fldChar w:fldCharType="begin"/>
      </w:r>
      <w:r w:rsidR="00357568">
        <w:instrText xml:space="preserve"> ADDIN ZOTERO_ITEM CSL_CITATION {"citationID":"ase0qln1tg","properties":{"formattedCitation":"(Bonfiglio et al., 2015)","plainCitation":"(Bonfiglio et al., 2015)","noteIndex":0},"citationItems":[{"id":127,"uris":["http://zotero.org/users/5499844/items/LY2PC72U"],"uri":["http://zotero.org/users/5499844/items/LY2PC72U"],"itemData":{"id":127,"type":"paper-conference","title":"Distributional and Re-distributional Patterns of CAP Expenditure through the EU Space","publisher":"Italian Association of Agricultural and Applied Economics (AIEAA)","publisher-place":"Milan","page":"1-30","event":"29th ICAE - International Conference of Agricultural Economist \"Agriculture in an interconnected world\"","event-place":"Milan","abstract":"This paper is aimed at assessing distribution of Common Agricultural Policy (CAP) expenditure through the European Union (EU) space. Firstly, spatial distribution of past CAP expenditure is analysed, specifically 2007-2011 payments. Both overall expenditure and disentangled measures are investigated; major territorial patterns through the EU-27 are highlighted as well. Secondly, spatial distribution of future expenditure, according to latest 2014-2020 CAP reform, is analysed. In particular, we assess re-distributional effects connected with spatial spillovers that are due to regional economic integration. Assessment is made through the adoption of a multiregional I-O model. The analysis is carried out at a very high level of disaggregation, i.e. NUTS 3 level throughout the EU-27. Furthermore, a specific focus is devoted to rural-urban relationships.","author":[{"family":"Bonfiglio","given":"Andrea"},{"family":"Camaioni","given":"Beatrice"},{"family":"Esposti","given":"Roberto"},{"family":"Pagliacci","given":"Francesco"},{"family":"Sotte","given":"Franco"}],"issued":{"date-parts":[["2015",8]]}}}],"schema":"https://github.com/citation-style-language/schema/raw/master/csl-citation.json"} </w:instrText>
      </w:r>
      <w:r w:rsidR="006E61A7">
        <w:fldChar w:fldCharType="separate"/>
      </w:r>
      <w:r w:rsidR="00357568" w:rsidRPr="00357568">
        <w:t>(</w:t>
      </w:r>
      <w:proofErr w:type="spellStart"/>
      <w:r w:rsidR="00357568" w:rsidRPr="00357568">
        <w:t>Bonfiglio</w:t>
      </w:r>
      <w:proofErr w:type="spellEnd"/>
      <w:r w:rsidR="00357568" w:rsidRPr="00357568">
        <w:t xml:space="preserve"> et al., 2015)</w:t>
      </w:r>
      <w:r w:rsidR="006E61A7">
        <w:fldChar w:fldCharType="end"/>
      </w:r>
      <w:r w:rsidR="006E61A7">
        <w:t xml:space="preserve"> and </w:t>
      </w:r>
      <w:r w:rsidR="001F7156">
        <w:t>decisions</w:t>
      </w:r>
      <w:r>
        <w:t xml:space="preserve"> of </w:t>
      </w:r>
      <w:r w:rsidR="001F7156">
        <w:t xml:space="preserve">individual </w:t>
      </w:r>
      <w:r>
        <w:t>farmers</w:t>
      </w:r>
      <w:r w:rsidR="001E200C">
        <w:t xml:space="preserve"> </w:t>
      </w:r>
      <w:r w:rsidR="001E200C">
        <w:fldChar w:fldCharType="begin"/>
      </w:r>
      <w:r w:rsidR="00357568">
        <w:instrText xml:space="preserve"> ADDIN ZOTERO_ITEM CSL_CITATION {"citationID":"KRW58hOb","properties":{"formattedCitation":"(Zasada et al., 2018)","plainCitation":"(Zasada et al., 2018)","noteIndex":0},"citationItems":[{"id":81,"uris":["http://zotero.org/users/5499844/items/A678KKHU"],"uri":["http://zotero.org/users/5499844/items/A678KKHU"],"itemData":{"id":81,"type":"article-journal","title":"EU’s rural development policy at the regional level—Are expenditures for natural capital linked with territorial needs?","container-title":"Land Use Policy","page":"344-353","volume":"77","source":"Crossref","abstract":"The restoration and improvement of natural capital (NC) in rural areas represents one of the main objectives of the EU’s rural development policy (RDP). In addition to creating environmental and biodiversity beneﬁts, NC represents an important territorial asset and a basis to generate socio-economic second-order eﬀects for economic competitiveness and rural viability. However, the regional capability to valorise NC depends on the speciﬁc regional context, needs and potentials, as well as targeted policy support. It has therefore been questioned whether RDP suﬃciently considers territorial aspects. Based on a previous study, which distinguished RDP (2007–2013) funding priorities and regional expenditure patterns, this paper focusses on European regions (NUTS2/3) characterised by above-average relative expenditures for measures related to NC support.","DOI":"10.1016/j.landusepol.2018.05.053","ISSN":"02648377","language":"en","author":[{"family":"Zasada","given":"I."},{"family":"Weltin","given":"M."},{"family":"Reutter","given":"M."},{"family":"Verburg","given":"P.H."},{"family":"Piorr","given":"A."}],"issued":{"date-parts":[["2018",9]]}}}],"schema":"https://github.com/citation-style-language/schema/raw/master/csl-citation.json"} </w:instrText>
      </w:r>
      <w:r w:rsidR="001E200C">
        <w:fldChar w:fldCharType="separate"/>
      </w:r>
      <w:r w:rsidR="00357568" w:rsidRPr="00357568">
        <w:t>(</w:t>
      </w:r>
      <w:proofErr w:type="spellStart"/>
      <w:r w:rsidR="00357568" w:rsidRPr="00357568">
        <w:t>Zasada</w:t>
      </w:r>
      <w:proofErr w:type="spellEnd"/>
      <w:r w:rsidR="00357568" w:rsidRPr="00357568">
        <w:t xml:space="preserve"> et al., 2018)</w:t>
      </w:r>
      <w:r w:rsidR="001E200C">
        <w:fldChar w:fldCharType="end"/>
      </w:r>
      <w:r>
        <w:t xml:space="preserve">. </w:t>
      </w:r>
    </w:p>
    <w:p w14:paraId="569EB62A" w14:textId="1AC4DAFB" w:rsidR="00040C07" w:rsidRDefault="00040C07" w:rsidP="00040C07">
      <w:r>
        <w:t xml:space="preserve">The EU regulation 1305/2013 concerning the support for rural development by EAFRD </w:t>
      </w:r>
      <w:r w:rsidR="004C088E">
        <w:fldChar w:fldCharType="begin"/>
      </w:r>
      <w:r w:rsidR="00357568">
        <w:instrText xml:space="preserve"> ADDIN ZOTERO_ITEM CSL_CITATION {"citationID":"Pq8UAJiD","properties":{"formattedCitation":"(European Parliament and Council of the European Union, 2013)","plainCitation":"(European Parliament and Council of the European Union, 2013)","noteIndex":0},"citationItems":[{"id":89,"uris":["http://zotero.org/users/5499844/items/QI3SZG4F"],"uri":["http://zotero.org/users/5499844/items/QI3SZG4F"],"itemData":{"id":89,"type":"bill","title":"Regulation (EU) No 1305/2013 of the European Parliament and of the Council of 17 december 2013 on support for rural development by the European Agricultural Fund for Rural Development (EAFRD) and repealing Council Regulation (EC) No 1698/2005","container-title":"347","authority":"European Parliament and Council of the European Union","page":"487-548","number":"1305/2013","language":"en","author":[{"literal":"European Parliament and Council of the European Union"}],"issued":{"date-parts":[["2013",12,20]]}}}],"schema":"https://github.com/citation-style-language/schema/raw/master/csl-citation.json"} </w:instrText>
      </w:r>
      <w:r w:rsidR="004C088E">
        <w:fldChar w:fldCharType="separate"/>
      </w:r>
      <w:r w:rsidR="00357568" w:rsidRPr="00357568">
        <w:t>(European Parliament and Council of the European Union, 2013)</w:t>
      </w:r>
      <w:r w:rsidR="004C088E">
        <w:fldChar w:fldCharType="end"/>
      </w:r>
      <w:r w:rsidR="004C088E">
        <w:t xml:space="preserve"> </w:t>
      </w:r>
      <w:r>
        <w:t>outlines three objectives of this expenditure: (a) fostering the competitiveness of agriculture; (b) ensuring the sustainable management of natural resources, and climate action;</w:t>
      </w:r>
      <w:r w:rsidR="00CA5DB4">
        <w:t xml:space="preserve"> and</w:t>
      </w:r>
      <w:r>
        <w:t xml:space="preserve"> (c) achieving a balanced territorial development of rural economies and communities including the creation and maintenance of employment. Deducing </w:t>
      </w:r>
      <w:r>
        <w:lastRenderedPageBreak/>
        <w:t xml:space="preserve">from this, we expect that EAFRD payments are negatively correlated to GDP but positively correlated to unemployment, small farming, agricultural employment, agricultural investments and organic farming. Due to being part of EU regional policy, we expect EAFRD payments to be </w:t>
      </w:r>
      <w:r w:rsidR="001F7156">
        <w:t>positively</w:t>
      </w:r>
      <w:r>
        <w:t xml:space="preserve"> correlated to other EU structural and investment funds. </w:t>
      </w:r>
    </w:p>
    <w:p w14:paraId="6762C412" w14:textId="5B15AEAA" w:rsidR="00040C07" w:rsidRPr="00B65973" w:rsidRDefault="00040C07" w:rsidP="00040C07">
      <w:r>
        <w:t xml:space="preserve">In </w:t>
      </w:r>
      <w:r w:rsidR="001F7156">
        <w:t>addition</w:t>
      </w:r>
      <w:r>
        <w:t xml:space="preserve"> to factors characterizing each region, spatial relationships between regions also define the amount of EAFRD payments received. </w:t>
      </w:r>
      <w:r w:rsidR="001F7156">
        <w:t>Neighboring</w:t>
      </w:r>
      <w:r>
        <w:t xml:space="preserve"> regions are likely to be similar as a result of spillover effects but there is also evidence of agglomeration of Pillar 2 payments as rural </w:t>
      </w:r>
      <w:r w:rsidR="001F7156">
        <w:t>neighboring</w:t>
      </w:r>
      <w:r>
        <w:t xml:space="preserve"> regions tend to reduce the intensity of the expenditure</w:t>
      </w:r>
      <w:r w:rsidR="004C088E">
        <w:t xml:space="preserve"> </w:t>
      </w:r>
      <w:r w:rsidR="004C088E">
        <w:fldChar w:fldCharType="begin"/>
      </w:r>
      <w:r w:rsidR="00357568">
        <w:instrText xml:space="preserve"> ADDIN ZOTERO_ITEM CSL_CITATION {"citationID":"zjzKSAFJ","properties":{"formattedCitation":"(Camaioni et al., 2014)","plainCitation":"(Camaioni et al., 2014)","noteIndex":0},"citationItems":[{"id":497,"uris":["http://zotero.org/users/5499844/items/YCJK7IVP"],"uri":["http://zotero.org/users/5499844/items/YCJK7IVP"],"itemData":{"id":497,"type":"report","title":"How does space affect the allocation of the EU rural development policy's expenditure? An econometric assessment","author":[{"family":"Camaioni","given":"Beatrice"},{"family":"Esposti","given":"Roberto"},{"family":"Pagliacci","given":"Francesco"},{"family":"Sotte","given":"Franco"}],"issued":{"date-parts":[["2014"]]}}}],"schema":"https://github.com/citation-style-language/schema/raw/master/csl-citation.json"} </w:instrText>
      </w:r>
      <w:r w:rsidR="004C088E">
        <w:fldChar w:fldCharType="separate"/>
      </w:r>
      <w:r w:rsidR="00357568" w:rsidRPr="00357568">
        <w:t>(</w:t>
      </w:r>
      <w:proofErr w:type="spellStart"/>
      <w:r w:rsidR="00357568" w:rsidRPr="00357568">
        <w:t>Camaioni</w:t>
      </w:r>
      <w:proofErr w:type="spellEnd"/>
      <w:r w:rsidR="00357568" w:rsidRPr="00357568">
        <w:t xml:space="preserve"> et al., 2014)</w:t>
      </w:r>
      <w:r w:rsidR="004C088E">
        <w:fldChar w:fldCharType="end"/>
      </w:r>
      <w:r>
        <w:t xml:space="preserve">. We thus expect that regions receiving higher amount of EAFRD payments are </w:t>
      </w:r>
      <w:proofErr w:type="gramStart"/>
      <w:r>
        <w:t>in close proximity</w:t>
      </w:r>
      <w:proofErr w:type="gramEnd"/>
      <w:r>
        <w:t xml:space="preserve"> of each other while the same is true for regions with low expenditure.</w:t>
      </w:r>
    </w:p>
    <w:p w14:paraId="60E54C20" w14:textId="77777777" w:rsidR="00E512CF" w:rsidRPr="00B65973" w:rsidRDefault="00E512CF" w:rsidP="00921FDF">
      <w:pPr>
        <w:pStyle w:val="Pealkiri1"/>
        <w:rPr>
          <w:lang w:val="en-US"/>
        </w:rPr>
      </w:pPr>
      <w:r w:rsidRPr="00B65973">
        <w:rPr>
          <w:lang w:val="en-US"/>
        </w:rPr>
        <w:t>Data and methods</w:t>
      </w:r>
    </w:p>
    <w:p w14:paraId="57A65492" w14:textId="1646D96A" w:rsidR="00C63D2C" w:rsidRDefault="00E512CF" w:rsidP="00C63D2C">
      <w:pPr>
        <w:rPr>
          <w:iCs/>
        </w:rPr>
      </w:pPr>
      <w:r w:rsidRPr="00B65973">
        <w:rPr>
          <w:iCs/>
        </w:rPr>
        <w:t xml:space="preserve">The data on </w:t>
      </w:r>
      <w:r w:rsidR="008415CC">
        <w:rPr>
          <w:iCs/>
        </w:rPr>
        <w:t xml:space="preserve">the </w:t>
      </w:r>
      <w:r w:rsidRPr="00B65973">
        <w:rPr>
          <w:iCs/>
        </w:rPr>
        <w:t>CAP rural development subsidies was obtained from the data on European structural and investment funds publi</w:t>
      </w:r>
      <w:r w:rsidR="00CA5DB4">
        <w:rPr>
          <w:iCs/>
        </w:rPr>
        <w:t>s</w:t>
      </w:r>
      <w:r w:rsidR="008415CC">
        <w:rPr>
          <w:iCs/>
        </w:rPr>
        <w:t>hed</w:t>
      </w:r>
      <w:r w:rsidRPr="00B65973">
        <w:rPr>
          <w:iCs/>
        </w:rPr>
        <w:t xml:space="preserve"> by the European Commission. It contains the amount of payments to each NUTS2 region between </w:t>
      </w:r>
      <w:r w:rsidR="009162E7">
        <w:rPr>
          <w:iCs/>
        </w:rPr>
        <w:t xml:space="preserve">1993-2015 from EAGGF and EAFRD but also payments from some </w:t>
      </w:r>
      <w:r w:rsidR="00C9375E" w:rsidRPr="00B65973">
        <w:rPr>
          <w:iCs/>
        </w:rPr>
        <w:t xml:space="preserve">other EU </w:t>
      </w:r>
      <w:r w:rsidR="009162E7">
        <w:rPr>
          <w:iCs/>
        </w:rPr>
        <w:t xml:space="preserve">structural and investment </w:t>
      </w:r>
      <w:r w:rsidR="00C9375E" w:rsidRPr="00B65973">
        <w:rPr>
          <w:iCs/>
        </w:rPr>
        <w:t>funds (</w:t>
      </w:r>
      <w:r w:rsidR="00B8316C">
        <w:rPr>
          <w:iCs/>
        </w:rPr>
        <w:t>table 2</w:t>
      </w:r>
      <w:r w:rsidR="00C9375E" w:rsidRPr="00B65973">
        <w:rPr>
          <w:iCs/>
        </w:rPr>
        <w:t xml:space="preserve">). </w:t>
      </w:r>
      <w:r w:rsidR="00255183">
        <w:rPr>
          <w:iCs/>
        </w:rPr>
        <w:t xml:space="preserve">Originally, the yearly allocation of the </w:t>
      </w:r>
      <w:r w:rsidR="005779E0">
        <w:rPr>
          <w:iCs/>
        </w:rPr>
        <w:t>expenditure</w:t>
      </w:r>
      <w:r w:rsidR="00255183">
        <w:rPr>
          <w:iCs/>
        </w:rPr>
        <w:t xml:space="preserve"> followed the cycle of payments to </w:t>
      </w:r>
      <w:r w:rsidR="005A1BAE">
        <w:rPr>
          <w:iCs/>
        </w:rPr>
        <w:t>Member State</w:t>
      </w:r>
      <w:r w:rsidR="00255183">
        <w:rPr>
          <w:iCs/>
        </w:rPr>
        <w:t xml:space="preserve">s. As it is more relevant to examine the actual dates when the </w:t>
      </w:r>
      <w:r w:rsidR="005779E0">
        <w:rPr>
          <w:iCs/>
        </w:rPr>
        <w:t xml:space="preserve">real </w:t>
      </w:r>
      <w:r w:rsidR="00255183">
        <w:rPr>
          <w:iCs/>
        </w:rPr>
        <w:t>expenditures</w:t>
      </w:r>
      <w:r w:rsidR="005779E0">
        <w:rPr>
          <w:iCs/>
        </w:rPr>
        <w:t xml:space="preserve"> took place</w:t>
      </w:r>
      <w:r w:rsidR="00255183">
        <w:rPr>
          <w:iCs/>
        </w:rPr>
        <w:t xml:space="preserve">, </w:t>
      </w:r>
      <w:r w:rsidR="005779E0">
        <w:rPr>
          <w:iCs/>
        </w:rPr>
        <w:t xml:space="preserve">the data also includes modelled yearly </w:t>
      </w:r>
      <w:r w:rsidR="00B8316C">
        <w:rPr>
          <w:iCs/>
        </w:rPr>
        <w:t>payments</w:t>
      </w:r>
      <w:r w:rsidR="005779E0">
        <w:rPr>
          <w:iCs/>
        </w:rPr>
        <w:t xml:space="preserve"> </w:t>
      </w:r>
      <w:r w:rsidR="005779E0">
        <w:rPr>
          <w:iCs/>
        </w:rPr>
        <w:fldChar w:fldCharType="begin"/>
      </w:r>
      <w:r w:rsidR="00357568">
        <w:rPr>
          <w:iCs/>
        </w:rPr>
        <w:instrText xml:space="preserve"> ADDIN ZOTERO_ITEM CSL_CITATION {"citationID":"dj46AnVu","properties":{"formattedCitation":"(as described by Lo Piano et al., 2017)","plainCitation":"(as described by Lo Piano et al., 2017)","noteIndex":0},"citationItems":[{"id":491,"uris":["http://zotero.org/users/5499844/items/DMFY85YJ"],"uri":["http://zotero.org/users/5499844/items/DMFY85YJ"],"itemData":{"id":491,"type":"report","title":"Regionalisation of ESIF payments 1989-2015","URL":"https://doi.org/10.2776/445389","note":"OCLC: 1057285613","number":"CCI 2016CE16BAT081","language":"en","author":[{"family":"Lo Piano","given":"Samuele"},{"family":"Chifari","given":"Rosaria"},{"family":"Saltelli","given":"Andrea"}],"issued":{"date-parts":[["2017"]]},"accessed":{"date-parts":[["2019",5,8]]}},"prefix":"as described by"}],"schema":"https://github.com/citation-style-language/schema/raw/master/csl-citation.json"} </w:instrText>
      </w:r>
      <w:r w:rsidR="005779E0">
        <w:rPr>
          <w:iCs/>
        </w:rPr>
        <w:fldChar w:fldCharType="separate"/>
      </w:r>
      <w:r w:rsidR="00357568" w:rsidRPr="00357568">
        <w:t>(as described by Lo Piano et al., 2017)</w:t>
      </w:r>
      <w:r w:rsidR="005779E0">
        <w:rPr>
          <w:iCs/>
        </w:rPr>
        <w:fldChar w:fldCharType="end"/>
      </w:r>
      <w:r w:rsidR="005779E0">
        <w:rPr>
          <w:iCs/>
        </w:rPr>
        <w:t xml:space="preserve">. </w:t>
      </w:r>
      <w:r w:rsidR="00353E41">
        <w:rPr>
          <w:iCs/>
        </w:rPr>
        <w:t xml:space="preserve"> Modelling included modifying the years of payments so that their distribution</w:t>
      </w:r>
      <w:r w:rsidR="004F399F">
        <w:rPr>
          <w:iCs/>
        </w:rPr>
        <w:t xml:space="preserve"> regarding the programming period</w:t>
      </w:r>
      <w:r w:rsidR="00353E41">
        <w:rPr>
          <w:iCs/>
        </w:rPr>
        <w:t xml:space="preserve"> would better follow </w:t>
      </w:r>
      <w:r w:rsidR="004F399F">
        <w:rPr>
          <w:iCs/>
        </w:rPr>
        <w:t>the actual pattern of expenditures instead of the cycle of reimbursements from the European Commission</w:t>
      </w:r>
      <w:r w:rsidR="00353E41">
        <w:rPr>
          <w:iCs/>
        </w:rPr>
        <w:t xml:space="preserve">. </w:t>
      </w:r>
      <w:r w:rsidR="005779E0">
        <w:rPr>
          <w:iCs/>
        </w:rPr>
        <w:t xml:space="preserve">We use these modelled payments in our analysis </w:t>
      </w:r>
      <w:r w:rsidR="00CA5DB4">
        <w:rPr>
          <w:iCs/>
        </w:rPr>
        <w:t>to</w:t>
      </w:r>
      <w:r w:rsidR="005779E0">
        <w:rPr>
          <w:iCs/>
        </w:rPr>
        <w:t xml:space="preserve"> more accurately</w:t>
      </w:r>
      <w:r w:rsidR="00B8316C">
        <w:rPr>
          <w:iCs/>
        </w:rPr>
        <w:t xml:space="preserve"> compare yearly changes</w:t>
      </w:r>
      <w:r w:rsidR="005779E0">
        <w:rPr>
          <w:iCs/>
        </w:rPr>
        <w:t>.</w:t>
      </w:r>
      <w:r w:rsidR="00B8316C">
        <w:rPr>
          <w:iCs/>
        </w:rPr>
        <w:t xml:space="preserve"> </w:t>
      </w:r>
      <w:r w:rsidR="003379B5">
        <w:rPr>
          <w:iCs/>
        </w:rPr>
        <w:t>D</w:t>
      </w:r>
      <w:r w:rsidRPr="00B65973">
        <w:rPr>
          <w:iCs/>
        </w:rPr>
        <w:t>ata</w:t>
      </w:r>
      <w:r w:rsidR="003379B5">
        <w:rPr>
          <w:iCs/>
        </w:rPr>
        <w:t xml:space="preserve"> on the variables characterizing NUTS2 regions </w:t>
      </w:r>
      <w:r w:rsidR="00B8316C">
        <w:rPr>
          <w:iCs/>
        </w:rPr>
        <w:t xml:space="preserve">(table 2) </w:t>
      </w:r>
      <w:r w:rsidR="003379B5">
        <w:rPr>
          <w:iCs/>
        </w:rPr>
        <w:t>was a</w:t>
      </w:r>
      <w:r w:rsidR="003379B5" w:rsidRPr="00B65973">
        <w:rPr>
          <w:iCs/>
        </w:rPr>
        <w:t>cquired</w:t>
      </w:r>
      <w:r w:rsidRPr="00B65973">
        <w:rPr>
          <w:iCs/>
        </w:rPr>
        <w:t xml:space="preserve"> from Eurostat. </w:t>
      </w:r>
      <w:r w:rsidR="00B77DA7">
        <w:rPr>
          <w:iCs/>
        </w:rPr>
        <w:t>Due to the classification of r</w:t>
      </w:r>
      <w:r w:rsidR="00C65DC7">
        <w:rPr>
          <w:iCs/>
        </w:rPr>
        <w:t>egions used in payment data, the regions accord to NUTS2 2013 classification.</w:t>
      </w:r>
      <w:r w:rsidR="00E6389B">
        <w:rPr>
          <w:iCs/>
        </w:rPr>
        <w:t xml:space="preserve"> </w:t>
      </w:r>
      <w:r w:rsidR="00E13D46">
        <w:rPr>
          <w:iCs/>
        </w:rPr>
        <w:t>Most p</w:t>
      </w:r>
      <w:r w:rsidR="00E6389B">
        <w:rPr>
          <w:iCs/>
        </w:rPr>
        <w:t xml:space="preserve">revious research on EU structural and investment funds has also used the NUTS2 regional level </w:t>
      </w:r>
      <w:r w:rsidR="00E6389B">
        <w:rPr>
          <w:iCs/>
        </w:rPr>
        <w:fldChar w:fldCharType="begin"/>
      </w:r>
      <w:r w:rsidR="00357568">
        <w:rPr>
          <w:iCs/>
        </w:rPr>
        <w:instrText xml:space="preserve"> ADDIN ZOTERO_ITEM CSL_CITATION {"citationID":"LcHLT8Fx","properties":{"formattedCitation":"(Crescenzi et al., 2011; Dall\\uc0\\u8217{}erba, 2005; Dall\\uc0\\u8217{}erba and Le Gallo, 2008; Esposti, 2007; Mohl and Hagen, 2010)","plainCitation":"(Crescenzi et al., 2011; Dall’erba, 2005; Dall’erba and Le Gallo, 2008; Esposti, 2007; Mohl and Hagen, 2010)","noteIndex":0},"citationItems":[{"id":918,"uris":["http://zotero.org/users/5499844/items/3N2IM793"],"uri":["http://zotero.org/users/5499844/items/3N2IM793"],"itemData":{"id":918,"type":"report","title":"In tandem for cohesion? Synergies and conflicts between regional and agricultural policies of the European Union","collection-title":"LSE ‘Europe in Question’ Discussion Paper Series","page":"1-50","genre":"Discussion Paper","source":"Zotero","abstract":"The paper sets out to analyze the allocations of financial resources accruing to the European regions from the Regional, Rural Development and Agricultural policies of the European Union in order to assess their territorial coordination and synergies and their degree of compatibility with the \"general\" objective of territorial cohesion. Regression analysis is used to evaluate the relationship between allocated funds (dependent variable) and factors of territorial disadvantage (explanatory variables) covering the 20-year period 1994-2013 and approximately 90% of total Community expenditure. The analysis reveals that both coordination and compatibility with territorial cohesion of the various areas of Community policy have not always improved in response to major policy reforms. The territorial ‘vocation’ of overall Community spending is weakly linked to its distribution among different policies, but it crucially depends upon how each policy area defines appropriate allocation mechanisms and interventions, based upon the characteristics of each region and its ‘local’ needs.","number":"LEQS Paper No. 40/2011","language":"en","author":[{"family":"Crescenzi","given":"Riccardo"},{"family":"Filippis","given":"Fabrizio De"},{"family":"Pierangeli","given":"Fabio"}],"issued":{"date-parts":[["2011",7]]}},"label":"page"},{"id":50,"uris":["http://zotero.org/users/5499844/items/TP28I6MB"],"uri":["http://zotero.org/users/5499844/items/TP28I6MB"],"itemData":{"id":50,"type":"article-journal","title":"Distribution of regional income and regional funds in Europe 1989–1999: An exploratory spatial data analysis","container-title":"The Annals of Regional Science","page":"121-148","volume":"39","issue":"1","source":"Crossref","abstract":"The eﬀorts of the European Commission to reduce regional inequalities over its territory continue to attract the attention of researchers. The purpose of this paper is to perform an exploratory investigation of the relationship between the spatial distribution of regional income and of regional development funds among 145 European regions over 1989–1999. Using a set of tools of spatial statistics, we ﬁrst detect the presence of global and local spatial autocorrelation in the distribution of regional per capita incomes, traducing that rich (poor) regions tend to be clustered close to other rich (poor) regions, and in the distribution of regional growth rate and regional funds. Second, the results of LISA statistics conclude to the presence of spatial heterogeneity in the form of two spatial clusters of rich and poor regions over the decade, highlighting the persistence of a signiﬁcant core-periphery pattern among European regions. Finally, an exploratory analysis reveals a negative correlation between growth and initial income, that tends to indicate b-convergence. A positive relationship between regional growth and structural funds is identiﬁed among the signiﬁcant results as well. Only Andalucia, Galicia and Sterea Ellada show atypical linkages. These results suggest that further research should include spatial eﬀects and the distribution of regional funds in the spatial econometric estimation of regional convergence in Europe.","DOI":"10.1007/s00168-004-0199-4","ISSN":"0570-1864, 1432-0592","title-short":"Distribution of regional income and regional funds in Europe 1989–1999","language":"en","author":[{"family":"Dall’erba","given":"Sandy"}],"issued":{"date-parts":[["2005",3]]}},"label":"page"},{"id":85,"uris":["http://zotero.org/users/5499844/items/DMALF5BE"],"uri":["http://zotero.org/users/5499844/items/DMALF5BE"],"itemData":{"id":85,"type":"article-journal","title":"Regional convergence and the impact of European structural funds over 1989-1999: A spatial econometric analysis","container-title":"Papers in Regional Science","page":"219-244","volume":"87","issue":"2","source":"Crossref","abstract":"This paper evaluates the impact of structural funds on the convergence process between 145 European regions over 1989–1999. The presence of spillover effects is investigated with spatial econometric methods, which assess the impact of the funds on the targeted region and its neighbours. We also control the potential endogeneity problem in the estimation of their impact. Our estimation results indicate that signiﬁcant convergence takes place, but that the funds have no impact on it. Simulation experiments show how investments targeted to the peripheral regions never spill over to their neighbours, which calls for a reconsideration of current regional policy tools.","DOI":"10.1111/j.1435-5957.2008.00184.x","ISSN":"10568190, 14355957","title-short":"Regional convergence and the impact of European structural funds over 1989-1999","language":"en","author":[{"family":"Dall'erba","given":"Sandy"},{"family":"Le Gallo","given":"Julie"}],"issued":{"date-parts":[["2008",6]]}},"label":"page"},{"id":42,"uris":["http://zotero.org/users/5499844/items/AZAEVNTN"],"uri":["http://zotero.org/users/5499844/items/AZAEVNTN"],"itemData":{"id":42,"type":"article-journal","title":"Regional Growth and Policies in the European Union: Does the Common Agricultural Policy Have a Counter-Treatment Effect?","container-title":"American Journal of Agricultural Economics","page":"116-134","volume":"89","issue":"1","source":"Crossref","abstract":"This article investigates the impact of both the Common Agricultural Policy and structural policies on European regions by estimating a conditional growth convergence model. The Common Agricultural Policy inﬂuences the convergence process by affecting regional aggregate productivity, eventually conﬂicting with the structural policies designed to promote growth in lagging regions. The conditional convergence model is speciﬁed in a dynamic panel data form and applied to 206 regions observed from 1989 to 2000. A GMM estimation is applied in order to obtain consistent estimates of both the convergence parameter ␤ and the impact of the conditioning variables, policy measures in particular.","DOI":"10.1111/j.1467-8276.2007.00967.x","ISSN":"0002-9092, 1467-8276","title-short":"Regional Growth and Policies in the European Union","language":"en","author":[{"family":"Esposti","given":"R."}],"issued":{"date-parts":[["2007",2,1]]}},"label":"page"},{"id":154,"uris":["http://zotero.org/users/5499844/items/IHUCX3JZ"],"uri":["http://zotero.org/users/5499844/items/IHUCX3JZ"],"itemData":{"id":154,"type":"article-journal","title":"Do EU structural funds promote regional growth? New evidence from various panel data approaches","container-title":"Regional Science and Urban Economics","page":"353-365","volume":"40","issue":"5","source":"Crossref","abstract":"This paper analyses the economic growth effects of EU structural funds extending the current literature by at least three aspects: Firstly, we make use of a new structural funds dataset of 126 NUTS-1/NUTS-2 regions as well as more precise measures of structural funds by distinguishing between Objective 1, 2, and 3 payments. In doing so, we include the Financial Perspective 2000–2006, which has not been analysed before. Secondly, we address the problem of endogeneity in a panel context by basing the identiﬁcation on internal instruments via a system GMM estimator. Finally, we control for spatial spillover effects by applying a spatial panel econometric estimator.","DOI":"10.1016/j.regsciurbeco.2010.03.005","ISSN":"01660462","title-short":"Do EU structural funds promote regional growth?","language":"en","author":[{"family":"Mohl","given":"P."},{"family":"Hagen","given":"T."}],"issued":{"date-parts":[["2010",9]]}},"label":"page"}],"schema":"https://github.com/citation-style-language/schema/raw/master/csl-citation.json"} </w:instrText>
      </w:r>
      <w:r w:rsidR="00E6389B">
        <w:rPr>
          <w:iCs/>
        </w:rPr>
        <w:fldChar w:fldCharType="separate"/>
      </w:r>
      <w:r w:rsidR="00357568" w:rsidRPr="00357568">
        <w:t xml:space="preserve">(Crescenzi et al., 2011; </w:t>
      </w:r>
      <w:proofErr w:type="spellStart"/>
      <w:r w:rsidR="00357568" w:rsidRPr="00357568">
        <w:t>Dall’erba</w:t>
      </w:r>
      <w:proofErr w:type="spellEnd"/>
      <w:r w:rsidR="00357568" w:rsidRPr="00357568">
        <w:t xml:space="preserve">, 2005; </w:t>
      </w:r>
      <w:proofErr w:type="spellStart"/>
      <w:r w:rsidR="00357568" w:rsidRPr="00357568">
        <w:t>Dall’erba</w:t>
      </w:r>
      <w:proofErr w:type="spellEnd"/>
      <w:r w:rsidR="00357568" w:rsidRPr="00357568">
        <w:t xml:space="preserve"> and Le Gallo, 2008; </w:t>
      </w:r>
      <w:proofErr w:type="spellStart"/>
      <w:r w:rsidR="00357568" w:rsidRPr="00357568">
        <w:t>Esposti</w:t>
      </w:r>
      <w:proofErr w:type="spellEnd"/>
      <w:r w:rsidR="00357568" w:rsidRPr="00357568">
        <w:t xml:space="preserve">, 2007; </w:t>
      </w:r>
      <w:proofErr w:type="spellStart"/>
      <w:r w:rsidR="00357568" w:rsidRPr="00357568">
        <w:t>Mohl</w:t>
      </w:r>
      <w:proofErr w:type="spellEnd"/>
      <w:r w:rsidR="00357568" w:rsidRPr="00357568">
        <w:t xml:space="preserve"> and Hagen, 2010)</w:t>
      </w:r>
      <w:r w:rsidR="00E6389B">
        <w:rPr>
          <w:iCs/>
        </w:rPr>
        <w:fldChar w:fldCharType="end"/>
      </w:r>
      <w:r w:rsidR="00E13D46">
        <w:rPr>
          <w:iCs/>
        </w:rPr>
        <w:t xml:space="preserve">, although there are more recent examples of the less aggregated NUTS3 level having been used </w:t>
      </w:r>
      <w:r w:rsidR="00E13D46">
        <w:rPr>
          <w:iCs/>
        </w:rPr>
        <w:fldChar w:fldCharType="begin"/>
      </w:r>
      <w:r w:rsidR="00357568">
        <w:rPr>
          <w:iCs/>
        </w:rPr>
        <w:instrText xml:space="preserve"> ADDIN ZOTERO_ITEM CSL_CITATION {"citationID":"8M1Jy9ru","properties":{"formattedCitation":"(Becker et al., 2012; Bonfiglio et al., 2016; Camaioni et al., 2014)","plainCitation":"(Becker et al., 2012; Bonfiglio et al., 2016; Camaioni et al., 2014)","noteIndex":0},"citationItems":[{"id":66,"uris":["http://zotero.org/users/5499844/items/RHWSXP94"],"uri":["http://zotero.org/users/5499844/items/RHWSXP94"],"itemData":{"id":66,"type":"article-journal","title":"Too much of a good thing? On the growth effects of the EU's regional policy","container-title":"European Economic Review","page":"648-668","volume":"56","issue":"4","source":"Crossref","abstract":"The European Union (EU) provides grants to disadvantaged regions of member states from two pools, the Structural Funds and the Cohesion Fund. The main goal of the associated transfers is to facilitate convergence of poor regions (in terms of per-capita income) to the EU average. We use data at the NUTS3 level from the last two EU budgetary periods (1994–1999 and 2000–2006) and generalized propensity score estimation to analyze to which extent the goal of fostering growth in the target regions was achieved with the funds provided and whether or not more transfers generated stronger growth effects. We ﬁnd that, overall, EU transfers enable faster growth in the recipient regions as intended, but we estimate that in 36% of the recipient regions the transfer intensity exceeds the aggregate efﬁciency maximizing level and in 18% of the regions a reduction of transfers would not even reduce their growth. We conclude that some reallocation of the funds across target regions would lead to higher aggregate growth in the EU and could generate even faster convergence than the current scheme does.","DOI":"10.1016/j.euroecorev.2012.03.001","ISSN":"00142921","title-short":"Too much of a good thing?","language":"en","author":[{"family":"Becker","given":"Sascha O."},{"family":"Egger","given":"Peter H."},{"family":"Ehrlich","given":"Maximilian","non-dropping-particle":"von"}],"issued":{"date-parts":[["2012",5]]}},"label":"page"},{"id":63,"uris":["http://zotero.org/users/5499844/items/3P5NGZ2P"],"uri":["http://zotero.org/users/5499844/items/3P5NGZ2P"],"itemData":{"id":63,"type":"article-journal","title":"Where does EU money eventually go? The distribution of CAP expenditure across the European space","container-title":"Empirica","page":"693-727","volume":"43","issue":"4","source":"Crossref","abstract":"This paper aims to assess the distribution of overall Gross Domestic Product and employment effects produced by Common Agricultural Policy (CAP) payments across the European Union space. It is empirically investigated how policy funds redistribute their effects among regions with different levels of rurality and economic development according to their degree and form of integration. This analysis is performed by constructing and applying a multiregional Input–Output model at a very high level of geographical disaggregation (NUTS 3 level). Alternative allocation of funds across regions (policy scenarios) are considered in order to assess redistributive impacts of possible CAP reforms. Results show that the impacts generated by the CAP across space do not only depend on the initial allocation of funds but also on intersectoral and interregional linkages. This evidence implies that even a radical reallocation of funds, though it may contribute to reducing regional imbalances, is less redistributive than expected.","DOI":"10.1007/s10663-016-9354-2","ISSN":"0340-8744, 1573-6911","title-short":"Where does EU money eventually go?","language":"en","author":[{"family":"Bonfiglio","given":"A."},{"family":"Camaioni","given":"B."},{"family":"Coderoni","given":"S."},{"family":"Esposti","given":"R."},{"family":"Pagliacci","given":"F."},{"family":"Sotte","given":"F."}],"issued":{"date-parts":[["2016",11]]}},"label":"page"},{"id":497,"uris":["http://zotero.org/users/5499844/items/YCJK7IVP"],"uri":["http://zotero.org/users/5499844/items/YCJK7IVP"],"itemData":{"id":497,"type":"report","title":"How does space affect the allocation of the EU rural development policy's expenditure? An econometric assessment","author":[{"family":"Camaioni","given":"Beatrice"},{"family":"Esposti","given":"Roberto"},{"family":"Pagliacci","given":"Francesco"},{"family":"Sotte","given":"Franco"}],"issued":{"date-parts":[["2014"]]}},"label":"page"}],"schema":"https://github.com/citation-style-language/schema/raw/master/csl-citation.json"} </w:instrText>
      </w:r>
      <w:r w:rsidR="00E13D46">
        <w:rPr>
          <w:iCs/>
        </w:rPr>
        <w:fldChar w:fldCharType="separate"/>
      </w:r>
      <w:r w:rsidR="00357568" w:rsidRPr="00357568">
        <w:t xml:space="preserve">(Becker et al., 2012; </w:t>
      </w:r>
      <w:proofErr w:type="spellStart"/>
      <w:r w:rsidR="00357568" w:rsidRPr="00357568">
        <w:t>Bonfiglio</w:t>
      </w:r>
      <w:proofErr w:type="spellEnd"/>
      <w:r w:rsidR="00357568" w:rsidRPr="00357568">
        <w:t xml:space="preserve"> et al., 2016; </w:t>
      </w:r>
      <w:proofErr w:type="spellStart"/>
      <w:r w:rsidR="00357568" w:rsidRPr="00357568">
        <w:t>Camaioni</w:t>
      </w:r>
      <w:proofErr w:type="spellEnd"/>
      <w:r w:rsidR="00357568" w:rsidRPr="00357568">
        <w:t xml:space="preserve"> et al., 2014)</w:t>
      </w:r>
      <w:r w:rsidR="00E13D46">
        <w:rPr>
          <w:iCs/>
        </w:rPr>
        <w:fldChar w:fldCharType="end"/>
      </w:r>
      <w:r w:rsidR="00E13D46">
        <w:rPr>
          <w:iCs/>
        </w:rPr>
        <w:t>.</w:t>
      </w:r>
    </w:p>
    <w:p w14:paraId="2280EE07" w14:textId="0844AEAA" w:rsidR="001E561E" w:rsidRDefault="001628F6" w:rsidP="00C63D2C">
      <w:pPr>
        <w:rPr>
          <w:iCs/>
        </w:rPr>
      </w:pPr>
      <w:r>
        <w:rPr>
          <w:iCs/>
        </w:rPr>
        <w:t>It is likely that the adjustment of the</w:t>
      </w:r>
      <w:r w:rsidR="00674E26">
        <w:rPr>
          <w:iCs/>
        </w:rPr>
        <w:t xml:space="preserve"> payment variable has a significant effect on the results. It has been argued that in regional comparisons CAP expenditure should not be used as absolute values due to the variation of </w:t>
      </w:r>
      <w:r>
        <w:rPr>
          <w:iCs/>
        </w:rPr>
        <w:t xml:space="preserve">characteristics of </w:t>
      </w:r>
      <w:r w:rsidR="00674E26">
        <w:rPr>
          <w:iCs/>
        </w:rPr>
        <w:t xml:space="preserve">NUTS regions </w:t>
      </w:r>
      <w:r>
        <w:rPr>
          <w:iCs/>
        </w:rPr>
        <w:t xml:space="preserve">(e.g. agricultural area, population, GDP) </w:t>
      </w:r>
      <w:r w:rsidR="00674E26">
        <w:rPr>
          <w:iCs/>
        </w:rPr>
        <w:t xml:space="preserve">even at the same level of aggregation </w:t>
      </w:r>
      <w:r w:rsidR="00674E26">
        <w:rPr>
          <w:iCs/>
        </w:rPr>
        <w:fldChar w:fldCharType="begin"/>
      </w:r>
      <w:r w:rsidR="00357568">
        <w:rPr>
          <w:iCs/>
        </w:rPr>
        <w:instrText xml:space="preserve"> ADDIN ZOTERO_ITEM CSL_CITATION {"citationID":"LjyfGS9I","properties":{"formattedCitation":"(Bonfiglio et al., 2015, p. 4; Esposti, 2008, p. 25)","plainCitation":"(Bonfiglio et al., 2015, p. 4; Esposti, 2008, p. 25)","noteIndex":0},"citationItems":[{"id":127,"uris":["http://zotero.org/users/5499844/items/LY2PC72U"],"uri":["http://zotero.org/users/5499844/items/LY2PC72U"],"itemData":{"id":127,"type":"paper-conference","title":"Distributional and Re-distributional Patterns of CAP Expenditure through the EU Space","publisher":"Italian Association of Agricultural and Applied Economics (AIEAA)","publisher-place":"Milan","page":"1-30","event":"29th ICAE - International Conference of Agricultural Economist \"Agriculture in an interconnected world\"","event-place":"Milan","abstract":"This paper is aimed at assessing distribution of Common Agricultural Policy (CAP) expenditure through the European Union (EU) space. Firstly, spatial distribution of past CAP expenditure is analysed, specifically 2007-2011 payments. Both overall expenditure and disentangled measures are investigated; major territorial patterns through the EU-27 are highlighted as well. Secondly, spatial distribution of future expenditure, according to latest 2014-2020 CAP reform, is analysed. In particular, we assess re-distributional effects connected with spatial spillovers that are due to regional economic integration. Assessment is made through the adoption of a multiregional I-O model. The analysis is carried out at a very high level of disaggregation, i.e. NUTS 3 level throughout the EU-27. Furthermore, a specific focus is devoted to rural-urban relationships.","author":[{"family":"Bonfiglio","given":"Andrea"},{"family":"Camaioni","given":"Beatrice"},{"family":"Esposti","given":"Roberto"},{"family":"Pagliacci","given":"Francesco"},{"family":"Sotte","given":"Franco"}],"issued":{"date-parts":[["2015",8]]}},"locator":"4"},{"id":920,"uris":["http://zotero.org/users/5499844/items/MYKIKAPT"],"uri":["http://zotero.org/users/5499844/items/MYKIKAPT"],"itemData":{"id":920,"type":"paper-conference","title":"Reforming the CAP: An agenda for regional growth?","publisher":"1","publisher-place":"Viterbo, Italy","page":"45","source":"Zotero","event":"109th EAAE Seminar \"The CAP after the Fischler reform: national implementations, impact assessment and the agenda for future reformers\"","event-place":"Viterbo, Italy","abstract":"This paper aims at analysing the recent CAP reform from the perspective of the current general and strategic objectives of the EU as defined by the Lisbon Strategy. A critical appraisal of the CAP impact in terms of regional growth is carried out. Firstly from a strictly conceptual and methodological point of view, then by analysing more in detail how CAP reform (of both Pillar I and II) might have actually affected the role of the CAP in promoting (or hindering) regional growth and, therefore, convergence. Empirical evidence provided by the different available methodologies has progressively emerged in the very last years. Though a conclusive answer on the impact of the reform can not be drawn, it still emerges that the role of CAP design and implementation in affecting regional growth and convergence is usually underestimated and often neglected in the discussions about the future of the CAP. At the same time, however, this role is not univocal and strongly case-specific, as it substantially differs across regions according to their socio-economic structure and how reforms are jointly implemented.","language":"en","author":[{"family":"Esposti","given":"Roberto"}],"issued":{"date-parts":[["2008",11]]}},"locator":"25"}],"schema":"https://github.com/citation-style-language/schema/raw/master/csl-citation.json"} </w:instrText>
      </w:r>
      <w:r w:rsidR="00674E26">
        <w:rPr>
          <w:iCs/>
        </w:rPr>
        <w:fldChar w:fldCharType="separate"/>
      </w:r>
      <w:r w:rsidR="00357568" w:rsidRPr="00357568">
        <w:t>(</w:t>
      </w:r>
      <w:proofErr w:type="spellStart"/>
      <w:r w:rsidR="00357568" w:rsidRPr="00357568">
        <w:t>Bonfiglio</w:t>
      </w:r>
      <w:proofErr w:type="spellEnd"/>
      <w:r w:rsidR="00357568" w:rsidRPr="00357568">
        <w:t xml:space="preserve"> et al., 2015, p. 4; </w:t>
      </w:r>
      <w:proofErr w:type="spellStart"/>
      <w:r w:rsidR="00357568" w:rsidRPr="00357568">
        <w:t>Esposti</w:t>
      </w:r>
      <w:proofErr w:type="spellEnd"/>
      <w:r w:rsidR="00357568" w:rsidRPr="00357568">
        <w:t>, 2008, p. 25)</w:t>
      </w:r>
      <w:r w:rsidR="00674E26">
        <w:rPr>
          <w:iCs/>
        </w:rPr>
        <w:fldChar w:fldCharType="end"/>
      </w:r>
      <w:r w:rsidR="00674E26">
        <w:rPr>
          <w:iCs/>
        </w:rPr>
        <w:t xml:space="preserve">. </w:t>
      </w:r>
      <w:r w:rsidR="00CD3F93">
        <w:rPr>
          <w:iCs/>
        </w:rPr>
        <w:t xml:space="preserve">While NUTS regions are defined in terms of population size, there is </w:t>
      </w:r>
      <w:r w:rsidR="00F57CCF">
        <w:rPr>
          <w:iCs/>
        </w:rPr>
        <w:t xml:space="preserve">still </w:t>
      </w:r>
      <w:r w:rsidR="00CD3F93">
        <w:rPr>
          <w:iCs/>
        </w:rPr>
        <w:t xml:space="preserve">substantial heterogeneity in this respect. </w:t>
      </w:r>
      <w:r w:rsidR="00F57CCF">
        <w:rPr>
          <w:iCs/>
        </w:rPr>
        <w:t xml:space="preserve">Possible adjustments include calculation of CAP expenditure relative to utilized agricultural area (UAA), annual working unit (AWU) in agriculture, </w:t>
      </w:r>
      <w:r w:rsidR="00A25351">
        <w:rPr>
          <w:iCs/>
        </w:rPr>
        <w:t xml:space="preserve">gross value added (GVA) in agriculture, </w:t>
      </w:r>
      <w:r w:rsidR="00F57CCF">
        <w:rPr>
          <w:iCs/>
        </w:rPr>
        <w:t>GDP or population (</w:t>
      </w:r>
      <w:r w:rsidR="00F57CCF" w:rsidRPr="00CA5DB4">
        <w:rPr>
          <w:iCs/>
        </w:rPr>
        <w:t>per capita</w:t>
      </w:r>
      <w:r w:rsidR="00F57CCF">
        <w:rPr>
          <w:iCs/>
        </w:rPr>
        <w:t xml:space="preserve">). </w:t>
      </w:r>
      <w:r w:rsidR="00A25351">
        <w:rPr>
          <w:iCs/>
        </w:rPr>
        <w:t xml:space="preserve">The latter two approaches are more relevant in terms of overall development and have been used in the context of different structural funds </w:t>
      </w:r>
      <w:r w:rsidR="00A25351">
        <w:rPr>
          <w:iCs/>
        </w:rPr>
        <w:fldChar w:fldCharType="begin"/>
      </w:r>
      <w:r w:rsidR="00357568">
        <w:rPr>
          <w:iCs/>
        </w:rPr>
        <w:instrText xml:space="preserve"> ADDIN ZOTERO_ITEM CSL_CITATION {"citationID":"CySm6qqp","properties":{"formattedCitation":"(Crescenzi et al., 2011; Dall\\uc0\\u8217{}erba and Le Gallo, 2008; Mohl and Hagen, 2010)","plainCitation":"(Crescenzi et al., 2011; Dall’erba and Le Gallo, 2008; Mohl and Hagen, 2010)","noteIndex":0},"citationItems":[{"id":918,"uris":["http://zotero.org/users/5499844/items/3N2IM793"],"uri":["http://zotero.org/users/5499844/items/3N2IM793"],"itemData":{"id":918,"type":"report","title":"In tandem for cohesion? Synergies and conflicts between regional and agricultural policies of the European Union","collection-title":"LSE ‘Europe in Question’ Discussion Paper Series","page":"1-50","genre":"Discussion Paper","source":"Zotero","abstract":"The paper sets out to analyze the allocations of financial resources accruing to the European regions from the Regional, Rural Development and Agricultural policies of the European Union in order to assess their territorial coordination and synergies and their degree of compatibility with the \"general\" objective of territorial cohesion. Regression analysis is used to evaluate the relationship between allocated funds (dependent variable) and factors of territorial disadvantage (explanatory variables) covering the 20-year period 1994-2013 and approximately 90% of total Community expenditure. The analysis reveals that both coordination and compatibility with territorial cohesion of the various areas of Community policy have not always improved in response to major policy reforms. The territorial ‘vocation’ of overall Community spending is weakly linked to its distribution among different policies, but it crucially depends upon how each policy area defines appropriate allocation mechanisms and interventions, based upon the characteristics of each region and its ‘local’ needs.","number":"LEQS Paper No. 40/2011","language":"en","author":[{"family":"Crescenzi","given":"Riccardo"},{"family":"Filippis","given":"Fabrizio De"},{"family":"Pierangeli","given":"Fabio"}],"issued":{"date-parts":[["2011",7]]}}},{"id":85,"uris":["http://zotero.org/users/5499844/items/DMALF5BE"],"uri":["http://zotero.org/users/5499844/items/DMALF5BE"],"itemData":{"id":85,"type":"article-journal","title":"Regional convergence and the impact of European structural funds over 1989-1999: A spatial econometric analysis","container-title":"Papers in Regional Science","page":"219-244","volume":"87","issue":"2","source":"Crossref","abstract":"This paper evaluates the impact of structural funds on the convergence process between 145 European regions over 1989–1999. The presence of spillover effects is investigated with spatial econometric methods, which assess the impact of the funds on the targeted region and its neighbours. We also control the potential endogeneity problem in the estimation of their impact. Our estimation results indicate that signiﬁcant convergence takes place, but that the funds have no impact on it. Simulation experiments show how investments targeted to the peripheral regions never spill over to their neighbours, which calls for a reconsideration of current regional policy tools.","DOI":"10.1111/j.1435-5957.2008.00184.x","ISSN":"10568190, 14355957","title-short":"Regional convergence and the impact of European structural funds over 1989-1999","language":"en","author":[{"family":"Dall'erba","given":"Sandy"},{"family":"Le Gallo","given":"Julie"}],"issued":{"date-parts":[["2008",6]]}}},{"id":154,"uris":["http://zotero.org/users/5499844/items/IHUCX3JZ"],"uri":["http://zotero.org/users/5499844/items/IHUCX3JZ"],"itemData":{"id":154,"type":"article-journal","title":"Do EU structural funds promote regional growth? New evidence from various panel data approaches","container-title":"Regional Science and Urban Economics","page":"353-365","volume":"40","issue":"5","source":"Crossref","abstract":"This paper analyses the economic growth effects of EU structural funds extending the current literature by at least three aspects: Firstly, we make use of a new structural funds dataset of 126 NUTS-1/NUTS-2 regions as well as more precise measures of structural funds by distinguishing between Objective 1, 2, and 3 payments. In doing so, we include the Financial Perspective 2000–2006, which has not been analysed before. Secondly, we address the problem of endogeneity in a panel context by basing the identiﬁcation on internal instruments via a system GMM estimator. Finally, we control for spatial spillover effects by applying a spatial panel econometric estimator.","DOI":"10.1016/j.regsciurbeco.2010.03.005","ISSN":"01660462","title-short":"Do EU structural funds promote regional growth?","language":"en","author":[{"family":"Mohl","given":"P."},{"family":"Hagen","given":"T."}],"issued":{"date-parts":[["2010",9]]}}}],"schema":"https://github.com/citation-style-language/schema/raw/master/csl-citation.json"} </w:instrText>
      </w:r>
      <w:r w:rsidR="00A25351">
        <w:rPr>
          <w:iCs/>
        </w:rPr>
        <w:fldChar w:fldCharType="separate"/>
      </w:r>
      <w:r w:rsidR="00357568" w:rsidRPr="00357568">
        <w:t xml:space="preserve">(Crescenzi et al., 2011; </w:t>
      </w:r>
      <w:proofErr w:type="spellStart"/>
      <w:r w:rsidR="00357568" w:rsidRPr="00357568">
        <w:t>Dall’erba</w:t>
      </w:r>
      <w:proofErr w:type="spellEnd"/>
      <w:r w:rsidR="00357568" w:rsidRPr="00357568">
        <w:t xml:space="preserve"> and Le Gallo, 2008; </w:t>
      </w:r>
      <w:proofErr w:type="spellStart"/>
      <w:r w:rsidR="00357568" w:rsidRPr="00357568">
        <w:t>Mohl</w:t>
      </w:r>
      <w:proofErr w:type="spellEnd"/>
      <w:r w:rsidR="00357568" w:rsidRPr="00357568">
        <w:t xml:space="preserve"> and Hagen, 2010)</w:t>
      </w:r>
      <w:r w:rsidR="00A25351">
        <w:rPr>
          <w:iCs/>
        </w:rPr>
        <w:fldChar w:fldCharType="end"/>
      </w:r>
      <w:r w:rsidR="00A25351">
        <w:rPr>
          <w:iCs/>
        </w:rPr>
        <w:t>.</w:t>
      </w:r>
      <w:r w:rsidR="00950F9B">
        <w:rPr>
          <w:iCs/>
        </w:rPr>
        <w:t xml:space="preserve"> Yet, </w:t>
      </w:r>
      <w:r w:rsidR="00C718CF">
        <w:rPr>
          <w:iCs/>
        </w:rPr>
        <w:t xml:space="preserve">even calculating expenditure </w:t>
      </w:r>
      <w:r w:rsidR="00950F9B">
        <w:rPr>
          <w:iCs/>
        </w:rPr>
        <w:t xml:space="preserve">relative to UAA, AWU and GVA </w:t>
      </w:r>
      <w:r w:rsidR="00C718CF">
        <w:rPr>
          <w:iCs/>
        </w:rPr>
        <w:t xml:space="preserve">may </w:t>
      </w:r>
      <w:r w:rsidR="00950F9B">
        <w:rPr>
          <w:iCs/>
        </w:rPr>
        <w:t>yield very different distribution</w:t>
      </w:r>
      <w:r w:rsidR="00C718CF">
        <w:rPr>
          <w:iCs/>
        </w:rPr>
        <w:t>s</w:t>
      </w:r>
      <w:r w:rsidR="00950F9B">
        <w:rPr>
          <w:iCs/>
        </w:rPr>
        <w:t xml:space="preserve"> of payments</w:t>
      </w:r>
      <w:r w:rsidR="00A25351">
        <w:rPr>
          <w:iCs/>
        </w:rPr>
        <w:t xml:space="preserve"> </w:t>
      </w:r>
      <w:r w:rsidR="00A25351">
        <w:rPr>
          <w:iCs/>
        </w:rPr>
        <w:fldChar w:fldCharType="begin"/>
      </w:r>
      <w:r w:rsidR="00357568">
        <w:rPr>
          <w:iCs/>
        </w:rPr>
        <w:instrText xml:space="preserve"> ADDIN ZOTERO_ITEM CSL_CITATION {"citationID":"uF7WuMmy","properties":{"formattedCitation":"(Camaioni et al., 2014, pp. 7\\uc0\\u8211{}9)","plainCitation":"(Camaioni et al., 2014, pp. 7–9)","noteIndex":0},"citationItems":[{"id":497,"uris":["http://zotero.org/users/5499844/items/YCJK7IVP"],"uri":["http://zotero.org/users/5499844/items/YCJK7IVP"],"itemData":{"id":497,"type":"report","title":"How does space affect the allocation of the EU rural development policy's expenditure? An econometric assessment","author":[{"family":"Camaioni","given":"Beatrice"},{"family":"Esposti","given":"Roberto"},{"family":"Pagliacci","given":"Francesco"},{"family":"Sotte","given":"Franco"}],"issued":{"date-parts":[["2014"]]}},"locator":"7-9"}],"schema":"https://github.com/citation-style-language/schema/raw/master/csl-citation.json"} </w:instrText>
      </w:r>
      <w:r w:rsidR="00A25351">
        <w:rPr>
          <w:iCs/>
        </w:rPr>
        <w:fldChar w:fldCharType="separate"/>
      </w:r>
      <w:r w:rsidR="00357568" w:rsidRPr="00357568">
        <w:t>(</w:t>
      </w:r>
      <w:proofErr w:type="spellStart"/>
      <w:r w:rsidR="00357568" w:rsidRPr="00357568">
        <w:t>Camaioni</w:t>
      </w:r>
      <w:proofErr w:type="spellEnd"/>
      <w:r w:rsidR="00357568" w:rsidRPr="00357568">
        <w:t xml:space="preserve"> et al., 2014, pp. 7–9)</w:t>
      </w:r>
      <w:r w:rsidR="00A25351">
        <w:rPr>
          <w:iCs/>
        </w:rPr>
        <w:fldChar w:fldCharType="end"/>
      </w:r>
      <w:r w:rsidR="00847C1A">
        <w:rPr>
          <w:iCs/>
        </w:rPr>
        <w:t>.</w:t>
      </w:r>
      <w:r w:rsidR="003E3DAC">
        <w:rPr>
          <w:iCs/>
        </w:rPr>
        <w:t xml:space="preserve"> Due to data limitations we </w:t>
      </w:r>
      <w:r w:rsidR="00B77587">
        <w:rPr>
          <w:iCs/>
        </w:rPr>
        <w:t xml:space="preserve">analyze EAFRD payments </w:t>
      </w:r>
      <w:r w:rsidR="00B77587" w:rsidRPr="00CA5DB4">
        <w:rPr>
          <w:iCs/>
        </w:rPr>
        <w:t>per capita</w:t>
      </w:r>
      <w:r w:rsidR="00B77587">
        <w:rPr>
          <w:iCs/>
        </w:rPr>
        <w:t xml:space="preserve">, i.e. number of </w:t>
      </w:r>
      <w:r w:rsidR="00F35D78">
        <w:rPr>
          <w:iCs/>
        </w:rPr>
        <w:t xml:space="preserve">inhabitants in a </w:t>
      </w:r>
      <w:r w:rsidR="00B77587">
        <w:rPr>
          <w:iCs/>
        </w:rPr>
        <w:t>respective region</w:t>
      </w:r>
      <w:r w:rsidR="003E3DAC">
        <w:rPr>
          <w:iCs/>
        </w:rPr>
        <w:t xml:space="preserve">. </w:t>
      </w:r>
    </w:p>
    <w:p w14:paraId="7160626C" w14:textId="2B4114A8" w:rsidR="00A005DF" w:rsidRPr="00B65973" w:rsidRDefault="009A61E7" w:rsidP="00E512CF">
      <w:pPr>
        <w:rPr>
          <w:iCs/>
        </w:rPr>
      </w:pPr>
      <w:r>
        <w:rPr>
          <w:iCs/>
        </w:rPr>
        <w:t>Analysis of spatial associations require</w:t>
      </w:r>
      <w:r w:rsidR="00F35D78">
        <w:rPr>
          <w:iCs/>
        </w:rPr>
        <w:t>s</w:t>
      </w:r>
      <w:r>
        <w:rPr>
          <w:iCs/>
        </w:rPr>
        <w:t xml:space="preserve"> </w:t>
      </w:r>
      <w:r w:rsidR="00CA5DB4">
        <w:rPr>
          <w:iCs/>
        </w:rPr>
        <w:t>the</w:t>
      </w:r>
      <w:r w:rsidR="00F35D78">
        <w:rPr>
          <w:iCs/>
        </w:rPr>
        <w:t xml:space="preserve"> </w:t>
      </w:r>
      <w:r>
        <w:rPr>
          <w:iCs/>
        </w:rPr>
        <w:t xml:space="preserve">calculation of links between regions which could be represented as a spatial </w:t>
      </w:r>
      <w:proofErr w:type="gramStart"/>
      <w:r>
        <w:rPr>
          <w:iCs/>
        </w:rPr>
        <w:t>weights</w:t>
      </w:r>
      <w:proofErr w:type="gramEnd"/>
      <w:r>
        <w:rPr>
          <w:iCs/>
        </w:rPr>
        <w:t xml:space="preserve"> matrix. </w:t>
      </w:r>
      <w:r w:rsidR="00F35D78">
        <w:rPr>
          <w:iCs/>
        </w:rPr>
        <w:t xml:space="preserve">The weights can be obtained by simply taking </w:t>
      </w:r>
      <w:r w:rsidR="004F3051">
        <w:rPr>
          <w:iCs/>
        </w:rPr>
        <w:t>contiguous</w:t>
      </w:r>
      <w:r w:rsidR="00B14EAF" w:rsidRPr="00B14EAF">
        <w:rPr>
          <w:iCs/>
        </w:rPr>
        <w:t xml:space="preserve"> </w:t>
      </w:r>
      <w:r w:rsidR="00B14EAF">
        <w:rPr>
          <w:iCs/>
        </w:rPr>
        <w:t>neighbors, neighbo</w:t>
      </w:r>
      <w:r w:rsidR="00F35D78">
        <w:rPr>
          <w:iCs/>
        </w:rPr>
        <w:t xml:space="preserve">rs up to a certain distance or a certain number of closest neighbors </w:t>
      </w:r>
      <w:r w:rsidR="00F35D78">
        <w:rPr>
          <w:iCs/>
        </w:rPr>
        <w:fldChar w:fldCharType="begin"/>
      </w:r>
      <w:r w:rsidR="00357568">
        <w:rPr>
          <w:iCs/>
        </w:rPr>
        <w:instrText xml:space="preserve"> ADDIN ZOTERO_ITEM CSL_CITATION {"citationID":"A4jijcat","properties":{"formattedCitation":"(e.g. Dall\\uc0\\u8217{}erba and Le Gallo, 2008; Mohl and Hagen, 2010)","plainCitation":"(e.g. Dall’erba and Le Gallo, 2008; Mohl and Hagen, 2010)","noteIndex":0},"citationItems":[{"id":85,"uris":["http://zotero.org/users/5499844/items/DMALF5BE"],"uri":["http://zotero.org/users/5499844/items/DMALF5BE"],"itemData":{"id":85,"type":"article-journal","title":"Regional convergence and the impact of European structural funds over 1989-1999: A spatial econometric analysis","container-title":"Papers in Regional Science","page":"219-244","volume":"87","issue":"2","source":"Crossref","abstract":"This paper evaluates the impact of structural funds on the convergence process between 145 European regions over 1989–1999. The presence of spillover effects is investigated with spatial econometric methods, which assess the impact of the funds on the targeted region and its neighbours. We also control the potential endogeneity problem in the estimation of their impact. Our estimation results indicate that signiﬁcant convergence takes place, but that the funds have no impact on it. Simulation experiments show how investments targeted to the peripheral regions never spill over to their neighbours, which calls for a reconsideration of current regional policy tools.","DOI":"10.1111/j.1435-5957.2008.00184.x","ISSN":"10568190, 14355957","title-short":"Regional convergence and the impact of European structural funds over 1989-1999","language":"en","author":[{"family":"Dall'erba","given":"Sandy"},{"family":"Le Gallo","given":"Julie"}],"issued":{"date-parts":[["2008",6]]}},"prefix":"e.g. "},{"id":154,"uris":["http://zotero.org/users/5499844/items/IHUCX3JZ"],"uri":["http://zotero.org/users/5499844/items/IHUCX3JZ"],"itemData":{"id":154,"type":"article-journal","title":"Do EU structural funds promote regional growth? New evidence from various panel data approaches","container-title":"Regional Science and Urban Economics","page":"353-365","volume":"40","issue":"5","source":"Crossref","abstract":"This paper analyses the economic growth effects of EU structural funds extending the current literature by at least three aspects: Firstly, we make use of a new structural funds dataset of 126 NUTS-1/NUTS-2 regions as well as more precise measures of structural funds by distinguishing between Objective 1, 2, and 3 payments. In doing so, we include the Financial Perspective 2000–2006, which has not been analysed before. Secondly, we address the problem of endogeneity in a panel context by basing the identiﬁcation on internal instruments via a system GMM estimator. Finally, we control for spatial spillover effects by applying a spatial panel econometric estimator.","DOI":"10.1016/j.regsciurbeco.2010.03.005","ISSN":"01660462","title-short":"Do EU structural funds promote regional growth?","language":"en","author":[{"family":"Mohl","given":"P."},{"family":"Hagen","given":"T."}],"issued":{"date-parts":[["2010",9]]}}}],"schema":"https://github.com/citation-style-language/schema/raw/master/csl-citation.json"} </w:instrText>
      </w:r>
      <w:r w:rsidR="00F35D78">
        <w:rPr>
          <w:iCs/>
        </w:rPr>
        <w:fldChar w:fldCharType="separate"/>
      </w:r>
      <w:r w:rsidR="00357568" w:rsidRPr="00357568">
        <w:t xml:space="preserve">(e.g. </w:t>
      </w:r>
      <w:proofErr w:type="spellStart"/>
      <w:r w:rsidR="00357568" w:rsidRPr="00357568">
        <w:t>Dall’erba</w:t>
      </w:r>
      <w:proofErr w:type="spellEnd"/>
      <w:r w:rsidR="00357568" w:rsidRPr="00357568">
        <w:t xml:space="preserve"> and Le Gallo, 2008; </w:t>
      </w:r>
      <w:proofErr w:type="spellStart"/>
      <w:r w:rsidR="00357568" w:rsidRPr="00357568">
        <w:t>Mohl</w:t>
      </w:r>
      <w:proofErr w:type="spellEnd"/>
      <w:r w:rsidR="00357568" w:rsidRPr="00357568">
        <w:t xml:space="preserve"> and Hagen, 2010)</w:t>
      </w:r>
      <w:r w:rsidR="00F35D78">
        <w:rPr>
          <w:iCs/>
        </w:rPr>
        <w:fldChar w:fldCharType="end"/>
      </w:r>
      <w:r w:rsidR="00B14EAF">
        <w:rPr>
          <w:iCs/>
        </w:rPr>
        <w:t xml:space="preserve">. We use the first </w:t>
      </w:r>
      <w:r w:rsidR="00CB354F">
        <w:rPr>
          <w:iCs/>
        </w:rPr>
        <w:t>of these methods</w:t>
      </w:r>
      <w:r w:rsidR="00B14EAF">
        <w:rPr>
          <w:iCs/>
        </w:rPr>
        <w:t xml:space="preserve"> to </w:t>
      </w:r>
      <w:r w:rsidR="00B14EAF">
        <w:rPr>
          <w:iCs/>
        </w:rPr>
        <w:lastRenderedPageBreak/>
        <w:t>calculate spatial weights matrix</w:t>
      </w:r>
      <w:r w:rsidR="00CB354F">
        <w:rPr>
          <w:iCs/>
        </w:rPr>
        <w:t xml:space="preserve">. As argued by </w:t>
      </w:r>
      <w:proofErr w:type="spellStart"/>
      <w:r w:rsidR="00CB354F">
        <w:rPr>
          <w:iCs/>
        </w:rPr>
        <w:t>Camaioni</w:t>
      </w:r>
      <w:proofErr w:type="spellEnd"/>
      <w:r w:rsidR="00CB354F">
        <w:rPr>
          <w:iCs/>
        </w:rPr>
        <w:t xml:space="preserve"> </w:t>
      </w:r>
      <w:r w:rsidR="00D03B8E">
        <w:rPr>
          <w:iCs/>
        </w:rPr>
        <w:t xml:space="preserve">et al. </w:t>
      </w:r>
      <w:r w:rsidR="00CB354F">
        <w:rPr>
          <w:iCs/>
        </w:rPr>
        <w:fldChar w:fldCharType="begin"/>
      </w:r>
      <w:r w:rsidR="00357568">
        <w:rPr>
          <w:iCs/>
        </w:rPr>
        <w:instrText xml:space="preserve"> ADDIN ZOTERO_ITEM CSL_CITATION {"citationID":"UbAJ1NhA","properties":{"formattedCitation":"(2014, p. 15)","plainCitation":"(2014, p. 15)","noteIndex":0},"citationItems":[{"id":497,"uris":["http://zotero.org/users/5499844/items/YCJK7IVP"],"uri":["http://zotero.org/users/5499844/items/YCJK7IVP"],"itemData":{"id":497,"type":"report","title":"How does space affect the allocation of the EU rural development policy's expenditure? An econometric assessment","author":[{"family":"Camaioni","given":"Beatrice"},{"family":"Esposti","given":"Roberto"},{"family":"Pagliacci","given":"Francesco"},{"family":"Sotte","given":"Franco"}],"issued":{"date-parts":[["2014"]]}},"locator":"15","suppress-author":true}],"schema":"https://github.com/citation-style-language/schema/raw/master/csl-citation.json"} </w:instrText>
      </w:r>
      <w:r w:rsidR="00CB354F">
        <w:rPr>
          <w:iCs/>
        </w:rPr>
        <w:fldChar w:fldCharType="separate"/>
      </w:r>
      <w:r w:rsidR="00357568" w:rsidRPr="00357568">
        <w:t>(2014, p. 15)</w:t>
      </w:r>
      <w:r w:rsidR="00CB354F">
        <w:rPr>
          <w:iCs/>
        </w:rPr>
        <w:fldChar w:fldCharType="end"/>
      </w:r>
      <w:r w:rsidR="00CB354F">
        <w:rPr>
          <w:iCs/>
        </w:rPr>
        <w:t>, NUTS3 regions have substantial heterogeneity in terms of size</w:t>
      </w:r>
      <w:r w:rsidR="002D4E44">
        <w:rPr>
          <w:iCs/>
        </w:rPr>
        <w:t xml:space="preserve">, thus weights based on </w:t>
      </w:r>
      <w:r w:rsidR="004F3051">
        <w:rPr>
          <w:iCs/>
        </w:rPr>
        <w:t xml:space="preserve">contiguity </w:t>
      </w:r>
      <w:r w:rsidR="002D4E44">
        <w:rPr>
          <w:iCs/>
        </w:rPr>
        <w:t xml:space="preserve">are </w:t>
      </w:r>
      <w:r w:rsidR="004F3051">
        <w:rPr>
          <w:iCs/>
        </w:rPr>
        <w:t xml:space="preserve">more suitable than distance-based methods. This is also true for NUTS2 </w:t>
      </w:r>
      <w:r w:rsidR="00FC6D37">
        <w:rPr>
          <w:iCs/>
        </w:rPr>
        <w:t xml:space="preserve">classification where centroids of some adjacent regions might be further away from each other compared to some other regions separated by </w:t>
      </w:r>
      <w:r w:rsidR="002B0402">
        <w:rPr>
          <w:iCs/>
        </w:rPr>
        <w:t xml:space="preserve">large </w:t>
      </w:r>
      <w:r w:rsidR="00FC6D37">
        <w:rPr>
          <w:iCs/>
        </w:rPr>
        <w:t>water bodies. The spatial weigh</w:t>
      </w:r>
      <w:r w:rsidR="00C01A62">
        <w:rPr>
          <w:iCs/>
        </w:rPr>
        <w:t xml:space="preserve">ts matrix used </w:t>
      </w:r>
      <w:r w:rsidR="002D4E44">
        <w:rPr>
          <w:iCs/>
        </w:rPr>
        <w:t xml:space="preserve">in the following analysis </w:t>
      </w:r>
      <w:r w:rsidR="00C01A62">
        <w:rPr>
          <w:iCs/>
        </w:rPr>
        <w:t xml:space="preserve">is illustrated </w:t>
      </w:r>
      <w:r w:rsidR="00402DFA">
        <w:rPr>
          <w:iCs/>
        </w:rPr>
        <w:t>on</w:t>
      </w:r>
      <w:r w:rsidR="00FC6D37">
        <w:rPr>
          <w:iCs/>
        </w:rPr>
        <w:t xml:space="preserve"> figure A1.</w:t>
      </w:r>
    </w:p>
    <w:p w14:paraId="7088B480" w14:textId="1781A2FE" w:rsidR="00AF6101" w:rsidRDefault="00664B31" w:rsidP="00E512CF">
      <w:pPr>
        <w:rPr>
          <w:iCs/>
        </w:rPr>
      </w:pPr>
      <w:r>
        <w:rPr>
          <w:iCs/>
        </w:rPr>
        <w:t xml:space="preserve">This matrix is employed in calculation of measures of spatial association. </w:t>
      </w:r>
      <w:r w:rsidR="00100861">
        <w:rPr>
          <w:iCs/>
        </w:rPr>
        <w:t xml:space="preserve">Globally, it is evaluated using Moran’s I statistic. </w:t>
      </w:r>
      <w:r w:rsidR="00C872FA">
        <w:rPr>
          <w:iCs/>
        </w:rPr>
        <w:t xml:space="preserve">The standard form of </w:t>
      </w:r>
      <w:r w:rsidR="0026623C" w:rsidRPr="00B65973">
        <w:rPr>
          <w:iCs/>
        </w:rPr>
        <w:t>Moran’s I</w:t>
      </w:r>
      <w:r w:rsidR="00221A0C">
        <w:rPr>
          <w:iCs/>
        </w:rPr>
        <w:t xml:space="preserve"> </w:t>
      </w:r>
      <w:r w:rsidR="00C872FA">
        <w:rPr>
          <w:iCs/>
        </w:rPr>
        <w:fldChar w:fldCharType="begin"/>
      </w:r>
      <w:r w:rsidR="00357568">
        <w:rPr>
          <w:iCs/>
        </w:rPr>
        <w:instrText xml:space="preserve"> ADDIN ZOTERO_ITEM CSL_CITATION {"citationID":"Wjbztkqk","properties":{"formattedCitation":"(Bivand and Wong, 2018, p. 720)","plainCitation":"(Bivand and Wong, 2018, p. 720)","noteIndex":0},"citationItems":[{"id":495,"uris":["http://zotero.org/users/5499844/items/CXA6GT7X"],"uri":["http://zotero.org/users/5499844/items/CXA6GT7X"],"itemData":{"id":495,"type":"article-journal","title":"Comparing implementations of global and local indicators of spatial association","container-title":"TEST","page":"716-748","volume":"27","issue":"3","source":"Crossref","abstract":"Functions to calculate measures of spatial association, especially measures of spatial autocorrelation, have been made available in many software applications. Measures may be global, applying to the whole data set under consideration, or local, applying to each observation in the data set. Methods of statistical inference may also be provided, but these will, like the measures themselves, depend on the support of the observations, chosen assumptions, and the way in which spatial association is represented; spatial weights are often used as a representational technique. In addition, assumptions may be made about the underlying mean model, and about error distributions. Different software implementations may choose to expose these choices to the analyst, but the sets of choices available may vary between these implementations, as may default settings. This comparison will consider the implementations of global Moran’s I , Getis–Ord G and Geary’s C, local Ii and Gi , available in a range of software including Crimestat, GeoDa, ArcGIS, PySAL and R contributed packages.","DOI":"10.1007/s11749-018-0599-x","ISSN":"1133-0686, 1863-8260","language":"en","author":[{"family":"Bivand","given":"Roger S."},{"family":"Wong","given":"David W. S."}],"issued":{"date-parts":[["2018",9]]}},"locator":"720"}],"schema":"https://github.com/citation-style-language/schema/raw/master/csl-citation.json"} </w:instrText>
      </w:r>
      <w:r w:rsidR="00C872FA">
        <w:rPr>
          <w:iCs/>
        </w:rPr>
        <w:fldChar w:fldCharType="separate"/>
      </w:r>
      <w:r w:rsidR="00357568" w:rsidRPr="00357568">
        <w:t>(</w:t>
      </w:r>
      <w:proofErr w:type="spellStart"/>
      <w:r w:rsidR="00357568" w:rsidRPr="00357568">
        <w:t>Bivand</w:t>
      </w:r>
      <w:proofErr w:type="spellEnd"/>
      <w:r w:rsidR="00357568" w:rsidRPr="00357568">
        <w:t xml:space="preserve"> and Wong, 2018, p. 720)</w:t>
      </w:r>
      <w:r w:rsidR="00C872FA">
        <w:rPr>
          <w:iCs/>
        </w:rPr>
        <w:fldChar w:fldCharType="end"/>
      </w:r>
      <w:r w:rsidR="00C872FA">
        <w:rPr>
          <w:iCs/>
        </w:rPr>
        <w:t xml:space="preserve"> is represented as follows:</w:t>
      </w:r>
    </w:p>
    <w:p w14:paraId="2AA6D19E" w14:textId="640FA64C" w:rsidR="00A41EFC" w:rsidRDefault="00AF6101" w:rsidP="00E512CF">
      <w:pPr>
        <w:rPr>
          <w:iCs/>
        </w:rPr>
      </w:pPr>
      <m:oMathPara>
        <m:oMath>
          <m:r>
            <w:rPr>
              <w:rFonts w:ascii="Cambria Math" w:hAnsi="Cambria Math"/>
            </w:rPr>
            <m:t>I=</m:t>
          </m:r>
          <m:f>
            <m:fPr>
              <m:ctrlPr>
                <w:rPr>
                  <w:rFonts w:ascii="Cambria Math" w:hAnsi="Cambria Math"/>
                  <w:i/>
                </w:rPr>
              </m:ctrlPr>
            </m:fPr>
            <m:num>
              <m:r>
                <w:rPr>
                  <w:rFonts w:ascii="Cambria Math" w:hAnsi="Cambria Math"/>
                </w:rPr>
                <m:t>n</m:t>
              </m:r>
            </m:num>
            <m:den>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iCs/>
                        </w:rPr>
                      </m:ctrlPr>
                    </m:naryPr>
                    <m:sub>
                      <m:r>
                        <w:rPr>
                          <w:rFonts w:ascii="Cambria Math" w:hAnsi="Cambria Math"/>
                        </w:rPr>
                        <m:t>j=1</m:t>
                      </m:r>
                    </m:sub>
                    <m:sup>
                      <m:r>
                        <w:rPr>
                          <w:rFonts w:ascii="Cambria Math" w:hAnsi="Cambria Math"/>
                        </w:rPr>
                        <m:t>n</m:t>
                      </m:r>
                    </m:sup>
                    <m:e>
                      <m:sSub>
                        <m:sSubPr>
                          <m:ctrlPr>
                            <w:rPr>
                              <w:rFonts w:ascii="Cambria Math" w:hAnsi="Cambria Math"/>
                              <w:i/>
                              <w:szCs w:val="18"/>
                            </w:rPr>
                          </m:ctrlPr>
                        </m:sSubPr>
                        <m:e>
                          <m:r>
                            <w:rPr>
                              <w:rFonts w:ascii="Cambria Math" w:hAnsi="Cambria Math"/>
                            </w:rPr>
                            <m:t>w</m:t>
                          </m:r>
                        </m:e>
                        <m:sub>
                          <m:r>
                            <w:rPr>
                              <w:rFonts w:ascii="Cambria Math" w:hAnsi="Cambria Math"/>
                            </w:rPr>
                            <m:t>i,j</m:t>
                          </m:r>
                        </m:sub>
                      </m:sSub>
                    </m:e>
                  </m:nary>
                </m:e>
              </m:nary>
            </m:den>
          </m:f>
          <m:f>
            <m:fPr>
              <m:ctrlPr>
                <w:rPr>
                  <w:rFonts w:ascii="Cambria Math" w:hAnsi="Cambria Math"/>
                  <w:i/>
                  <w:iCs/>
                </w:rPr>
              </m:ctrlPr>
            </m:fPr>
            <m:num>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iCs/>
                        </w:rPr>
                      </m:ctrlPr>
                    </m:naryPr>
                    <m:sub>
                      <m:r>
                        <w:rPr>
                          <w:rFonts w:ascii="Cambria Math" w:hAnsi="Cambria Math"/>
                        </w:rPr>
                        <m:t>j=1</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szCs w:val="18"/>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szCs w:val="18"/>
                            </w:rPr>
                          </m:ctrlPr>
                        </m:accPr>
                        <m:e>
                          <m:r>
                            <w:rPr>
                              <w:rFonts w:ascii="Cambria Math" w:hAnsi="Cambria Math"/>
                            </w:rPr>
                            <m:t>x</m:t>
                          </m:r>
                        </m:e>
                      </m:acc>
                      <m:r>
                        <w:rPr>
                          <w:rFonts w:ascii="Cambria Math" w:hAnsi="Cambria Math"/>
                        </w:rPr>
                        <m:t>)(</m:t>
                      </m:r>
                      <m:sSub>
                        <m:sSubPr>
                          <m:ctrlPr>
                            <w:rPr>
                              <w:rFonts w:ascii="Cambria Math" w:hAnsi="Cambria Math"/>
                              <w:i/>
                              <w:szCs w:val="18"/>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szCs w:val="18"/>
                            </w:rPr>
                          </m:ctrlPr>
                        </m:accPr>
                        <m:e>
                          <m:r>
                            <w:rPr>
                              <w:rFonts w:ascii="Cambria Math" w:hAnsi="Cambria Math"/>
                            </w:rPr>
                            <m:t>x</m:t>
                          </m:r>
                        </m:e>
                      </m:acc>
                      <m:r>
                        <w:rPr>
                          <w:rFonts w:ascii="Cambria Math" w:hAnsi="Cambria Math"/>
                        </w:rPr>
                        <m:t>)</m:t>
                      </m:r>
                    </m:e>
                  </m:nary>
                </m:e>
              </m:nary>
            </m:num>
            <m:den>
              <m:nary>
                <m:naryPr>
                  <m:chr m:val="∑"/>
                  <m:limLoc m:val="subSup"/>
                  <m:ctrlPr>
                    <w:rPr>
                      <w:rFonts w:ascii="Cambria Math" w:hAnsi="Cambria Math"/>
                      <w:i/>
                      <w:iCs/>
                    </w:rPr>
                  </m:ctrlPr>
                </m:naryPr>
                <m:sub>
                  <m:r>
                    <w:rPr>
                      <w:rFonts w:ascii="Cambria Math" w:hAnsi="Cambria Math"/>
                    </w:rPr>
                    <m:t>j=1</m:t>
                  </m:r>
                </m:sub>
                <m:sup>
                  <m:r>
                    <w:rPr>
                      <w:rFonts w:ascii="Cambria Math" w:hAnsi="Cambria Math"/>
                    </w:rPr>
                    <m:t>n</m:t>
                  </m:r>
                </m:sup>
                <m:e>
                  <m:sSup>
                    <m:sSupPr>
                      <m:ctrlPr>
                        <w:rPr>
                          <w:rFonts w:ascii="Cambria Math" w:hAnsi="Cambria Math"/>
                          <w:i/>
                          <w:szCs w:val="18"/>
                        </w:rPr>
                      </m:ctrlPr>
                    </m:sSupPr>
                    <m:e>
                      <m:r>
                        <w:rPr>
                          <w:rFonts w:ascii="Cambria Math" w:hAnsi="Cambria Math"/>
                        </w:rPr>
                        <m:t>(</m:t>
                      </m:r>
                      <m:sSub>
                        <m:sSubPr>
                          <m:ctrlPr>
                            <w:rPr>
                              <w:rFonts w:ascii="Cambria Math" w:hAnsi="Cambria Math"/>
                              <w:i/>
                              <w:szCs w:val="18"/>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szCs w:val="18"/>
                            </w:rPr>
                          </m:ctrlPr>
                        </m:accPr>
                        <m:e>
                          <m:r>
                            <w:rPr>
                              <w:rFonts w:ascii="Cambria Math" w:hAnsi="Cambria Math"/>
                            </w:rPr>
                            <m:t>x</m:t>
                          </m:r>
                        </m:e>
                      </m:acc>
                      <m:r>
                        <w:rPr>
                          <w:rFonts w:ascii="Cambria Math" w:hAnsi="Cambria Math"/>
                        </w:rPr>
                        <m:t>)</m:t>
                      </m:r>
                    </m:e>
                    <m:sup>
                      <m:r>
                        <w:rPr>
                          <w:rFonts w:ascii="Cambria Math" w:hAnsi="Cambria Math"/>
                        </w:rPr>
                        <m:t>2</m:t>
                      </m:r>
                    </m:sup>
                  </m:sSup>
                </m:e>
              </m:nary>
            </m:den>
          </m:f>
          <m:r>
            <w:rPr>
              <w:rFonts w:ascii="Cambria Math" w:hAnsi="Cambria Math"/>
            </w:rPr>
            <m:t>,  (1)</m:t>
          </m:r>
        </m:oMath>
      </m:oMathPara>
    </w:p>
    <w:p w14:paraId="73979787" w14:textId="4EB812AB" w:rsidR="001F7156" w:rsidRDefault="001E5A14" w:rsidP="00D006A1">
      <w:pPr>
        <w:rPr>
          <w:iCs/>
        </w:rPr>
      </w:pPr>
      <w:r>
        <w:t>w</w:t>
      </w:r>
      <w:r w:rsidR="00C872FA">
        <w:t xml:space="preserve">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 …,n</m:t>
        </m:r>
      </m:oMath>
      <w:r w:rsidR="00C872FA">
        <w:t xml:space="preserve"> is the </w:t>
      </w:r>
      <w:r w:rsidR="009D2D19">
        <w:t>value</w:t>
      </w:r>
      <w:r w:rsidR="00C872FA">
        <w:t xml:space="preserve"> of</w:t>
      </w:r>
      <w:r w:rsidR="009D2D19">
        <w:t xml:space="preserve"> variable</w:t>
      </w:r>
      <w:r w:rsidR="00C872FA">
        <w:t xml:space="preserve"> </w:t>
      </w:r>
      <m:oMath>
        <m:r>
          <w:rPr>
            <w:rFonts w:ascii="Cambria Math" w:hAnsi="Cambria Math"/>
          </w:rPr>
          <m:t>x</m:t>
        </m:r>
      </m:oMath>
      <w:r w:rsidR="009D2D19">
        <w:t xml:space="preserve"> of </w:t>
      </w:r>
      <w:r w:rsidR="00B824B2">
        <w:t>region</w:t>
      </w:r>
      <w:r w:rsidR="009D2D19">
        <w:t xml:space="preserve"> </w:t>
      </w:r>
      <m:oMath>
        <m:r>
          <w:rPr>
            <w:rFonts w:ascii="Cambria Math" w:hAnsi="Cambria Math"/>
          </w:rPr>
          <m:t>i</m:t>
        </m:r>
      </m:oMath>
      <w:r w:rsidR="00D006A1">
        <w:t>,</w:t>
      </w:r>
      <w:r w:rsidR="009D2D19">
        <w:t xml:space="preserve"> </w:t>
      </w:r>
      <m:oMath>
        <m:acc>
          <m:accPr>
            <m:chr m:val="̅"/>
            <m:ctrlPr>
              <w:rPr>
                <w:rFonts w:ascii="Cambria Math" w:hAnsi="Cambria Math"/>
                <w:i/>
                <w:szCs w:val="18"/>
              </w:rPr>
            </m:ctrlPr>
          </m:accPr>
          <m:e>
            <m:r>
              <w:rPr>
                <w:rFonts w:ascii="Cambria Math" w:hAnsi="Cambria Math"/>
              </w:rPr>
              <m:t>x</m:t>
            </m:r>
          </m:e>
        </m:acc>
      </m:oMath>
      <w:r w:rsidR="009D2D19">
        <w:rPr>
          <w:szCs w:val="18"/>
        </w:rPr>
        <w:t xml:space="preserve"> is the mean value of variable</w:t>
      </w:r>
      <w:r w:rsidR="00C872FA">
        <w:t xml:space="preserve"> </w:t>
      </w:r>
      <m:oMath>
        <m:r>
          <w:rPr>
            <w:rFonts w:ascii="Cambria Math" w:hAnsi="Cambria Math"/>
          </w:rPr>
          <m:t>x</m:t>
        </m:r>
      </m:oMath>
      <w:r w:rsidR="009D2D19">
        <w:t xml:space="preserve">, </w:t>
      </w:r>
      <m:oMath>
        <m:r>
          <w:rPr>
            <w:rFonts w:ascii="Cambria Math" w:hAnsi="Cambria Math"/>
          </w:rPr>
          <m:t>w</m:t>
        </m:r>
      </m:oMath>
      <w:r w:rsidR="00664B31">
        <w:rPr>
          <w:iCs/>
        </w:rPr>
        <w:t xml:space="preserve"> is the spatial weight </w:t>
      </w:r>
      <w:r w:rsidR="009E3347">
        <w:rPr>
          <w:iCs/>
        </w:rPr>
        <w:t>matrix</w:t>
      </w:r>
      <w:r w:rsidR="00101A80">
        <w:rPr>
          <w:iCs/>
        </w:rPr>
        <w:t>, and</w:t>
      </w:r>
      <w:r w:rsidR="00D006A1">
        <w:t xml:space="preserve"> </w:t>
      </w:r>
      <w:r w:rsidR="009D2D19">
        <w:t xml:space="preserve"> </w:t>
      </w:r>
      <m:oMath>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iCs/>
                  </w:rPr>
                </m:ctrlPr>
              </m:naryPr>
              <m:sub>
                <m:r>
                  <w:rPr>
                    <w:rFonts w:ascii="Cambria Math" w:hAnsi="Cambria Math"/>
                  </w:rPr>
                  <m:t>j=1</m:t>
                </m:r>
              </m:sub>
              <m:sup>
                <m:r>
                  <w:rPr>
                    <w:rFonts w:ascii="Cambria Math" w:hAnsi="Cambria Math"/>
                  </w:rPr>
                  <m:t>n</m:t>
                </m:r>
              </m:sup>
              <m:e>
                <m:sSub>
                  <m:sSubPr>
                    <m:ctrlPr>
                      <w:rPr>
                        <w:rFonts w:ascii="Cambria Math" w:hAnsi="Cambria Math"/>
                        <w:i/>
                        <w:szCs w:val="18"/>
                      </w:rPr>
                    </m:ctrlPr>
                  </m:sSubPr>
                  <m:e>
                    <m:r>
                      <w:rPr>
                        <w:rFonts w:ascii="Cambria Math" w:hAnsi="Cambria Math"/>
                      </w:rPr>
                      <m:t>w</m:t>
                    </m:r>
                  </m:e>
                  <m:sub>
                    <m:r>
                      <w:rPr>
                        <w:rFonts w:ascii="Cambria Math" w:hAnsi="Cambria Math"/>
                      </w:rPr>
                      <m:t>i,j</m:t>
                    </m:r>
                  </m:sub>
                </m:sSub>
              </m:e>
            </m:nary>
          </m:e>
        </m:nary>
      </m:oMath>
      <w:r w:rsidR="00101A80">
        <w:rPr>
          <w:iCs/>
        </w:rPr>
        <w:t xml:space="preserve"> </w:t>
      </w:r>
      <w:r w:rsidR="003379B5">
        <w:rPr>
          <w:iCs/>
        </w:rPr>
        <w:t xml:space="preserve">then </w:t>
      </w:r>
      <w:r w:rsidR="00101A80">
        <w:rPr>
          <w:iCs/>
        </w:rPr>
        <w:t>is the sum of all weights</w:t>
      </w:r>
      <w:r w:rsidR="000E2F27">
        <w:rPr>
          <w:iCs/>
        </w:rPr>
        <w:t xml:space="preserve">. </w:t>
      </w:r>
      <w:r w:rsidR="009E3347">
        <w:rPr>
          <w:iCs/>
        </w:rPr>
        <w:t xml:space="preserve">We use row standardized weights, so all the individual weights for a region are equal to </w:t>
      </w:r>
      <m:oMath>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j</m:t>
            </m:r>
          </m:sub>
        </m:sSub>
      </m:oMath>
      <w:r w:rsidR="009E3347">
        <w:t xml:space="preserve">, where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9E3347">
        <w:t xml:space="preserve"> is the total number of </w:t>
      </w:r>
      <w:r w:rsidR="00166126">
        <w:t>contiguous</w:t>
      </w:r>
      <w:r w:rsidR="009E3347">
        <w:t xml:space="preserve"> neighbors according to queen </w:t>
      </w:r>
      <w:r w:rsidR="00166126">
        <w:t>contiguity</w:t>
      </w:r>
      <w:r w:rsidR="009E3347">
        <w:t xml:space="preserve">. </w:t>
      </w:r>
      <w:r w:rsidR="00100861">
        <w:rPr>
          <w:iCs/>
        </w:rPr>
        <w:t xml:space="preserve">Thus, Moran’s I </w:t>
      </w:r>
      <w:proofErr w:type="gramStart"/>
      <w:r w:rsidR="00100861">
        <w:rPr>
          <w:iCs/>
        </w:rPr>
        <w:t>indicates</w:t>
      </w:r>
      <w:proofErr w:type="gramEnd"/>
      <w:r w:rsidR="00100861">
        <w:rPr>
          <w:iCs/>
        </w:rPr>
        <w:t xml:space="preserve"> whether neighboring regions are similar or different and expresses the </w:t>
      </w:r>
      <w:proofErr w:type="spellStart"/>
      <w:r w:rsidR="00100861">
        <w:rPr>
          <w:iCs/>
        </w:rPr>
        <w:t>magnitude</w:t>
      </w:r>
      <w:r w:rsidR="00367911">
        <w:rPr>
          <w:iCs/>
        </w:rPr>
        <w:t>z</w:t>
      </w:r>
      <w:proofErr w:type="spellEnd"/>
      <w:r w:rsidR="00100861">
        <w:rPr>
          <w:iCs/>
        </w:rPr>
        <w:t xml:space="preserve"> of this similarity or difference in terms of deviation from the mean.</w:t>
      </w:r>
      <w:r w:rsidR="00A71DE4">
        <w:rPr>
          <w:iCs/>
        </w:rPr>
        <w:t xml:space="preserve"> Values </w:t>
      </w:r>
      <w:r w:rsidR="009E3347">
        <w:rPr>
          <w:iCs/>
        </w:rPr>
        <w:t xml:space="preserve">range from -1 to 1, </w:t>
      </w:r>
      <w:r w:rsidR="00A71DE4">
        <w:rPr>
          <w:iCs/>
        </w:rPr>
        <w:t xml:space="preserve">respectively </w:t>
      </w:r>
      <w:r w:rsidR="009E3347">
        <w:rPr>
          <w:iCs/>
        </w:rPr>
        <w:t>indicating negative and positiv</w:t>
      </w:r>
      <w:r w:rsidR="00C220FA">
        <w:rPr>
          <w:iCs/>
        </w:rPr>
        <w:t xml:space="preserve">e autocorrelation </w:t>
      </w:r>
      <w:r w:rsidR="00B86327">
        <w:rPr>
          <w:iCs/>
        </w:rPr>
        <w:t xml:space="preserve">where the </w:t>
      </w:r>
      <w:r w:rsidR="00C220FA">
        <w:rPr>
          <w:iCs/>
        </w:rPr>
        <w:t>expected value</w:t>
      </w:r>
      <w:r w:rsidR="00B86327">
        <w:rPr>
          <w:iCs/>
        </w:rPr>
        <w:t xml:space="preserve"> </w:t>
      </w:r>
      <m:oMath>
        <m:r>
          <w:rPr>
            <w:rFonts w:ascii="Cambria Math" w:hAnsi="Cambria Math"/>
          </w:rPr>
          <m:t>E</m:t>
        </m:r>
        <m:d>
          <m:dPr>
            <m:ctrlPr>
              <w:rPr>
                <w:rFonts w:ascii="Cambria Math" w:hAnsi="Cambria Math"/>
                <w:i/>
                <w:iCs/>
              </w:rPr>
            </m:ctrlPr>
          </m:dPr>
          <m:e>
            <m:r>
              <w:rPr>
                <w:rFonts w:ascii="Cambria Math" w:hAnsi="Cambria Math"/>
              </w:rPr>
              <m:t>I</m:t>
            </m:r>
          </m:e>
        </m:d>
        <m:r>
          <w:rPr>
            <w:rFonts w:ascii="Cambria Math" w:hAnsi="Cambria Math"/>
          </w:rPr>
          <m:t>=-1/(n-1)</m:t>
        </m:r>
      </m:oMath>
      <w:r w:rsidR="00B86327">
        <w:rPr>
          <w:iCs/>
        </w:rPr>
        <w:t xml:space="preserve"> </w:t>
      </w:r>
      <w:r w:rsidR="004B3FA2">
        <w:rPr>
          <w:iCs/>
        </w:rPr>
        <w:t>is the</w:t>
      </w:r>
      <w:r w:rsidR="00B86327">
        <w:rPr>
          <w:iCs/>
        </w:rPr>
        <w:t xml:space="preserve"> threshold between the two</w:t>
      </w:r>
      <w:r w:rsidR="00C220FA">
        <w:rPr>
          <w:iCs/>
        </w:rPr>
        <w:t>.</w:t>
      </w:r>
    </w:p>
    <w:p w14:paraId="7F30539D" w14:textId="21AEBFB3" w:rsidR="00E24B2A" w:rsidRDefault="00E24B2A" w:rsidP="00D006A1">
      <w:pPr>
        <w:rPr>
          <w:iCs/>
        </w:rPr>
      </w:pPr>
      <w:r>
        <w:rPr>
          <w:iCs/>
        </w:rPr>
        <w:t xml:space="preserve">For each region, a local </w:t>
      </w:r>
      <w:r w:rsidR="00AE2BE7">
        <w:rPr>
          <w:iCs/>
        </w:rPr>
        <w:t xml:space="preserve">adaption </w:t>
      </w:r>
      <w:r>
        <w:rPr>
          <w:iCs/>
        </w:rPr>
        <w:t xml:space="preserve">of Moran’s I </w:t>
      </w:r>
      <w:r w:rsidR="00F35DA2">
        <w:rPr>
          <w:iCs/>
        </w:rPr>
        <w:t>is also</w:t>
      </w:r>
      <w:r>
        <w:rPr>
          <w:iCs/>
        </w:rPr>
        <w:t xml:space="preserve"> calculated. This is represented by </w:t>
      </w:r>
      <w:r w:rsidR="00AE6C6F">
        <w:rPr>
          <w:iCs/>
        </w:rPr>
        <w:t>the L</w:t>
      </w:r>
      <w:r>
        <w:rPr>
          <w:iCs/>
        </w:rPr>
        <w:t xml:space="preserve">ocal </w:t>
      </w:r>
      <w:r w:rsidR="00AE6C6F">
        <w:rPr>
          <w:iCs/>
        </w:rPr>
        <w:t>I</w:t>
      </w:r>
      <w:r>
        <w:rPr>
          <w:iCs/>
        </w:rPr>
        <w:t xml:space="preserve">ndicator of </w:t>
      </w:r>
      <w:r w:rsidR="00AE6C6F">
        <w:rPr>
          <w:iCs/>
        </w:rPr>
        <w:t>S</w:t>
      </w:r>
      <w:r>
        <w:rPr>
          <w:iCs/>
        </w:rPr>
        <w:t xml:space="preserve">patial </w:t>
      </w:r>
      <w:r w:rsidR="00AE6C6F">
        <w:rPr>
          <w:iCs/>
        </w:rPr>
        <w:t>A</w:t>
      </w:r>
      <w:r>
        <w:rPr>
          <w:iCs/>
        </w:rPr>
        <w:t xml:space="preserve">ssociation as follows </w:t>
      </w:r>
      <w:r>
        <w:rPr>
          <w:iCs/>
        </w:rPr>
        <w:fldChar w:fldCharType="begin"/>
      </w:r>
      <w:r w:rsidR="00357568">
        <w:rPr>
          <w:iCs/>
        </w:rPr>
        <w:instrText xml:space="preserve"> ADDIN ZOTERO_ITEM CSL_CITATION {"citationID":"bgj1uBfd","properties":{"formattedCitation":"(Anselin, 1995)","plainCitation":"(Anselin, 1995)","noteIndex":0},"citationItems":[{"id":507,"uris":["http://zotero.org/users/5499844/items/MFL3PQG8"],"uri":["http://zotero.org/users/5499844/items/MFL3PQG8"],"itemData":{"id":507,"type":"article-journal","title":"Local Indicators of Spatial Association-LISA","container-title":"Geographical Analysis","page":"93-115","volume":"27","issue":"2","source":"Crossref","DOI":"10.1111/j.1538-4632.1995.tb00338.x","ISSN":"00167363","language":"en","author":[{"family":"Anselin","given":"Luc"}],"issued":{"date-parts":[["1995",4]]}}}],"schema":"https://github.com/citation-style-language/schema/raw/master/csl-citation.json"} </w:instrText>
      </w:r>
      <w:r>
        <w:rPr>
          <w:iCs/>
        </w:rPr>
        <w:fldChar w:fldCharType="separate"/>
      </w:r>
      <w:r w:rsidR="00357568" w:rsidRPr="00357568">
        <w:t>(</w:t>
      </w:r>
      <w:proofErr w:type="spellStart"/>
      <w:r w:rsidR="00357568" w:rsidRPr="00357568">
        <w:t>Anselin</w:t>
      </w:r>
      <w:proofErr w:type="spellEnd"/>
      <w:r w:rsidR="00357568" w:rsidRPr="00357568">
        <w:t>, 1995)</w:t>
      </w:r>
      <w:r>
        <w:rPr>
          <w:iCs/>
        </w:rPr>
        <w:fldChar w:fldCharType="end"/>
      </w:r>
      <w:r>
        <w:rPr>
          <w:iCs/>
        </w:rPr>
        <w:t>:</w:t>
      </w:r>
    </w:p>
    <w:p w14:paraId="5FAF349B" w14:textId="1C6A8D57" w:rsidR="00E64411" w:rsidRPr="00E24B2A" w:rsidRDefault="00CA5DB4" w:rsidP="00D006A1">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i</m:t>
              </m:r>
            </m:sub>
          </m:sSub>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szCs w:val="18"/>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szCs w:val="18"/>
                    </w:rPr>
                  </m:ctrlPr>
                </m:accPr>
                <m:e>
                  <m:r>
                    <w:rPr>
                      <w:rFonts w:ascii="Cambria Math" w:hAnsi="Cambria Math"/>
                    </w:rPr>
                    <m:t>x</m:t>
                  </m:r>
                </m:e>
              </m:acc>
              <m:r>
                <w:rPr>
                  <w:rFonts w:ascii="Cambria Math" w:hAnsi="Cambria Math"/>
                </w:rPr>
                <m:t>)</m:t>
              </m:r>
            </m:num>
            <m:den>
              <m:sSup>
                <m:sSupPr>
                  <m:ctrlPr>
                    <w:rPr>
                      <w:rFonts w:ascii="Cambria Math" w:hAnsi="Cambria Math"/>
                      <w:i/>
                    </w:rPr>
                  </m:ctrlPr>
                </m:sSupPr>
                <m:e>
                  <m:r>
                    <w:rPr>
                      <w:rFonts w:ascii="Cambria Math" w:hAnsi="Cambria Math"/>
                    </w:rPr>
                    <m:t>(</m:t>
                  </m:r>
                  <m:sSub>
                    <m:sSubPr>
                      <m:ctrlPr>
                        <w:rPr>
                          <w:rFonts w:ascii="Cambria Math" w:hAnsi="Cambria Math"/>
                          <w:i/>
                          <w:szCs w:val="18"/>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szCs w:val="18"/>
                        </w:rPr>
                      </m:ctrlPr>
                    </m:accPr>
                    <m:e>
                      <m:r>
                        <w:rPr>
                          <w:rFonts w:ascii="Cambria Math" w:hAnsi="Cambria Math"/>
                        </w:rPr>
                        <m:t>x</m:t>
                      </m:r>
                    </m:e>
                  </m:acc>
                  <m:r>
                    <w:rPr>
                      <w:rFonts w:ascii="Cambria Math" w:hAnsi="Cambria Math"/>
                    </w:rPr>
                    <m:t>)</m:t>
                  </m:r>
                </m:e>
                <m:sup>
                  <m:r>
                    <w:rPr>
                      <w:rFonts w:ascii="Cambria Math" w:hAnsi="Cambria Math"/>
                    </w:rPr>
                    <m:t>2</m:t>
                  </m:r>
                </m:sup>
              </m:sSup>
              <m:r>
                <w:rPr>
                  <w:rFonts w:ascii="Cambria Math" w:hAnsi="Cambria Math"/>
                </w:rPr>
                <m:t>/n</m:t>
              </m:r>
            </m:den>
          </m:f>
          <m:nary>
            <m:naryPr>
              <m:chr m:val="∑"/>
              <m:limLoc m:val="subSup"/>
              <m:supHide m:val="1"/>
              <m:ctrlPr>
                <w:rPr>
                  <w:rFonts w:ascii="Cambria Math" w:hAnsi="Cambria Math"/>
                  <w:i/>
                  <w:iCs/>
                </w:rPr>
              </m:ctrlPr>
            </m:naryPr>
            <m:sub>
              <m:r>
                <w:rPr>
                  <w:rFonts w:ascii="Cambria Math" w:hAnsi="Cambria Math"/>
                </w:rPr>
                <m:t>j</m:t>
              </m:r>
            </m:sub>
            <m:sup/>
            <m:e>
              <m:sSub>
                <m:sSubPr>
                  <m:ctrlPr>
                    <w:rPr>
                      <w:rFonts w:ascii="Cambria Math" w:hAnsi="Cambria Math"/>
                      <w:i/>
                      <w:szCs w:val="18"/>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szCs w:val="18"/>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szCs w:val="18"/>
                    </w:rPr>
                  </m:ctrlPr>
                </m:accPr>
                <m:e>
                  <m:r>
                    <w:rPr>
                      <w:rFonts w:ascii="Cambria Math" w:hAnsi="Cambria Math"/>
                    </w:rPr>
                    <m:t>x</m:t>
                  </m:r>
                </m:e>
              </m:acc>
              <m:r>
                <w:rPr>
                  <w:rFonts w:ascii="Cambria Math" w:hAnsi="Cambria Math"/>
                </w:rPr>
                <m:t>)</m:t>
              </m:r>
            </m:e>
          </m:nary>
          <m:r>
            <w:rPr>
              <w:rFonts w:ascii="Cambria Math" w:hAnsi="Cambria Math"/>
            </w:rPr>
            <m:t>.  (2)</m:t>
          </m:r>
        </m:oMath>
      </m:oMathPara>
    </w:p>
    <w:p w14:paraId="6622A93A" w14:textId="43F6BA3B" w:rsidR="00987327" w:rsidRDefault="00AE6C6F" w:rsidP="00AE6C6F">
      <w:r>
        <w:t xml:space="preserve">The interpretation of local Moran’s I is </w:t>
      </w:r>
      <w:proofErr w:type="gramStart"/>
      <w:r>
        <w:t>similar t</w:t>
      </w:r>
      <w:r w:rsidR="00AE2BE7">
        <w:t>o</w:t>
      </w:r>
      <w:proofErr w:type="gramEnd"/>
      <w:r w:rsidR="00AE2BE7">
        <w:t xml:space="preserve"> that of the global Mora</w:t>
      </w:r>
      <w:r w:rsidR="00E61C56">
        <w:t>n’s I, except that in some cases</w:t>
      </w:r>
      <w:r w:rsidR="00AE2BE7">
        <w:t xml:space="preserve"> the values do not fall within the -1 to 1 range. </w:t>
      </w:r>
      <w:proofErr w:type="spellStart"/>
      <w:r w:rsidR="00AE2BE7">
        <w:t>Anselin</w:t>
      </w:r>
      <w:proofErr w:type="spellEnd"/>
      <w:r w:rsidR="00AE2BE7">
        <w:t xml:space="preserve"> </w:t>
      </w:r>
      <w:r w:rsidR="00312C0C">
        <w:fldChar w:fldCharType="begin"/>
      </w:r>
      <w:r w:rsidR="00357568">
        <w:instrText xml:space="preserve"> ADDIN ZOTERO_ITEM CSL_CITATION {"citationID":"BsKDuTWG","properties":{"formattedCitation":"(1995, p. 97)","plainCitation":"(1995, p. 97)","noteIndex":0},"citationItems":[{"id":507,"uris":["http://zotero.org/users/5499844/items/MFL3PQG8"],"uri":["http://zotero.org/users/5499844/items/MFL3PQG8"],"itemData":{"id":507,"type":"article-journal","title":"Local Indicators of Spatial Association-LISA","container-title":"Geographical Analysis","page":"93-115","volume":"27","issue":"2","source":"Crossref","DOI":"10.1111/j.1538-4632.1995.tb00338.x","ISSN":"00167363","language":"en","author":[{"family":"Anselin","given":"Luc"}],"issued":{"date-parts":[["1995",4]]}},"locator":"97","suppress-author":true}],"schema":"https://github.com/citation-style-language/schema/raw/master/csl-citation.json"} </w:instrText>
      </w:r>
      <w:r w:rsidR="00312C0C">
        <w:fldChar w:fldCharType="separate"/>
      </w:r>
      <w:r w:rsidR="00357568" w:rsidRPr="00357568">
        <w:t>(1995, p. 97)</w:t>
      </w:r>
      <w:r w:rsidR="00312C0C">
        <w:fldChar w:fldCharType="end"/>
      </w:r>
      <w:r w:rsidR="00312C0C">
        <w:t xml:space="preserve"> has suggested to use the values as indications of local “hot spo</w:t>
      </w:r>
      <w:r w:rsidR="00F07D9A">
        <w:t>t</w:t>
      </w:r>
      <w:r w:rsidR="00312C0C">
        <w:t>s”.</w:t>
      </w:r>
      <w:r w:rsidR="00987327">
        <w:t xml:space="preserve"> </w:t>
      </w:r>
    </w:p>
    <w:p w14:paraId="7F0E1493" w14:textId="5D567781" w:rsidR="00A005DF" w:rsidRPr="00A005DF" w:rsidRDefault="00AD62AA" w:rsidP="00040C07">
      <w:r>
        <w:t xml:space="preserve">For calculations of global and </w:t>
      </w:r>
      <w:r w:rsidR="009A46D1">
        <w:t xml:space="preserve">local </w:t>
      </w:r>
      <w:r>
        <w:t xml:space="preserve">spatial association the values of payments per capita are standardized in order to avoid scale dependence as </w:t>
      </w:r>
      <w:r w:rsidR="00312C0C">
        <w:t>proposed</w:t>
      </w:r>
      <w:r>
        <w:t xml:space="preserve"> by </w:t>
      </w:r>
      <w:proofErr w:type="spellStart"/>
      <w:r>
        <w:t>Anselin</w:t>
      </w:r>
      <w:proofErr w:type="spellEnd"/>
      <w:r>
        <w:t xml:space="preserve"> </w:t>
      </w:r>
      <w:r>
        <w:fldChar w:fldCharType="begin"/>
      </w:r>
      <w:r w:rsidR="00357568">
        <w:instrText xml:space="preserve"> ADDIN ZOTERO_ITEM CSL_CITATION {"citationID":"yujtwroa","properties":{"formattedCitation":"(1995, p. 95)","plainCitation":"(1995, p. 95)","noteIndex":0},"citationItems":[{"id":507,"uris":["http://zotero.org/users/5499844/items/MFL3PQG8"],"uri":["http://zotero.org/users/5499844/items/MFL3PQG8"],"itemData":{"id":507,"type":"article-journal","title":"Local Indicators of Spatial Association-LISA","container-title":"Geographical Analysis","page":"93-115","volume":"27","issue":"2","source":"Crossref","DOI":"10.1111/j.1538-4632.1995.tb00338.x","ISSN":"00167363","language":"en","author":[{"family":"Anselin","given":"Luc"}],"issued":{"date-parts":[["1995",4]]}},"locator":"95","suppress-author":true}],"schema":"https://github.com/citation-style-language/schema/raw/master/csl-citation.json"} </w:instrText>
      </w:r>
      <w:r>
        <w:fldChar w:fldCharType="separate"/>
      </w:r>
      <w:r w:rsidR="00357568" w:rsidRPr="00357568">
        <w:t>(1995, p. 95)</w:t>
      </w:r>
      <w:r>
        <w:fldChar w:fldCharType="end"/>
      </w:r>
      <w:r w:rsidR="00AE2BE7">
        <w:t xml:space="preserve">. </w:t>
      </w:r>
      <w:r w:rsidR="00E61C56">
        <w:t xml:space="preserve">This practice has also been applied by </w:t>
      </w:r>
      <w:proofErr w:type="spellStart"/>
      <w:r w:rsidR="00E61C56">
        <w:t>Dall’erba</w:t>
      </w:r>
      <w:proofErr w:type="spellEnd"/>
      <w:r w:rsidR="00E61C56">
        <w:t xml:space="preserve"> </w:t>
      </w:r>
      <w:r w:rsidR="00E61C56">
        <w:fldChar w:fldCharType="begin"/>
      </w:r>
      <w:r w:rsidR="00666BB3">
        <w:instrText xml:space="preserve"> ADDIN ZOTERO_ITEM CSL_CITATION {"citationID":"Vl9X7a78","properties":{"formattedCitation":"(2005)","plainCitation":"(2005)","noteIndex":0},"citationItems":[{"id":50,"uris":["http://zotero.org/users/5499844/items/TP28I6MB"],"uri":["http://zotero.org/users/5499844/items/TP28I6MB"],"itemData":{"id":50,"type":"article-journal","title":"Distribution of regional income and regional funds in Europe 1989–1999: An exploratory spatial data analysis","container-title":"The Annals of Regional Science","page":"121-148","volume":"39","issue":"1","source":"Crossref","abstract":"The eﬀorts of the European Commission to reduce regional inequalities over its territory continue to attract the attention of researchers. The purpose of this paper is to perform an exploratory investigation of the relationship between the spatial distribution of regional income and of regional development funds among 145 European regions over 1989–1999. Using a set of tools of spatial statistics, we ﬁrst detect the presence of global and local spatial autocorrelation in the distribution of regional per capita incomes, traducing that rich (poor) regions tend to be clustered close to other rich (poor) regions, and in the distribution of regional growth rate and regional funds. Second, the results of LISA statistics conclude to the presence of spatial heterogeneity in the form of two spatial clusters of rich and poor regions over the decade, highlighting the persistence of a signiﬁcant core-periphery pattern among European regions. Finally, an exploratory analysis reveals a negative correlation between growth and initial income, that tends to indicate b-convergence. A positive relationship between regional growth and structural funds is identiﬁed among the signiﬁcant results as well. Only Andalucia, Galicia and Sterea Ellada show atypical linkages. These results suggest that further research should include spatial eﬀects and the distribution of regional funds in the spatial econometric estimation of regional convergence in Europe.","DOI":"10.1007/s00168-004-0199-4","ISSN":"0570-1864, 1432-0592","title-short":"Distribution of regional income and regional funds in Europe 1989–1999","language":"en","author":[{"family":"Dall’erba","given":"Sandy"}],"issued":{"date-parts":[["2005",3]]}},"suppress-author":true}],"schema":"https://github.com/citation-style-language/schema/raw/master/csl-citation.json"} </w:instrText>
      </w:r>
      <w:r w:rsidR="00E61C56">
        <w:fldChar w:fldCharType="separate"/>
      </w:r>
      <w:r w:rsidR="00E61C56" w:rsidRPr="00E61C56">
        <w:t>(2005)</w:t>
      </w:r>
      <w:r w:rsidR="00E61C56">
        <w:fldChar w:fldCharType="end"/>
      </w:r>
      <w:r w:rsidR="00E61C56">
        <w:t xml:space="preserve">. </w:t>
      </w:r>
      <w:r w:rsidR="009A46D1">
        <w:t xml:space="preserve">Pseudo p-values are also calculated for these measures of spatial association. </w:t>
      </w:r>
      <w:r w:rsidR="00E64411">
        <w:t xml:space="preserve">We consider </w:t>
      </w:r>
      <w:r w:rsidR="00B86327">
        <w:t xml:space="preserve">a </w:t>
      </w:r>
      <w:r w:rsidR="00E64411">
        <w:t>p-value of 0.05 as a threshold for statistical significance.</w:t>
      </w:r>
    </w:p>
    <w:p w14:paraId="40BE8441" w14:textId="77777777" w:rsidR="00E512CF" w:rsidRPr="00B65973" w:rsidRDefault="00E512CF" w:rsidP="00921FDF">
      <w:pPr>
        <w:pStyle w:val="Pealkiri1"/>
        <w:rPr>
          <w:lang w:val="en-US"/>
        </w:rPr>
      </w:pPr>
      <w:r w:rsidRPr="00B65973">
        <w:rPr>
          <w:lang w:val="en-US"/>
        </w:rPr>
        <w:t>Results</w:t>
      </w:r>
    </w:p>
    <w:p w14:paraId="67E4848F" w14:textId="51B684D9" w:rsidR="00CC0FE3" w:rsidRDefault="00E61C56" w:rsidP="00921FDF">
      <w:pPr>
        <w:pStyle w:val="Pealkiri2"/>
        <w:rPr>
          <w:lang w:val="en-US"/>
        </w:rPr>
      </w:pPr>
      <w:r>
        <w:rPr>
          <w:lang w:val="en-US"/>
        </w:rPr>
        <w:t>Spatial autocorrelation</w:t>
      </w:r>
    </w:p>
    <w:p w14:paraId="268DBE23" w14:textId="05B3F276" w:rsidR="007376AA" w:rsidRDefault="00184FC1" w:rsidP="007376AA">
      <w:r>
        <w:t>The equation 1 and spatial weight matrix defined above was applied to determine global spatial association between NUTS2 regions in terms of per capita EAFRD payments. The value of resulting Moran’s I statistic was 0.458 with expected value of -0.004. With variance of 0.002, the value was statistically si</w:t>
      </w:r>
      <w:r w:rsidR="00BA315E">
        <w:t>gnificant. This result implies</w:t>
      </w:r>
      <w:r>
        <w:t xml:space="preserve"> </w:t>
      </w:r>
      <w:r w:rsidR="00BA315E">
        <w:t xml:space="preserve">a </w:t>
      </w:r>
      <w:r>
        <w:t>r</w:t>
      </w:r>
      <w:r w:rsidR="00BA315E">
        <w:t xml:space="preserve">ather high spatial concentration of EAFRD expenditure. </w:t>
      </w:r>
      <w:r w:rsidR="00A54A3B">
        <w:t>This r</w:t>
      </w:r>
      <w:r w:rsidR="00BC6B9B">
        <w:t xml:space="preserve">esult can be compared to </w:t>
      </w:r>
      <w:r w:rsidR="00470E17">
        <w:t xml:space="preserve">Crescenzi </w:t>
      </w:r>
      <w:r w:rsidR="00D03B8E">
        <w:t xml:space="preserve">et al. </w:t>
      </w:r>
      <w:r w:rsidR="00A54A3B">
        <w:fldChar w:fldCharType="begin"/>
      </w:r>
      <w:r w:rsidR="00D03B8E">
        <w:instrText xml:space="preserve"> ADDIN ZOTERO_ITEM CSL_CITATION {"citationID":"pUz7Hk56","properties":{"formattedCitation":"(2011)","plainCitation":"(2011)","noteIndex":0},"citationItems":[{"id":918,"uris":["http://zotero.org/users/5499844/items/3N2IM793"],"uri":["http://zotero.org/users/5499844/items/3N2IM793"],"itemData":{"id":918,"type":"report","title":"In tandem for cohesion? Synergies and conflicts between regional and agricultural policies of the European Union","collection-title":"LSE ‘Europe in Question’ Discussion Paper Series","page":"1-50","genre":"Discussion Paper","source":"Zotero","abstract":"The paper sets out to analyze the allocations of financial resources accruing to the European regions from the Regional, Rural Development and Agricultural policies of the European Union in order to assess their territorial coordination and synergies and their degree of compatibility with the \"general\" objective of territorial cohesion. Regression analysis is used to evaluate the relationship between allocated funds (dependent variable) and factors of territorial disadvantage (explanatory variables) covering the 20-year period 1994-2013 and approximately 90% of total Community expenditure. The analysis reveals that both coordination and compatibility with territorial cohesion of the various areas of Community policy have not always improved in response to major policy reforms. The territorial ‘vocation’ of overall Community spending is weakly linked to its distribution among different policies, but it crucially depends upon how each policy area defines appropriate allocation mechanisms and interventions, based upon the characteristics of each region and its ‘local’ needs.","number":"LEQS Paper No. 40/2011","language":"en","author":[{"family":"Crescenzi","given":"Riccardo"},{"family":"Filippis","given":"Fabrizio De"},{"family":"Pierangeli","given":"Fabio"}],"issued":{"date-parts":[["2011",7]]}},"suppress-author":true}],"schema":"https://github.com/citation-style-language/schema/raw/master/csl-citation.json"} </w:instrText>
      </w:r>
      <w:r w:rsidR="00A54A3B">
        <w:fldChar w:fldCharType="separate"/>
      </w:r>
      <w:r w:rsidR="00A54A3B" w:rsidRPr="00A54A3B">
        <w:t>(2011)</w:t>
      </w:r>
      <w:r w:rsidR="00A54A3B">
        <w:fldChar w:fldCharType="end"/>
      </w:r>
      <w:r w:rsidR="00A54A3B">
        <w:t xml:space="preserve"> who calculated the statistic for </w:t>
      </w:r>
      <w:r w:rsidR="00A10FEC">
        <w:t xml:space="preserve">per capita </w:t>
      </w:r>
      <w:r w:rsidR="00A54A3B">
        <w:t xml:space="preserve">Rural Development </w:t>
      </w:r>
      <w:r w:rsidR="00A10FEC">
        <w:t>expenditure</w:t>
      </w:r>
      <w:r w:rsidR="00A54A3B">
        <w:t xml:space="preserve"> of then still ongoing 2007-2013 programming period. Their estimate of the Moran’s I was considerably lower at 0.201. The difference can be explained by different levels of territorial aggregation. As </w:t>
      </w:r>
      <w:r w:rsidR="00470E17">
        <w:t xml:space="preserve">Crescenzi </w:t>
      </w:r>
      <w:r w:rsidR="00D03B8E">
        <w:t xml:space="preserve">et al. </w:t>
      </w:r>
      <w:r w:rsidR="00A54A3B">
        <w:fldChar w:fldCharType="begin"/>
      </w:r>
      <w:r w:rsidR="00D03B8E">
        <w:instrText xml:space="preserve"> ADDIN ZOTERO_ITEM CSL_CITATION {"citationID":"72amI89L","properties":{"formattedCitation":"(2011)","plainCitation":"(2011)","noteIndex":0},"citationItems":[{"id":918,"uris":["http://zotero.org/users/5499844/items/3N2IM793"],"uri":["http://zotero.org/users/5499844/items/3N2IM793"],"itemData":{"id":918,"type":"report","title":"In tandem for cohesion? Synergies and conflicts between regional and agricultural policies of the European Union","collection-title":"LSE ‘Europe in Question’ Discussion Paper Series","page":"1-50","genre":"Discussion Paper","source":"Zotero","abstract":"The paper sets out to analyze the allocations of financial resources accruing to the European regions from the Regional, Rural Development and Agricultural policies of the European Union in order to assess their territorial coordination and synergies and their degree of compatibility with the \"general\" objective of territorial cohesion. Regression analysis is used to evaluate the relationship between allocated funds (dependent variable) and factors of territorial disadvantage (explanatory variables) covering the 20-year period 1994-2013 and approximately 90% of total Community expenditure. The analysis reveals that both coordination and compatibility with territorial cohesion of the various areas of Community policy have not always improved in response to major policy reforms. The territorial ‘vocation’ of overall Community spending is weakly linked to its distribution among different policies, but it crucially depends upon how each policy area defines appropriate allocation mechanisms and interventions, based upon the characteristics of each region and its ‘local’ needs.","number":"LEQS Paper No. 40/2011","language":"en","author":[{"family":"Crescenzi","given":"Riccardo"},{"family":"Filippis","given":"Fabrizio De"},{"family":"Pierangeli","given":"Fabio"}],"issued":{"date-parts":[["2011",7]]}},"suppress-author":true}],"schema":"https://github.com/citation-style-language/schema/raw/master/csl-citation.json"} </w:instrText>
      </w:r>
      <w:r w:rsidR="00A54A3B">
        <w:fldChar w:fldCharType="separate"/>
      </w:r>
      <w:r w:rsidR="00A54A3B" w:rsidRPr="00A54A3B">
        <w:t>(2011)</w:t>
      </w:r>
      <w:r w:rsidR="00A54A3B">
        <w:fldChar w:fldCharType="end"/>
      </w:r>
      <w:r w:rsidR="00A54A3B">
        <w:t xml:space="preserve"> used country level data for </w:t>
      </w:r>
      <w:r w:rsidR="00A10FEC">
        <w:lastRenderedPageBreak/>
        <w:t>many</w:t>
      </w:r>
      <w:r w:rsidR="00A54A3B">
        <w:t xml:space="preserve"> </w:t>
      </w:r>
      <w:r w:rsidR="00A10FEC">
        <w:t>regions</w:t>
      </w:r>
      <w:r w:rsidR="00A54A3B">
        <w:t xml:space="preserve">, </w:t>
      </w:r>
      <w:r w:rsidR="00A10FEC">
        <w:t xml:space="preserve">their estimate is expected to be less precise in terms of capturing the </w:t>
      </w:r>
      <w:r w:rsidR="009A18FA">
        <w:t xml:space="preserve">true </w:t>
      </w:r>
      <w:r w:rsidR="00A10FEC">
        <w:t>territorial concentration.</w:t>
      </w:r>
    </w:p>
    <w:p w14:paraId="3CC72344" w14:textId="521900F1" w:rsidR="00975543" w:rsidRDefault="00501859" w:rsidP="007376AA">
      <w:r>
        <w:t xml:space="preserve">For each region a local measure of spatial association was calculated using the equation 2 above. </w:t>
      </w:r>
      <w:r w:rsidR="00862745">
        <w:t xml:space="preserve">The results are represented on figure 3. It is important to note that mostly just for regions with the value above 1 was the </w:t>
      </w:r>
      <w:r w:rsidR="00FC57C4">
        <w:t>value</w:t>
      </w:r>
      <w:r w:rsidR="00862745">
        <w:t xml:space="preserve"> also statistically significant. </w:t>
      </w:r>
      <w:r w:rsidR="00FC57C4">
        <w:t xml:space="preserve">Some areas and countries where the EAFRD expenditure tends to be concentrated can be highlighted: Northern regions of Finland, Baltic States, Eastern Poland, Austria, Hungary, Portugal and Greece. As expected, smaller urban NUTS2 regions are highly negatively correlated with surrounding regions, although the result is not statistically significant. </w:t>
      </w:r>
    </w:p>
    <w:p w14:paraId="0496C378" w14:textId="77777777" w:rsidR="004F399F" w:rsidRDefault="004F399F" w:rsidP="002B0402">
      <w:pPr>
        <w:jc w:val="center"/>
        <w:rPr>
          <w:noProof/>
          <w:lang w:val="et-EE" w:eastAsia="et-EE"/>
        </w:rPr>
      </w:pPr>
    </w:p>
    <w:p w14:paraId="07AB7702" w14:textId="390F7DED" w:rsidR="00975543" w:rsidRDefault="00BF2A19" w:rsidP="002B0402">
      <w:pPr>
        <w:jc w:val="center"/>
      </w:pPr>
      <w:r>
        <w:rPr>
          <w:noProof/>
          <w:lang w:val="et-EE" w:eastAsia="et-EE"/>
        </w:rPr>
        <w:drawing>
          <wp:inline distT="0" distB="0" distL="0" distR="0" wp14:anchorId="78B10982" wp14:editId="225EB2DC">
            <wp:extent cx="5715000" cy="4762500"/>
            <wp:effectExtent l="0" t="0" r="0" b="0"/>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580142EB" w14:textId="71994E80" w:rsidR="00975543" w:rsidRPr="00B65973" w:rsidRDefault="00975543" w:rsidP="00975543">
      <w:pPr>
        <w:pStyle w:val="Pealdis"/>
      </w:pPr>
      <w:r w:rsidRPr="00B65973">
        <w:t xml:space="preserve">Figure </w:t>
      </w:r>
      <w:r w:rsidRPr="00B65973">
        <w:fldChar w:fldCharType="begin"/>
      </w:r>
      <w:r w:rsidRPr="00B65973">
        <w:instrText xml:space="preserve"> SEQ Figure \* ARABIC </w:instrText>
      </w:r>
      <w:r w:rsidRPr="00B65973">
        <w:fldChar w:fldCharType="separate"/>
      </w:r>
      <w:r w:rsidR="00D71678">
        <w:rPr>
          <w:noProof/>
        </w:rPr>
        <w:t>2</w:t>
      </w:r>
      <w:r w:rsidRPr="00B65973">
        <w:fldChar w:fldCharType="end"/>
      </w:r>
      <w:r w:rsidRPr="00B65973">
        <w:t xml:space="preserve">. </w:t>
      </w:r>
      <w:r>
        <w:t>Values of local indicator of spatial association for NUTS2 regions based on standardized EAFRD expenditure per capita</w:t>
      </w:r>
      <w:r w:rsidR="003343A3">
        <w:t xml:space="preserve"> (2007-2014 averages)</w:t>
      </w:r>
      <w:r>
        <w:t>. Value above zero means positive correlation with neighboring regions and vice versa.</w:t>
      </w:r>
    </w:p>
    <w:p w14:paraId="43711E3E" w14:textId="77777777" w:rsidR="00975543" w:rsidRPr="00B65973" w:rsidRDefault="00975543" w:rsidP="00975543">
      <w:pPr>
        <w:pStyle w:val="Source"/>
      </w:pPr>
      <w:r w:rsidRPr="00B65973">
        <w:t>Source: Authors’ calculations based on Eurosta</w:t>
      </w:r>
      <w:r>
        <w:t>t and European Commission data.</w:t>
      </w:r>
    </w:p>
    <w:p w14:paraId="65959177" w14:textId="7B842621" w:rsidR="00A10FEC" w:rsidRPr="00EF7726" w:rsidRDefault="00EF7726" w:rsidP="007376AA">
      <w:r>
        <w:t xml:space="preserve">A spatial association also appears when standardized values of EAFRD per capita payments are plotted against their spatial lag, i.e. mean value of neighboring regions in our case (figure 3). </w:t>
      </w:r>
      <w:r w:rsidR="00716BAC">
        <w:t xml:space="preserve">Such </w:t>
      </w:r>
      <w:r w:rsidR="00716BAC">
        <w:lastRenderedPageBreak/>
        <w:t xml:space="preserve">plot can be divided into four quadrants which are separated by mean values of both variables so that each quadrant expresses a combination of a regions and its neighbors’ value </w:t>
      </w:r>
      <w:proofErr w:type="gramStart"/>
      <w:r w:rsidR="009A4867">
        <w:t>with regard</w:t>
      </w:r>
      <w:r w:rsidR="00716BAC">
        <w:t xml:space="preserve"> to</w:t>
      </w:r>
      <w:proofErr w:type="gramEnd"/>
      <w:r w:rsidR="00716BAC">
        <w:t xml:space="preserve"> global mean. </w:t>
      </w:r>
      <w:r>
        <w:t xml:space="preserve">Due to the positive skew of the distribution of regional expenditure, most regions are on the bottom left </w:t>
      </w:r>
      <w:r w:rsidR="00F82C05">
        <w:t>quadrant</w:t>
      </w:r>
      <w:r>
        <w:t xml:space="preserve"> where payments are lower than average</w:t>
      </w:r>
      <w:r w:rsidR="00F82C05">
        <w:t xml:space="preserve"> for a region as well as its neighbors. The regions that do not fall into </w:t>
      </w:r>
      <w:r w:rsidR="00711FD7">
        <w:t xml:space="preserve">expected quadrants (LL and HH) tend to have lower than average payments </w:t>
      </w:r>
      <w:r w:rsidR="009A4867">
        <w:t xml:space="preserve">themselves </w:t>
      </w:r>
      <w:r w:rsidR="00711FD7">
        <w:t xml:space="preserve">but </w:t>
      </w:r>
      <w:r w:rsidR="009A4867">
        <w:t xml:space="preserve">be surrounded by regions </w:t>
      </w:r>
      <w:r w:rsidR="00711FD7">
        <w:t>with above average payments rather than vice versa.</w:t>
      </w:r>
    </w:p>
    <w:p w14:paraId="5178A103" w14:textId="03D9F328" w:rsidR="007F6810" w:rsidRPr="00B65973" w:rsidRDefault="00BF2A19" w:rsidP="00911E21">
      <w:pPr>
        <w:keepNext/>
        <w:jc w:val="center"/>
      </w:pPr>
      <w:r>
        <w:rPr>
          <w:iCs/>
          <w:lang w:eastAsia="et-EE"/>
        </w:rPr>
        <w:pict w14:anchorId="19FFC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50.75pt;height:300pt">
            <v:imagedata r:id="rId11" o:title="map_scatter"/>
          </v:shape>
        </w:pict>
      </w:r>
    </w:p>
    <w:p w14:paraId="1BC5C237" w14:textId="3DB795E6" w:rsidR="007F6810" w:rsidRPr="00B65973" w:rsidRDefault="007F6810" w:rsidP="008A7BC8">
      <w:pPr>
        <w:pStyle w:val="Pealdis"/>
        <w:rPr>
          <w:iCs w:val="0"/>
          <w:lang w:eastAsia="et-EE"/>
        </w:rPr>
      </w:pPr>
      <w:r w:rsidRPr="00B65973">
        <w:rPr>
          <w:iCs w:val="0"/>
          <w:lang w:eastAsia="et-EE"/>
        </w:rPr>
        <w:t xml:space="preserve">Figure </w:t>
      </w:r>
      <w:r w:rsidRPr="00B65973">
        <w:rPr>
          <w:iCs w:val="0"/>
          <w:lang w:eastAsia="et-EE"/>
        </w:rPr>
        <w:fldChar w:fldCharType="begin"/>
      </w:r>
      <w:r w:rsidRPr="00B65973">
        <w:rPr>
          <w:iCs w:val="0"/>
          <w:lang w:eastAsia="et-EE"/>
        </w:rPr>
        <w:instrText xml:space="preserve"> SEQ Figure \* ARABIC </w:instrText>
      </w:r>
      <w:r w:rsidRPr="00B65973">
        <w:rPr>
          <w:iCs w:val="0"/>
          <w:lang w:eastAsia="et-EE"/>
        </w:rPr>
        <w:fldChar w:fldCharType="separate"/>
      </w:r>
      <w:r w:rsidR="00D71678">
        <w:rPr>
          <w:iCs w:val="0"/>
          <w:noProof/>
          <w:lang w:eastAsia="et-EE"/>
        </w:rPr>
        <w:t>3</w:t>
      </w:r>
      <w:r w:rsidRPr="00B65973">
        <w:rPr>
          <w:iCs w:val="0"/>
          <w:lang w:eastAsia="et-EE"/>
        </w:rPr>
        <w:fldChar w:fldCharType="end"/>
      </w:r>
      <w:r w:rsidRPr="00B65973">
        <w:rPr>
          <w:iCs w:val="0"/>
          <w:lang w:eastAsia="et-EE"/>
        </w:rPr>
        <w:t xml:space="preserve">. </w:t>
      </w:r>
      <w:r w:rsidR="007017B9" w:rsidRPr="007017B9">
        <w:rPr>
          <w:iCs w:val="0"/>
          <w:lang w:eastAsia="et-EE"/>
        </w:rPr>
        <w:t>S</w:t>
      </w:r>
      <w:r w:rsidR="008A7BC8" w:rsidRPr="007017B9">
        <w:rPr>
          <w:iCs w:val="0"/>
          <w:lang w:eastAsia="et-EE"/>
        </w:rPr>
        <w:t xml:space="preserve">catterplot of spatial autocorrelation </w:t>
      </w:r>
      <w:r w:rsidR="00B65973" w:rsidRPr="007017B9">
        <w:t>of</w:t>
      </w:r>
      <w:r w:rsidR="00A36DBF" w:rsidRPr="007017B9">
        <w:t xml:space="preserve"> N</w:t>
      </w:r>
      <w:r w:rsidR="00A36DBF" w:rsidRPr="00B65973">
        <w:t>UTS2 regions</w:t>
      </w:r>
      <w:r w:rsidR="00A36DBF" w:rsidRPr="00B65973">
        <w:rPr>
          <w:iCs w:val="0"/>
          <w:lang w:eastAsia="et-EE"/>
        </w:rPr>
        <w:t xml:space="preserve"> </w:t>
      </w:r>
      <w:r w:rsidR="008A7BC8" w:rsidRPr="00B65973">
        <w:rPr>
          <w:iCs w:val="0"/>
          <w:lang w:eastAsia="et-EE"/>
        </w:rPr>
        <w:t>of 2007-2014 average EAFRD payments per capita</w:t>
      </w:r>
      <w:r w:rsidR="008A7BC8" w:rsidRPr="00B65973">
        <w:t>.</w:t>
      </w:r>
      <w:r w:rsidR="00BA315E">
        <w:t xml:space="preserve"> Dotted lines</w:t>
      </w:r>
      <w:r w:rsidR="00053203">
        <w:t xml:space="preserve"> represent mean values, dashed line perfect correlation and solid line </w:t>
      </w:r>
      <w:proofErr w:type="gramStart"/>
      <w:r w:rsidR="00B27685">
        <w:t>is an approximation</w:t>
      </w:r>
      <w:r w:rsidR="00CC5943">
        <w:t xml:space="preserve"> of</w:t>
      </w:r>
      <w:proofErr w:type="gramEnd"/>
      <w:r w:rsidR="00CC5943">
        <w:t xml:space="preserve"> </w:t>
      </w:r>
      <w:r w:rsidR="00053203">
        <w:t>Moran’s I.</w:t>
      </w:r>
    </w:p>
    <w:p w14:paraId="0CB86E75" w14:textId="0CB5F08A" w:rsidR="00F21B57" w:rsidRDefault="00F21B57" w:rsidP="00DD152E">
      <w:pPr>
        <w:pStyle w:val="Source"/>
      </w:pPr>
      <w:r w:rsidRPr="00B65973">
        <w:t>Source: Authors’ calculations based on Eurostat and European Commission data.</w:t>
      </w:r>
    </w:p>
    <w:p w14:paraId="6B025B6D" w14:textId="03AC0794" w:rsidR="00040C07" w:rsidRDefault="00BC6B9B" w:rsidP="00040C07">
      <w:r>
        <w:t xml:space="preserve">The quadrants in figure 3 can be </w:t>
      </w:r>
      <w:r w:rsidR="00DE3BEC">
        <w:t>displayed</w:t>
      </w:r>
      <w:r>
        <w:t xml:space="preserve"> on a map to better illustrate their location in space (figure 4). </w:t>
      </w:r>
      <w:r w:rsidR="00DE3BEC">
        <w:t xml:space="preserve">Such plot expresses regional differences substantially better compared to just plotting raw values (figure 1). </w:t>
      </w:r>
      <w:r w:rsidR="00544BFD">
        <w:t xml:space="preserve">It becomes evident that regions with above average per capita </w:t>
      </w:r>
      <w:r w:rsidR="0059421A">
        <w:t>EAF</w:t>
      </w:r>
      <w:r w:rsidR="00544BFD">
        <w:t>RD regions tend be surrounded by</w:t>
      </w:r>
      <w:r w:rsidR="0059421A">
        <w:t xml:space="preserve"> other regions falling into the same</w:t>
      </w:r>
      <w:r w:rsidR="00544BFD">
        <w:t xml:space="preserve"> category and vice versa. </w:t>
      </w:r>
      <w:r w:rsidR="0059421A">
        <w:t>Regions receiving above average per capita EAFRD payments are usually located in the eastern part of the EU but also Iberian Peninsula and Ireland. Some exceptions are more urbanized areas and more particularly Western Poland which is located between</w:t>
      </w:r>
      <w:r w:rsidR="00F678B2">
        <w:t xml:space="preserve"> more highly supported rest of the Poland and Eastern Germany.</w:t>
      </w:r>
      <w:r w:rsidR="00250116">
        <w:t xml:space="preserve"> These results </w:t>
      </w:r>
      <w:r w:rsidR="0001558A">
        <w:t xml:space="preserve">overall </w:t>
      </w:r>
      <w:r w:rsidR="00D64B35">
        <w:t xml:space="preserve">confirm </w:t>
      </w:r>
      <w:proofErr w:type="spellStart"/>
      <w:r w:rsidR="00D64B35">
        <w:t>Bonfiglio</w:t>
      </w:r>
      <w:proofErr w:type="spellEnd"/>
      <w:r w:rsidR="00D64B35">
        <w:t xml:space="preserve"> </w:t>
      </w:r>
      <w:r w:rsidR="00D03B8E">
        <w:t xml:space="preserve">et al. </w:t>
      </w:r>
      <w:r w:rsidR="00D64B35">
        <w:fldChar w:fldCharType="begin"/>
      </w:r>
      <w:r w:rsidR="001E200C">
        <w:instrText xml:space="preserve"> ADDIN ZOTERO_ITEM CSL_CITATION {"citationID":"ge8Il3ws","properties":{"formattedCitation":"(2015)","plainCitation":"(2015)","noteIndex":0},"citationItems":[{"id":127,"uris":["http://zotero.org/users/5499844/items/LY2PC72U"],"uri":["http://zotero.org/users/5499844/items/LY2PC72U"],"itemData":{"id":127,"type":"paper-conference","title":"Distributional and Re-distributional Patterns of CAP Expenditure through the EU Space","publisher":"Italian Association of Agricultural and Applied Economics (AIEAA)","publisher-place":"Milan","page":"1-30","event":"29th ICAE - International Conference of Agricultural Economist \"Agriculture in an interconnected world\"","event-place":"Milan","abstract":"This paper is aimed at assessing distribution of Common Agricultural Policy (CAP) expenditure through the European Union (EU) space. Firstly, spatial distribution of past CAP expenditure is analysed, specifically 2007-2011 payments. Both overall expenditure and disentangled measures are investigated; major territorial patterns through the EU-27 are highlighted as well. Secondly, spatial distribution of future expenditure, according to latest 2014-2020 CAP reform, is analysed. In particular, we assess re-distributional effects connected with spatial spillovers that are due to regional economic integration. Assessment is made through the adoption of a multiregional I-O model. The analysis is carried out at a very high level of disaggregation, i.e. NUTS 3 level throughout the EU-27. Furthermore, a specific focus is devoted to rural-urban relationships.","author":[{"family":"Bonfiglio","given":"Andrea"},{"family":"Camaioni","given":"Beatrice"},{"family":"Esposti","given":"Roberto"},{"family":"Pagliacci","given":"Francesco"},{"family":"Sotte","given":"Franco"}],"issued":{"date-parts":[["2015",8]]}},"suppress-author":true}],"schema":"https://github.com/citation-style-language/schema/raw/master/csl-citation.json"} </w:instrText>
      </w:r>
      <w:r w:rsidR="00D64B35">
        <w:fldChar w:fldCharType="separate"/>
      </w:r>
      <w:r w:rsidR="00D64B35" w:rsidRPr="00D64B35">
        <w:t>(2015)</w:t>
      </w:r>
      <w:r w:rsidR="00D64B35">
        <w:fldChar w:fldCharType="end"/>
      </w:r>
      <w:r w:rsidR="00D64B35">
        <w:t xml:space="preserve"> in that Pillar 2 (EAFRD) expenditure intensity is higher in Scandinavia and </w:t>
      </w:r>
      <w:r w:rsidR="009A4867">
        <w:t xml:space="preserve">13 recently joined </w:t>
      </w:r>
      <w:r w:rsidR="005A1BAE">
        <w:t>Member State</w:t>
      </w:r>
      <w:r w:rsidR="00D64B35">
        <w:t xml:space="preserve">s while these countries receive relatively less payments from Pillar 1, referring to </w:t>
      </w:r>
      <w:r w:rsidR="0043565B">
        <w:t>Pillar 2</w:t>
      </w:r>
      <w:r w:rsidR="00D64B35">
        <w:t xml:space="preserve"> as a </w:t>
      </w:r>
      <w:r w:rsidR="002C6306">
        <w:t>mechanism to compensate some regions for lower Pillar 1 support.</w:t>
      </w:r>
    </w:p>
    <w:p w14:paraId="4C25F3DC" w14:textId="0CC27BBD" w:rsidR="00BE0930" w:rsidRDefault="00BF2A19" w:rsidP="00BC6B9B">
      <w:pPr>
        <w:jc w:val="center"/>
      </w:pPr>
      <w:r>
        <w:rPr>
          <w:iCs/>
          <w:noProof/>
          <w:lang w:val="et-EE" w:eastAsia="et-EE"/>
        </w:rPr>
        <w:lastRenderedPageBreak/>
        <w:drawing>
          <wp:inline distT="0" distB="0" distL="0" distR="0" wp14:anchorId="2BE20012" wp14:editId="6287BF4B">
            <wp:extent cx="5715000" cy="4762500"/>
            <wp:effectExtent l="0" t="0" r="0" b="0"/>
            <wp:docPr id="5" name="Pil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39FC5BC6" w14:textId="39DC4A86" w:rsidR="00BE0930" w:rsidRPr="00B65973" w:rsidRDefault="00BE0930" w:rsidP="00BE0930">
      <w:pPr>
        <w:pStyle w:val="Pealdis"/>
      </w:pPr>
      <w:r w:rsidRPr="00B65973">
        <w:t xml:space="preserve">Figure </w:t>
      </w:r>
      <w:r w:rsidRPr="00B65973">
        <w:fldChar w:fldCharType="begin"/>
      </w:r>
      <w:r w:rsidRPr="00B65973">
        <w:instrText xml:space="preserve"> SEQ Figure \* ARABIC </w:instrText>
      </w:r>
      <w:r w:rsidRPr="00B65973">
        <w:fldChar w:fldCharType="separate"/>
      </w:r>
      <w:r w:rsidR="00D71678">
        <w:rPr>
          <w:noProof/>
        </w:rPr>
        <w:t>4</w:t>
      </w:r>
      <w:r w:rsidRPr="00B65973">
        <w:fldChar w:fldCharType="end"/>
      </w:r>
      <w:r w:rsidRPr="00B65973">
        <w:t>. NUTS2 regions classified by their EAFRD payments</w:t>
      </w:r>
      <w:r>
        <w:t xml:space="preserve"> per capita</w:t>
      </w:r>
      <w:r w:rsidR="003343A3">
        <w:t xml:space="preserve"> (2007-2014 averages)</w:t>
      </w:r>
      <w:r w:rsidRPr="00B65973">
        <w:t xml:space="preserve"> relative to global average value and their neighbors’ values.</w:t>
      </w:r>
      <w:r>
        <w:t xml:space="preserve"> Colors represent expenditures relative to mean value </w:t>
      </w:r>
      <w:r w:rsidR="004A1361">
        <w:t xml:space="preserve">(H – higher, L – lower) </w:t>
      </w:r>
      <w:r>
        <w:t xml:space="preserve">of </w:t>
      </w:r>
      <w:r w:rsidR="004A1361">
        <w:t xml:space="preserve">a </w:t>
      </w:r>
      <w:r>
        <w:t xml:space="preserve">region </w:t>
      </w:r>
      <w:r w:rsidR="004A1361">
        <w:t>itself (first letter) and</w:t>
      </w:r>
      <w:r>
        <w:t xml:space="preserve"> its neighbors</w:t>
      </w:r>
      <w:r w:rsidR="004A1361">
        <w:t xml:space="preserve"> (second letter)</w:t>
      </w:r>
      <w:r>
        <w:t>.</w:t>
      </w:r>
    </w:p>
    <w:p w14:paraId="21599BF7" w14:textId="08866A33" w:rsidR="00BE0930" w:rsidRDefault="00BE0930" w:rsidP="00BE0930">
      <w:pPr>
        <w:pStyle w:val="Source"/>
      </w:pPr>
      <w:r w:rsidRPr="00B65973">
        <w:t>Source: Authors’ calculations based on Eurosta</w:t>
      </w:r>
      <w:r>
        <w:t>t and European Commission data.</w:t>
      </w:r>
    </w:p>
    <w:p w14:paraId="7CBB0608" w14:textId="6E53561E" w:rsidR="00A1798D" w:rsidRDefault="00086EFB" w:rsidP="00470E17">
      <w:r>
        <w:t>Due to substantial reforms during the past decades, r</w:t>
      </w:r>
      <w:r w:rsidR="00D05C85">
        <w:t xml:space="preserve">ural development support of CAP has become more </w:t>
      </w:r>
      <w:r>
        <w:t>concentrated</w:t>
      </w:r>
      <w:r w:rsidR="00D05C85">
        <w:t xml:space="preserve">, especially after implementation of Pillar 2 </w:t>
      </w:r>
      <w:r>
        <w:t xml:space="preserve">in 2000 </w:t>
      </w:r>
      <w:r w:rsidR="00D05C85">
        <w:t xml:space="preserve">that </w:t>
      </w:r>
      <w:r>
        <w:t xml:space="preserve">introduced a higher territorial focus </w:t>
      </w:r>
      <w:r>
        <w:fldChar w:fldCharType="begin"/>
      </w:r>
      <w:r w:rsidR="00357568">
        <w:instrText xml:space="preserve"> ADDIN ZOTERO_ITEM CSL_CITATION {"citationID":"OluAn8ad","properties":{"formattedCitation":"(Dwyer et al., 2007)","plainCitation":"(Dwyer et al., 2007)","noteIndex":0},"citationItems":[{"id":666,"uris":["http://zotero.org/users/5499844/items/6Q6VVHCS"],"uri":["http://zotero.org/users/5499844/items/6Q6VVHCS"],"itemData":{"id":666,"type":"article-journal","title":"European Rural Development under the Common Agricultural Policy's ‘Second Pillar’: Institutional Conservatism and Innovation","container-title":"Regional Studies","page":"873-888","volume":"41","issue":"7","source":"Crossref","DOI":"10.1080/00343400601142795","ISSN":"0034-3404, 1360-0591","title-short":"European Rural Development under the Common Agricultural Policy's ‘Second Pillar’","language":"en","author":[{"family":"Dwyer","given":"Janet"},{"family":"Ward","given":"Neil"},{"family":"Lowe","given":"Philip"},{"family":"Baldock","given":"David"}],"issued":{"date-parts":[["2007",10]]}}}],"schema":"https://github.com/citation-style-language/schema/raw/master/csl-citation.json"} </w:instrText>
      </w:r>
      <w:r>
        <w:fldChar w:fldCharType="separate"/>
      </w:r>
      <w:r w:rsidR="00357568" w:rsidRPr="00357568">
        <w:t>(Dwyer et al., 2007)</w:t>
      </w:r>
      <w:r>
        <w:fldChar w:fldCharType="end"/>
      </w:r>
      <w:r>
        <w:t xml:space="preserve">. </w:t>
      </w:r>
      <w:r w:rsidR="00A1798D">
        <w:t xml:space="preserve">Our estimations of territorial concentration of per capita EAFRD expenditure do not confirm this (figure 5). There is no clear trend for the period of 1993-2014 as for most of the years of this period the indicator of spatial association remained between 0.4 and 0.6. </w:t>
      </w:r>
      <w:r w:rsidR="007F532C">
        <w:t xml:space="preserve">Lower values can be explained by </w:t>
      </w:r>
      <w:r w:rsidR="002876F1">
        <w:t>transitions</w:t>
      </w:r>
      <w:r w:rsidR="007F532C">
        <w:t xml:space="preserve"> of programming periods </w:t>
      </w:r>
      <w:r w:rsidR="002876F1">
        <w:t xml:space="preserve">when payments </w:t>
      </w:r>
      <w:r w:rsidR="00537573">
        <w:t xml:space="preserve">from previous period were mostly </w:t>
      </w:r>
      <w:r w:rsidR="00843317">
        <w:t>disbursed</w:t>
      </w:r>
      <w:r w:rsidR="00537573">
        <w:t xml:space="preserve"> but payments fro</w:t>
      </w:r>
      <w:r w:rsidR="001D6549">
        <w:t>m new period were not yet paid, resulting in overall lower amount of payments.</w:t>
      </w:r>
      <w:r w:rsidR="00843317">
        <w:t xml:space="preserve"> Our results are </w:t>
      </w:r>
      <w:r w:rsidR="00470E17">
        <w:t xml:space="preserve">not consistent with </w:t>
      </w:r>
      <w:r w:rsidR="009A18FA">
        <w:t>Cre</w:t>
      </w:r>
      <w:r w:rsidR="00470E17">
        <w:t xml:space="preserve">scenzi </w:t>
      </w:r>
      <w:r w:rsidR="00D03B8E">
        <w:t xml:space="preserve">et al. </w:t>
      </w:r>
      <w:r w:rsidR="00470E17">
        <w:fldChar w:fldCharType="begin"/>
      </w:r>
      <w:r w:rsidR="00357568">
        <w:instrText xml:space="preserve"> ADDIN ZOTERO_ITEM CSL_CITATION {"citationID":"q91kqTDm","properties":{"formattedCitation":"(2011, pp. 23\\uc0\\u8211{}24)","plainCitation":"(2011, pp. 23–24)","noteIndex":0},"citationItems":[{"id":918,"uris":["http://zotero.org/users/5499844/items/3N2IM793"],"uri":["http://zotero.org/users/5499844/items/3N2IM793"],"itemData":{"id":918,"type":"report","title":"In tandem for cohesion? Synergies and conflicts between regional and agricultural policies of the European Union","collection-title":"LSE ‘Europe in Question’ Discussion Paper Series","page":"1-50","genre":"Discussion Paper","source":"Zotero","abstract":"The paper sets out to analyze the allocations of financial resources accruing to the European regions from the Regional, Rural Development and Agricultural policies of the European Union in order to assess their territorial coordination and synergies and their degree of compatibility with the \"general\" objective of territorial cohesion. Regression analysis is used to evaluate the relationship between allocated funds (dependent variable) and factors of territorial disadvantage (explanatory variables) covering the 20-year period 1994-2013 and approximately 90% of total Community expenditure. The analysis reveals that both coordination and compatibility with territorial cohesion of the various areas of Community policy have not always improved in response to major policy reforms. The territorial ‘vocation’ of overall Community spending is weakly linked to its distribution among different policies, but it crucially depends upon how each policy area defines appropriate allocation mechanisms and interventions, based upon the characteristics of each region and its ‘local’ needs.","number":"LEQS Paper No. 40/2011","language":"en","author":[{"family":"Crescenzi","given":"Riccardo"},{"family":"Filippis","given":"Fabrizio De"},{"family":"Pierangeli","given":"Fabio"}],"issued":{"date-parts":[["2011",7]]}},"locator":"23-24","suppress-author":true}],"schema":"https://github.com/citation-style-language/schema/raw/master/csl-citation.json"} </w:instrText>
      </w:r>
      <w:r w:rsidR="00470E17">
        <w:fldChar w:fldCharType="separate"/>
      </w:r>
      <w:r w:rsidR="00357568" w:rsidRPr="00357568">
        <w:t>(2011, pp. 23–24)</w:t>
      </w:r>
      <w:r w:rsidR="00470E17">
        <w:fldChar w:fldCharType="end"/>
      </w:r>
      <w:r w:rsidR="00470E17">
        <w:t xml:space="preserve"> who estimated Moran’s I of CAP rural development payments to be increasing during the same period and concluded that the policy has an increasing focus on specific areas.</w:t>
      </w:r>
    </w:p>
    <w:p w14:paraId="2181D095" w14:textId="32E38B6E" w:rsidR="008D786F" w:rsidRPr="00B65973" w:rsidRDefault="00BF2A19" w:rsidP="00911E21">
      <w:pPr>
        <w:keepNext/>
        <w:jc w:val="center"/>
      </w:pPr>
      <w:r>
        <w:rPr>
          <w:iCs/>
        </w:rPr>
        <w:lastRenderedPageBreak/>
        <w:pict w14:anchorId="5E68C118">
          <v:shape id="_x0000_i1040" type="#_x0000_t75" style="width:450.75pt;height:300pt">
            <v:imagedata r:id="rId13" o:title="moransi"/>
          </v:shape>
        </w:pict>
      </w:r>
    </w:p>
    <w:p w14:paraId="0C2B9CDA" w14:textId="255C30F9" w:rsidR="00DC3B52" w:rsidRPr="00B65973" w:rsidRDefault="008D786F" w:rsidP="008D786F">
      <w:pPr>
        <w:pStyle w:val="Pealdis"/>
      </w:pPr>
      <w:r w:rsidRPr="00B65973">
        <w:t xml:space="preserve">Figure </w:t>
      </w:r>
      <w:r w:rsidRPr="00B65973">
        <w:fldChar w:fldCharType="begin"/>
      </w:r>
      <w:r w:rsidRPr="00B65973">
        <w:instrText xml:space="preserve"> SEQ Figure \* ARABIC </w:instrText>
      </w:r>
      <w:r w:rsidRPr="00B65973">
        <w:fldChar w:fldCharType="separate"/>
      </w:r>
      <w:r w:rsidR="00D71678">
        <w:rPr>
          <w:noProof/>
        </w:rPr>
        <w:t>5</w:t>
      </w:r>
      <w:r w:rsidRPr="00B65973">
        <w:fldChar w:fldCharType="end"/>
      </w:r>
      <w:r w:rsidRPr="00B65973">
        <w:t>.</w:t>
      </w:r>
      <w:r w:rsidR="003945DC" w:rsidRPr="00B65973">
        <w:t xml:space="preserve"> </w:t>
      </w:r>
      <w:r w:rsidR="00D3781D">
        <w:t>Global s</w:t>
      </w:r>
      <w:r w:rsidR="003945DC" w:rsidRPr="00B65973">
        <w:t xml:space="preserve">patial autocorrelation (Moran’s I) </w:t>
      </w:r>
      <w:r w:rsidR="00B65973" w:rsidRPr="00B65973">
        <w:t xml:space="preserve">of NUTS2 regions </w:t>
      </w:r>
      <w:r w:rsidR="003945DC" w:rsidRPr="00B65973">
        <w:t xml:space="preserve">of EAGGF (1993-2006) and EAFRD (2007-2014) </w:t>
      </w:r>
      <w:r w:rsidR="00791E1C">
        <w:t xml:space="preserve">per capita </w:t>
      </w:r>
      <w:r w:rsidR="003945DC" w:rsidRPr="00B65973">
        <w:t>payments in 1993-2014.</w:t>
      </w:r>
      <w:r w:rsidR="00A65F7C">
        <w:t xml:space="preserve"> Dotted lines represent the beginnings of programming periods.</w:t>
      </w:r>
    </w:p>
    <w:p w14:paraId="002D1DEF" w14:textId="77777777" w:rsidR="00CC0FE3" w:rsidRPr="00B65973" w:rsidRDefault="00DC3B52" w:rsidP="00DD152E">
      <w:pPr>
        <w:pStyle w:val="Source"/>
      </w:pPr>
      <w:r w:rsidRPr="00B65973">
        <w:t>Source: Authors’ calculations based on Eurostat and European Commission data.</w:t>
      </w:r>
    </w:p>
    <w:p w14:paraId="5DE1F8EB" w14:textId="04383FD3" w:rsidR="00DC3B52" w:rsidRDefault="00F8468E" w:rsidP="00DC3B52">
      <w:pPr>
        <w:pStyle w:val="Pealkiri2"/>
        <w:rPr>
          <w:lang w:val="en-US"/>
        </w:rPr>
      </w:pPr>
      <w:r w:rsidRPr="00B65973">
        <w:rPr>
          <w:lang w:val="en-US"/>
        </w:rPr>
        <w:t xml:space="preserve">Correlations with </w:t>
      </w:r>
      <w:r w:rsidR="00C63D2C" w:rsidRPr="00B65973">
        <w:rPr>
          <w:lang w:val="en-US"/>
        </w:rPr>
        <w:t>regional characteristics</w:t>
      </w:r>
    </w:p>
    <w:p w14:paraId="7CF53619" w14:textId="5C629EF2" w:rsidR="00FF6229" w:rsidRPr="00FF6229" w:rsidRDefault="00E063B0" w:rsidP="00FF6229">
      <w:r>
        <w:t>All</w:t>
      </w:r>
      <w:r w:rsidR="009063B6">
        <w:t xml:space="preserve"> the relationships between per capita EAFRD expenditure and characteristics of regions have expected direction, although not all correlations are statistically significant (table 1).</w:t>
      </w:r>
      <w:r w:rsidR="00D77C84">
        <w:t xml:space="preserve"> While the payments do not appear to be related to unemployment, they have a moderate inverse correlation with economic development (GDP per capita). </w:t>
      </w:r>
      <w:r w:rsidR="00264176">
        <w:t>Prominence of s</w:t>
      </w:r>
      <w:r w:rsidR="00D77C84">
        <w:t xml:space="preserve">mall farming seems to be </w:t>
      </w:r>
      <w:r w:rsidR="00C96FC5">
        <w:t xml:space="preserve">increasingly </w:t>
      </w:r>
      <w:r w:rsidR="00D77C84">
        <w:t xml:space="preserve">associated </w:t>
      </w:r>
      <w:r w:rsidR="00C96FC5">
        <w:t xml:space="preserve">with higher payments. Share of agricultural area owned by small farms is not significantly related to the payments. </w:t>
      </w:r>
      <w:r w:rsidR="006828CC">
        <w:t xml:space="preserve">Correlation with employment in agriculture, forestry and fishery has been increasing rapidly during the 2007-2013 programming period which might be due to enlargement of 2007 </w:t>
      </w:r>
      <w:r w:rsidR="009A4867">
        <w:t>that</w:t>
      </w:r>
      <w:r w:rsidR="006828CC">
        <w:t xml:space="preserve"> introduced </w:t>
      </w:r>
      <w:proofErr w:type="gramStart"/>
      <w:r w:rsidR="006828CC">
        <w:t>a number of</w:t>
      </w:r>
      <w:proofErr w:type="gramEnd"/>
      <w:r w:rsidR="006828CC">
        <w:t xml:space="preserve"> </w:t>
      </w:r>
      <w:r w:rsidR="00264176">
        <w:t xml:space="preserve">highly </w:t>
      </w:r>
      <w:r w:rsidR="006828CC">
        <w:t xml:space="preserve">agricultural regions. This might also explain the fact that payments </w:t>
      </w:r>
      <w:r w:rsidR="006C0FD8">
        <w:t>are</w:t>
      </w:r>
      <w:r w:rsidR="006828CC">
        <w:t xml:space="preserve"> correlated to</w:t>
      </w:r>
      <w:r w:rsidR="009A4867">
        <w:t xml:space="preserve"> the</w:t>
      </w:r>
      <w:r w:rsidR="006828CC">
        <w:t xml:space="preserve"> share of small agricultural holdings only since 2010. </w:t>
      </w:r>
      <w:r w:rsidR="006C0FD8">
        <w:t xml:space="preserve">Investments into agriculture, forestry and fishery also indicate an increasing association with the payments. There is reason to expect that these investments are to a large extent </w:t>
      </w:r>
      <w:r w:rsidR="00703B25">
        <w:t xml:space="preserve">induced by the EAFRD expenditure and not the other way around. </w:t>
      </w:r>
      <w:r w:rsidR="00ED68B7">
        <w:t xml:space="preserve">Finally, the payments are associated with share of organic holdings as well as the share of their area </w:t>
      </w:r>
      <w:r w:rsidR="00586467">
        <w:t>in</w:t>
      </w:r>
      <w:r w:rsidR="00ED68B7">
        <w:t xml:space="preserve"> total agricultural area in a respective region. </w:t>
      </w:r>
      <w:r w:rsidR="00F60323">
        <w:t xml:space="preserve">Somewhat unexpectedly, this correlation has been substantially decreasing over the period, suggesting a decreasing focus of EAFRD payments on organic farming. </w:t>
      </w:r>
    </w:p>
    <w:p w14:paraId="411737D3" w14:textId="3671A180" w:rsidR="008D786F" w:rsidRPr="00B65973" w:rsidRDefault="008D786F" w:rsidP="008D786F">
      <w:pPr>
        <w:pStyle w:val="Pealdis"/>
        <w:keepNext/>
      </w:pPr>
      <w:bookmarkStart w:id="2" w:name="_Ref8211217"/>
      <w:r w:rsidRPr="00B65973">
        <w:lastRenderedPageBreak/>
        <w:t xml:space="preserve">Table </w:t>
      </w:r>
      <w:r w:rsidRPr="00B65973">
        <w:fldChar w:fldCharType="begin"/>
      </w:r>
      <w:r w:rsidRPr="00B65973">
        <w:instrText xml:space="preserve"> SEQ Table \* ARABIC </w:instrText>
      </w:r>
      <w:r w:rsidRPr="00B65973">
        <w:fldChar w:fldCharType="separate"/>
      </w:r>
      <w:r w:rsidR="00D71678">
        <w:rPr>
          <w:noProof/>
        </w:rPr>
        <w:t>1</w:t>
      </w:r>
      <w:r w:rsidRPr="00B65973">
        <w:fldChar w:fldCharType="end"/>
      </w:r>
      <w:bookmarkEnd w:id="2"/>
      <w:r w:rsidRPr="00B65973">
        <w:t>.</w:t>
      </w:r>
      <w:r w:rsidR="00F8468E" w:rsidRPr="00B65973">
        <w:t xml:space="preserve"> </w:t>
      </w:r>
      <w:r w:rsidR="00AD1AC6">
        <w:t>Correlation between EAFRD payments per capita and various</w:t>
      </w:r>
      <w:r w:rsidR="00B449E7">
        <w:t xml:space="preserve"> indicators</w:t>
      </w:r>
      <w:r w:rsidR="00AD1AC6">
        <w:t xml:space="preserve"> </w:t>
      </w:r>
      <w:r w:rsidR="00B449E7">
        <w:t>at NUTS2 level</w:t>
      </w:r>
      <w:r w:rsidR="00AD1AC6">
        <w:t xml:space="preserve">. </w:t>
      </w:r>
      <w:r w:rsidR="00B449E7">
        <w:t xml:space="preserve">Reported values represent </w:t>
      </w:r>
      <w:r w:rsidR="00F8468E" w:rsidRPr="00B65973">
        <w:t>Pearson</w:t>
      </w:r>
      <w:r w:rsidR="003945DC" w:rsidRPr="00B65973">
        <w:t xml:space="preserve"> correlation coefficient</w:t>
      </w:r>
      <w:r w:rsidR="00C65DC7">
        <w:t>s</w:t>
      </w:r>
      <w:r w:rsidR="003945DC" w:rsidRPr="00B65973">
        <w:t xml:space="preserve"> (r) and </w:t>
      </w:r>
      <w:r w:rsidR="00C65DC7">
        <w:t>their</w:t>
      </w:r>
      <w:r w:rsidR="003945DC" w:rsidRPr="00B65973">
        <w:t xml:space="preserve"> statistical significance (p). </w:t>
      </w:r>
      <w:r w:rsidR="007541DE">
        <w:t>See table A1 for summary statistics.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07"/>
        <w:gridCol w:w="858"/>
        <w:gridCol w:w="842"/>
        <w:gridCol w:w="857"/>
        <w:gridCol w:w="846"/>
        <w:gridCol w:w="857"/>
        <w:gridCol w:w="1139"/>
      </w:tblGrid>
      <w:tr w:rsidR="00C43CD9" w:rsidRPr="00B65973" w14:paraId="5985561F" w14:textId="77777777" w:rsidTr="00DC3B52">
        <w:trPr>
          <w:tblCellSpacing w:w="15" w:type="dxa"/>
        </w:trPr>
        <w:tc>
          <w:tcPr>
            <w:tcW w:w="4968" w:type="pct"/>
            <w:gridSpan w:val="7"/>
            <w:tcBorders>
              <w:bottom w:val="single" w:sz="6" w:space="0" w:color="000000"/>
            </w:tcBorders>
            <w:vAlign w:val="center"/>
            <w:hideMark/>
          </w:tcPr>
          <w:p w14:paraId="32C56375" w14:textId="77777777" w:rsidR="00C43CD9" w:rsidRPr="00B65973" w:rsidRDefault="00C43CD9" w:rsidP="00F8468E">
            <w:pPr>
              <w:pStyle w:val="Table"/>
              <w:contextualSpacing/>
              <w:rPr>
                <w:szCs w:val="24"/>
                <w:lang w:val="en-US"/>
              </w:rPr>
            </w:pPr>
          </w:p>
        </w:tc>
      </w:tr>
      <w:tr w:rsidR="00C43CD9" w:rsidRPr="00B65973" w14:paraId="709EC239" w14:textId="77777777" w:rsidTr="008D786F">
        <w:trPr>
          <w:tblCellSpacing w:w="15" w:type="dxa"/>
        </w:trPr>
        <w:tc>
          <w:tcPr>
            <w:tcW w:w="2148" w:type="pct"/>
            <w:vAlign w:val="center"/>
          </w:tcPr>
          <w:p w14:paraId="6B45BC33" w14:textId="77777777" w:rsidR="00C43CD9" w:rsidRPr="00B65973" w:rsidRDefault="00C43CD9" w:rsidP="00F8468E">
            <w:pPr>
              <w:pStyle w:val="Table"/>
              <w:contextualSpacing/>
              <w:rPr>
                <w:szCs w:val="24"/>
                <w:lang w:val="en-US"/>
              </w:rPr>
            </w:pPr>
          </w:p>
        </w:tc>
        <w:tc>
          <w:tcPr>
            <w:tcW w:w="889" w:type="pct"/>
            <w:gridSpan w:val="2"/>
          </w:tcPr>
          <w:p w14:paraId="6D51E1AB" w14:textId="77777777" w:rsidR="00C43CD9" w:rsidRPr="00B65973" w:rsidRDefault="00C43CD9" w:rsidP="00F8468E">
            <w:pPr>
              <w:pStyle w:val="Table"/>
              <w:contextualSpacing/>
              <w:jc w:val="center"/>
              <w:rPr>
                <w:b/>
                <w:color w:val="000000"/>
                <w:szCs w:val="24"/>
                <w:lang w:val="en-US"/>
              </w:rPr>
            </w:pPr>
            <w:r w:rsidRPr="00B65973">
              <w:rPr>
                <w:b/>
                <w:color w:val="000000"/>
                <w:szCs w:val="24"/>
                <w:lang w:val="en-US"/>
              </w:rPr>
              <w:t>2007</w:t>
            </w:r>
          </w:p>
        </w:tc>
        <w:tc>
          <w:tcPr>
            <w:tcW w:w="890" w:type="pct"/>
            <w:gridSpan w:val="2"/>
          </w:tcPr>
          <w:p w14:paraId="794B41BF" w14:textId="77777777" w:rsidR="00C43CD9" w:rsidRPr="00B65973" w:rsidRDefault="00C43CD9" w:rsidP="00F8468E">
            <w:pPr>
              <w:pStyle w:val="Table"/>
              <w:contextualSpacing/>
              <w:jc w:val="center"/>
              <w:rPr>
                <w:b/>
                <w:color w:val="000000"/>
                <w:szCs w:val="24"/>
                <w:lang w:val="en-US"/>
              </w:rPr>
            </w:pPr>
            <w:r w:rsidRPr="00B65973">
              <w:rPr>
                <w:b/>
                <w:color w:val="000000"/>
                <w:szCs w:val="24"/>
                <w:lang w:val="en-US"/>
              </w:rPr>
              <w:t>2010</w:t>
            </w:r>
          </w:p>
        </w:tc>
        <w:tc>
          <w:tcPr>
            <w:tcW w:w="993" w:type="pct"/>
            <w:gridSpan w:val="2"/>
          </w:tcPr>
          <w:p w14:paraId="57263A7D" w14:textId="77777777" w:rsidR="00C43CD9" w:rsidRPr="00B65973" w:rsidRDefault="00C43CD9" w:rsidP="00F8468E">
            <w:pPr>
              <w:pStyle w:val="Table"/>
              <w:contextualSpacing/>
              <w:jc w:val="center"/>
              <w:rPr>
                <w:b/>
                <w:color w:val="000000"/>
                <w:szCs w:val="24"/>
                <w:lang w:val="en-US"/>
              </w:rPr>
            </w:pPr>
            <w:r w:rsidRPr="00B65973">
              <w:rPr>
                <w:b/>
                <w:color w:val="000000"/>
                <w:szCs w:val="24"/>
                <w:lang w:val="en-US"/>
              </w:rPr>
              <w:t>2013</w:t>
            </w:r>
          </w:p>
        </w:tc>
      </w:tr>
      <w:tr w:rsidR="00C43CD9" w:rsidRPr="00B65973" w14:paraId="4D8A9A37" w14:textId="77777777" w:rsidTr="008D786F">
        <w:trPr>
          <w:tblCellSpacing w:w="15" w:type="dxa"/>
        </w:trPr>
        <w:tc>
          <w:tcPr>
            <w:tcW w:w="2148" w:type="pct"/>
            <w:hideMark/>
          </w:tcPr>
          <w:p w14:paraId="158DE55E" w14:textId="77777777" w:rsidR="00C43CD9" w:rsidRPr="00B65973" w:rsidRDefault="00C43CD9" w:rsidP="00F8468E">
            <w:pPr>
              <w:pStyle w:val="Table"/>
              <w:contextualSpacing/>
              <w:jc w:val="center"/>
              <w:rPr>
                <w:szCs w:val="24"/>
                <w:lang w:val="en-US"/>
              </w:rPr>
            </w:pPr>
          </w:p>
        </w:tc>
        <w:tc>
          <w:tcPr>
            <w:tcW w:w="449" w:type="pct"/>
            <w:hideMark/>
          </w:tcPr>
          <w:p w14:paraId="7FA506E9" w14:textId="77777777" w:rsidR="00C43CD9" w:rsidRPr="00B65973" w:rsidRDefault="00C43CD9" w:rsidP="00F8468E">
            <w:pPr>
              <w:pStyle w:val="Table"/>
              <w:contextualSpacing/>
              <w:jc w:val="center"/>
              <w:rPr>
                <w:color w:val="000000"/>
                <w:szCs w:val="24"/>
                <w:lang w:val="en-US"/>
              </w:rPr>
            </w:pPr>
            <w:r w:rsidRPr="00B65973">
              <w:rPr>
                <w:color w:val="000000"/>
                <w:szCs w:val="24"/>
                <w:lang w:val="en-US"/>
              </w:rPr>
              <w:t>r</w:t>
            </w:r>
          </w:p>
        </w:tc>
        <w:tc>
          <w:tcPr>
            <w:tcW w:w="425" w:type="pct"/>
            <w:hideMark/>
          </w:tcPr>
          <w:p w14:paraId="79070896" w14:textId="77777777" w:rsidR="00C43CD9" w:rsidRPr="00B65973" w:rsidRDefault="00C43CD9" w:rsidP="00F8468E">
            <w:pPr>
              <w:pStyle w:val="Table"/>
              <w:contextualSpacing/>
              <w:jc w:val="center"/>
              <w:rPr>
                <w:color w:val="000000"/>
                <w:szCs w:val="24"/>
                <w:lang w:val="en-US"/>
              </w:rPr>
            </w:pPr>
            <w:r w:rsidRPr="00B65973">
              <w:rPr>
                <w:color w:val="000000"/>
                <w:szCs w:val="24"/>
                <w:lang w:val="en-US"/>
              </w:rPr>
              <w:t>p</w:t>
            </w:r>
          </w:p>
        </w:tc>
        <w:tc>
          <w:tcPr>
            <w:tcW w:w="448" w:type="pct"/>
            <w:hideMark/>
          </w:tcPr>
          <w:p w14:paraId="1DE14AB8" w14:textId="77777777" w:rsidR="00C43CD9" w:rsidRPr="00B65973" w:rsidRDefault="00C43CD9" w:rsidP="00F8468E">
            <w:pPr>
              <w:pStyle w:val="Table"/>
              <w:contextualSpacing/>
              <w:jc w:val="center"/>
              <w:rPr>
                <w:color w:val="000000"/>
                <w:szCs w:val="24"/>
                <w:lang w:val="en-US"/>
              </w:rPr>
            </w:pPr>
            <w:r w:rsidRPr="00B65973">
              <w:rPr>
                <w:color w:val="000000"/>
                <w:szCs w:val="24"/>
                <w:lang w:val="en-US"/>
              </w:rPr>
              <w:t>r</w:t>
            </w:r>
          </w:p>
        </w:tc>
        <w:tc>
          <w:tcPr>
            <w:tcW w:w="426" w:type="pct"/>
            <w:hideMark/>
          </w:tcPr>
          <w:p w14:paraId="66FC41CB" w14:textId="77777777" w:rsidR="00C43CD9" w:rsidRPr="00B65973" w:rsidRDefault="00C43CD9" w:rsidP="00F8468E">
            <w:pPr>
              <w:pStyle w:val="Table"/>
              <w:contextualSpacing/>
              <w:jc w:val="center"/>
              <w:rPr>
                <w:color w:val="000000"/>
                <w:szCs w:val="24"/>
                <w:lang w:val="en-US"/>
              </w:rPr>
            </w:pPr>
            <w:r w:rsidRPr="00B65973">
              <w:rPr>
                <w:color w:val="000000"/>
                <w:szCs w:val="24"/>
                <w:lang w:val="en-US"/>
              </w:rPr>
              <w:t>p</w:t>
            </w:r>
          </w:p>
        </w:tc>
        <w:tc>
          <w:tcPr>
            <w:tcW w:w="448" w:type="pct"/>
            <w:hideMark/>
          </w:tcPr>
          <w:p w14:paraId="7674F77D" w14:textId="77777777" w:rsidR="00C43CD9" w:rsidRPr="00B65973" w:rsidRDefault="00C43CD9" w:rsidP="00F8468E">
            <w:pPr>
              <w:pStyle w:val="Table"/>
              <w:contextualSpacing/>
              <w:jc w:val="center"/>
              <w:rPr>
                <w:color w:val="000000"/>
                <w:szCs w:val="24"/>
                <w:lang w:val="en-US"/>
              </w:rPr>
            </w:pPr>
            <w:r w:rsidRPr="00B65973">
              <w:rPr>
                <w:color w:val="000000"/>
                <w:szCs w:val="24"/>
                <w:lang w:val="en-US"/>
              </w:rPr>
              <w:t>r</w:t>
            </w:r>
          </w:p>
        </w:tc>
        <w:tc>
          <w:tcPr>
            <w:tcW w:w="529" w:type="pct"/>
            <w:hideMark/>
          </w:tcPr>
          <w:p w14:paraId="00476216" w14:textId="5F51D00D" w:rsidR="00C43CD9" w:rsidRPr="00B65973" w:rsidRDefault="00264176" w:rsidP="00F8468E">
            <w:pPr>
              <w:pStyle w:val="Table"/>
              <w:contextualSpacing/>
              <w:jc w:val="center"/>
              <w:rPr>
                <w:color w:val="000000"/>
                <w:szCs w:val="24"/>
                <w:lang w:val="en-US"/>
              </w:rPr>
            </w:pPr>
            <w:r w:rsidRPr="00B65973">
              <w:rPr>
                <w:color w:val="000000"/>
                <w:szCs w:val="24"/>
                <w:lang w:val="en-US"/>
              </w:rPr>
              <w:t>P</w:t>
            </w:r>
          </w:p>
        </w:tc>
      </w:tr>
      <w:tr w:rsidR="00C43CD9" w:rsidRPr="00B65973" w14:paraId="323CD563" w14:textId="77777777" w:rsidTr="00DC3B52">
        <w:trPr>
          <w:tblCellSpacing w:w="15" w:type="dxa"/>
        </w:trPr>
        <w:tc>
          <w:tcPr>
            <w:tcW w:w="4968" w:type="pct"/>
            <w:gridSpan w:val="7"/>
            <w:tcBorders>
              <w:bottom w:val="single" w:sz="6" w:space="0" w:color="000000"/>
            </w:tcBorders>
            <w:vAlign w:val="center"/>
            <w:hideMark/>
          </w:tcPr>
          <w:p w14:paraId="594B20F9" w14:textId="77777777" w:rsidR="00C43CD9" w:rsidRPr="00B65973" w:rsidRDefault="00C43CD9" w:rsidP="00F8468E">
            <w:pPr>
              <w:pStyle w:val="Table"/>
              <w:contextualSpacing/>
              <w:rPr>
                <w:color w:val="000000"/>
                <w:szCs w:val="24"/>
                <w:lang w:val="en-US"/>
              </w:rPr>
            </w:pPr>
          </w:p>
        </w:tc>
      </w:tr>
      <w:tr w:rsidR="00C43CD9" w:rsidRPr="00B65973" w14:paraId="4BA3CC15" w14:textId="77777777" w:rsidTr="008D786F">
        <w:trPr>
          <w:tblCellSpacing w:w="15" w:type="dxa"/>
        </w:trPr>
        <w:tc>
          <w:tcPr>
            <w:tcW w:w="2148" w:type="pct"/>
            <w:vAlign w:val="center"/>
            <w:hideMark/>
          </w:tcPr>
          <w:p w14:paraId="62D30424" w14:textId="77777777" w:rsidR="00C43CD9" w:rsidRPr="00B65973" w:rsidRDefault="00C43CD9" w:rsidP="00F8468E">
            <w:pPr>
              <w:pStyle w:val="Table"/>
              <w:contextualSpacing/>
              <w:rPr>
                <w:color w:val="000000"/>
                <w:szCs w:val="24"/>
                <w:lang w:val="en-US"/>
              </w:rPr>
            </w:pPr>
            <w:r w:rsidRPr="00B65973">
              <w:rPr>
                <w:color w:val="000000"/>
                <w:szCs w:val="24"/>
                <w:lang w:val="en-US"/>
              </w:rPr>
              <w:t>EAFRD payments (€/person)</w:t>
            </w:r>
          </w:p>
        </w:tc>
        <w:tc>
          <w:tcPr>
            <w:tcW w:w="449" w:type="pct"/>
            <w:hideMark/>
          </w:tcPr>
          <w:p w14:paraId="5452B65D"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1</w:t>
            </w:r>
            <w:r w:rsidR="00DC3B52" w:rsidRPr="00B65973">
              <w:rPr>
                <w:color w:val="000000"/>
                <w:szCs w:val="24"/>
                <w:lang w:val="en-US"/>
              </w:rPr>
              <w:t>.000</w:t>
            </w:r>
          </w:p>
        </w:tc>
        <w:tc>
          <w:tcPr>
            <w:tcW w:w="425" w:type="pct"/>
            <w:hideMark/>
          </w:tcPr>
          <w:p w14:paraId="042AED19" w14:textId="77777777" w:rsidR="00C43CD9" w:rsidRPr="00B65973" w:rsidRDefault="00C43CD9" w:rsidP="00F8468E">
            <w:pPr>
              <w:pStyle w:val="Table"/>
              <w:contextualSpacing/>
              <w:jc w:val="right"/>
              <w:rPr>
                <w:color w:val="000000"/>
                <w:szCs w:val="24"/>
                <w:lang w:val="en-US"/>
              </w:rPr>
            </w:pPr>
          </w:p>
        </w:tc>
        <w:tc>
          <w:tcPr>
            <w:tcW w:w="448" w:type="pct"/>
            <w:hideMark/>
          </w:tcPr>
          <w:p w14:paraId="7DD68D5A"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1</w:t>
            </w:r>
            <w:r w:rsidR="00DC3B52" w:rsidRPr="00B65973">
              <w:rPr>
                <w:color w:val="000000"/>
                <w:szCs w:val="24"/>
                <w:lang w:val="en-US"/>
              </w:rPr>
              <w:t>.000</w:t>
            </w:r>
          </w:p>
        </w:tc>
        <w:tc>
          <w:tcPr>
            <w:tcW w:w="426" w:type="pct"/>
            <w:hideMark/>
          </w:tcPr>
          <w:p w14:paraId="2AF9BB85" w14:textId="77777777" w:rsidR="00C43CD9" w:rsidRPr="00B65973" w:rsidRDefault="00C43CD9" w:rsidP="00F8468E">
            <w:pPr>
              <w:pStyle w:val="Table"/>
              <w:contextualSpacing/>
              <w:jc w:val="right"/>
              <w:rPr>
                <w:color w:val="000000"/>
                <w:szCs w:val="24"/>
                <w:lang w:val="en-US"/>
              </w:rPr>
            </w:pPr>
          </w:p>
        </w:tc>
        <w:tc>
          <w:tcPr>
            <w:tcW w:w="448" w:type="pct"/>
            <w:hideMark/>
          </w:tcPr>
          <w:p w14:paraId="499BA0AD"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1</w:t>
            </w:r>
            <w:r w:rsidR="00DC3B52" w:rsidRPr="00B65973">
              <w:rPr>
                <w:color w:val="000000"/>
                <w:szCs w:val="24"/>
                <w:lang w:val="en-US"/>
              </w:rPr>
              <w:t>.000</w:t>
            </w:r>
          </w:p>
        </w:tc>
        <w:tc>
          <w:tcPr>
            <w:tcW w:w="529" w:type="pct"/>
            <w:hideMark/>
          </w:tcPr>
          <w:p w14:paraId="726FF200" w14:textId="77777777" w:rsidR="00C43CD9" w:rsidRPr="00B65973" w:rsidRDefault="00C43CD9" w:rsidP="00F8468E">
            <w:pPr>
              <w:pStyle w:val="Table"/>
              <w:contextualSpacing/>
              <w:jc w:val="right"/>
              <w:rPr>
                <w:color w:val="000000"/>
                <w:szCs w:val="24"/>
                <w:lang w:val="en-US"/>
              </w:rPr>
            </w:pPr>
          </w:p>
        </w:tc>
      </w:tr>
      <w:tr w:rsidR="00C43CD9" w:rsidRPr="00B65973" w14:paraId="0EFFC154" w14:textId="77777777" w:rsidTr="008D786F">
        <w:trPr>
          <w:tblCellSpacing w:w="15" w:type="dxa"/>
        </w:trPr>
        <w:tc>
          <w:tcPr>
            <w:tcW w:w="2148" w:type="pct"/>
            <w:vAlign w:val="center"/>
            <w:hideMark/>
          </w:tcPr>
          <w:p w14:paraId="65D912A0" w14:textId="77777777" w:rsidR="00C43CD9" w:rsidRPr="00B65973" w:rsidRDefault="00C43CD9" w:rsidP="00F8468E">
            <w:pPr>
              <w:pStyle w:val="Table"/>
              <w:contextualSpacing/>
              <w:rPr>
                <w:color w:val="000000"/>
                <w:szCs w:val="24"/>
                <w:lang w:val="en-US"/>
              </w:rPr>
            </w:pPr>
            <w:r w:rsidRPr="00B65973">
              <w:rPr>
                <w:color w:val="000000"/>
                <w:szCs w:val="24"/>
                <w:lang w:val="en-US"/>
              </w:rPr>
              <w:t>GDP (1000 €/person)</w:t>
            </w:r>
          </w:p>
        </w:tc>
        <w:tc>
          <w:tcPr>
            <w:tcW w:w="449" w:type="pct"/>
            <w:hideMark/>
          </w:tcPr>
          <w:p w14:paraId="53AC6B86"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-0.087</w:t>
            </w:r>
          </w:p>
        </w:tc>
        <w:tc>
          <w:tcPr>
            <w:tcW w:w="425" w:type="pct"/>
            <w:hideMark/>
          </w:tcPr>
          <w:p w14:paraId="18A5E6FF"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0.283</w:t>
            </w:r>
          </w:p>
        </w:tc>
        <w:tc>
          <w:tcPr>
            <w:tcW w:w="448" w:type="pct"/>
            <w:hideMark/>
          </w:tcPr>
          <w:p w14:paraId="2F9B8D05"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-0.410</w:t>
            </w:r>
          </w:p>
        </w:tc>
        <w:tc>
          <w:tcPr>
            <w:tcW w:w="426" w:type="pct"/>
            <w:hideMark/>
          </w:tcPr>
          <w:p w14:paraId="7D7DBE1F"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0.000</w:t>
            </w:r>
          </w:p>
        </w:tc>
        <w:tc>
          <w:tcPr>
            <w:tcW w:w="448" w:type="pct"/>
            <w:hideMark/>
          </w:tcPr>
          <w:p w14:paraId="5BF3AC23"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-0.399</w:t>
            </w:r>
          </w:p>
        </w:tc>
        <w:tc>
          <w:tcPr>
            <w:tcW w:w="529" w:type="pct"/>
            <w:hideMark/>
          </w:tcPr>
          <w:p w14:paraId="2E1FA4BD"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0.000</w:t>
            </w:r>
          </w:p>
        </w:tc>
      </w:tr>
      <w:tr w:rsidR="00C43CD9" w:rsidRPr="00B65973" w14:paraId="1FCCB4B4" w14:textId="77777777" w:rsidTr="008D786F">
        <w:trPr>
          <w:tblCellSpacing w:w="15" w:type="dxa"/>
        </w:trPr>
        <w:tc>
          <w:tcPr>
            <w:tcW w:w="2148" w:type="pct"/>
            <w:vAlign w:val="center"/>
            <w:hideMark/>
          </w:tcPr>
          <w:p w14:paraId="04A85EC1" w14:textId="77777777" w:rsidR="00C43CD9" w:rsidRPr="00B65973" w:rsidRDefault="00C43CD9" w:rsidP="00F8468E">
            <w:pPr>
              <w:pStyle w:val="Table"/>
              <w:contextualSpacing/>
              <w:rPr>
                <w:color w:val="000000"/>
                <w:szCs w:val="24"/>
                <w:lang w:val="en-US"/>
              </w:rPr>
            </w:pPr>
            <w:r w:rsidRPr="00B65973">
              <w:rPr>
                <w:color w:val="000000"/>
                <w:szCs w:val="24"/>
                <w:lang w:val="en-US"/>
              </w:rPr>
              <w:t>Unemployment, ages 15-74 (%)</w:t>
            </w:r>
          </w:p>
        </w:tc>
        <w:tc>
          <w:tcPr>
            <w:tcW w:w="449" w:type="pct"/>
            <w:hideMark/>
          </w:tcPr>
          <w:p w14:paraId="4A47BE2C"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0.042</w:t>
            </w:r>
          </w:p>
        </w:tc>
        <w:tc>
          <w:tcPr>
            <w:tcW w:w="425" w:type="pct"/>
            <w:hideMark/>
          </w:tcPr>
          <w:p w14:paraId="3D577055"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0.604</w:t>
            </w:r>
          </w:p>
        </w:tc>
        <w:tc>
          <w:tcPr>
            <w:tcW w:w="448" w:type="pct"/>
            <w:hideMark/>
          </w:tcPr>
          <w:p w14:paraId="5E7D3841"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0.046</w:t>
            </w:r>
          </w:p>
        </w:tc>
        <w:tc>
          <w:tcPr>
            <w:tcW w:w="426" w:type="pct"/>
            <w:hideMark/>
          </w:tcPr>
          <w:p w14:paraId="04E40B7B"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0.571</w:t>
            </w:r>
          </w:p>
        </w:tc>
        <w:tc>
          <w:tcPr>
            <w:tcW w:w="448" w:type="pct"/>
            <w:hideMark/>
          </w:tcPr>
          <w:p w14:paraId="3B991672"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0.015</w:t>
            </w:r>
          </w:p>
        </w:tc>
        <w:tc>
          <w:tcPr>
            <w:tcW w:w="529" w:type="pct"/>
            <w:hideMark/>
          </w:tcPr>
          <w:p w14:paraId="7AFEE60F"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0.848</w:t>
            </w:r>
          </w:p>
        </w:tc>
      </w:tr>
      <w:tr w:rsidR="00C43CD9" w:rsidRPr="00B65973" w14:paraId="58B4719F" w14:textId="77777777" w:rsidTr="008D786F">
        <w:trPr>
          <w:tblCellSpacing w:w="15" w:type="dxa"/>
        </w:trPr>
        <w:tc>
          <w:tcPr>
            <w:tcW w:w="2148" w:type="pct"/>
            <w:vAlign w:val="center"/>
            <w:hideMark/>
          </w:tcPr>
          <w:p w14:paraId="0B3D1C8F" w14:textId="77777777" w:rsidR="00C43CD9" w:rsidRPr="00B65973" w:rsidRDefault="00C43CD9" w:rsidP="00F8468E">
            <w:pPr>
              <w:pStyle w:val="Table"/>
              <w:contextualSpacing/>
              <w:rPr>
                <w:color w:val="000000"/>
                <w:szCs w:val="24"/>
                <w:lang w:val="en-US"/>
              </w:rPr>
            </w:pPr>
            <w:r w:rsidRPr="00B65973">
              <w:rPr>
                <w:color w:val="000000"/>
                <w:szCs w:val="24"/>
                <w:lang w:val="en-US"/>
              </w:rPr>
              <w:t>Share, holdings &lt; 2 ha (%)</w:t>
            </w:r>
          </w:p>
        </w:tc>
        <w:tc>
          <w:tcPr>
            <w:tcW w:w="449" w:type="pct"/>
            <w:hideMark/>
          </w:tcPr>
          <w:p w14:paraId="427D5225"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0.012</w:t>
            </w:r>
          </w:p>
        </w:tc>
        <w:tc>
          <w:tcPr>
            <w:tcW w:w="425" w:type="pct"/>
            <w:hideMark/>
          </w:tcPr>
          <w:p w14:paraId="5CC5381F"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0.884</w:t>
            </w:r>
          </w:p>
        </w:tc>
        <w:tc>
          <w:tcPr>
            <w:tcW w:w="448" w:type="pct"/>
            <w:hideMark/>
          </w:tcPr>
          <w:p w14:paraId="1506DF92"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0.218</w:t>
            </w:r>
          </w:p>
        </w:tc>
        <w:tc>
          <w:tcPr>
            <w:tcW w:w="426" w:type="pct"/>
            <w:hideMark/>
          </w:tcPr>
          <w:p w14:paraId="43BBA381"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0.006</w:t>
            </w:r>
          </w:p>
        </w:tc>
        <w:tc>
          <w:tcPr>
            <w:tcW w:w="448" w:type="pct"/>
            <w:hideMark/>
          </w:tcPr>
          <w:p w14:paraId="107C5FF0"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0.366</w:t>
            </w:r>
          </w:p>
        </w:tc>
        <w:tc>
          <w:tcPr>
            <w:tcW w:w="529" w:type="pct"/>
            <w:hideMark/>
          </w:tcPr>
          <w:p w14:paraId="0E792606"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0.000</w:t>
            </w:r>
          </w:p>
        </w:tc>
      </w:tr>
      <w:tr w:rsidR="00C43CD9" w:rsidRPr="00B65973" w14:paraId="78A11830" w14:textId="77777777" w:rsidTr="008D786F">
        <w:trPr>
          <w:tblCellSpacing w:w="15" w:type="dxa"/>
        </w:trPr>
        <w:tc>
          <w:tcPr>
            <w:tcW w:w="2148" w:type="pct"/>
            <w:vAlign w:val="center"/>
            <w:hideMark/>
          </w:tcPr>
          <w:p w14:paraId="1D77B881" w14:textId="77777777" w:rsidR="00C43CD9" w:rsidRPr="00B65973" w:rsidRDefault="00C43CD9" w:rsidP="00F8468E">
            <w:pPr>
              <w:pStyle w:val="Table"/>
              <w:contextualSpacing/>
              <w:rPr>
                <w:color w:val="000000"/>
                <w:szCs w:val="24"/>
                <w:lang w:val="en-US"/>
              </w:rPr>
            </w:pPr>
            <w:r w:rsidRPr="00B65973">
              <w:rPr>
                <w:color w:val="000000"/>
                <w:szCs w:val="24"/>
                <w:lang w:val="en-US"/>
              </w:rPr>
              <w:t>Area, holdings &lt; 2 ha (%)</w:t>
            </w:r>
          </w:p>
        </w:tc>
        <w:tc>
          <w:tcPr>
            <w:tcW w:w="449" w:type="pct"/>
            <w:hideMark/>
          </w:tcPr>
          <w:p w14:paraId="14EDFB3E"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0.059</w:t>
            </w:r>
          </w:p>
        </w:tc>
        <w:tc>
          <w:tcPr>
            <w:tcW w:w="425" w:type="pct"/>
            <w:hideMark/>
          </w:tcPr>
          <w:p w14:paraId="08CC2CDA"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0.465</w:t>
            </w:r>
          </w:p>
        </w:tc>
        <w:tc>
          <w:tcPr>
            <w:tcW w:w="448" w:type="pct"/>
            <w:hideMark/>
          </w:tcPr>
          <w:p w14:paraId="1BE16AEF"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0.027</w:t>
            </w:r>
          </w:p>
        </w:tc>
        <w:tc>
          <w:tcPr>
            <w:tcW w:w="426" w:type="pct"/>
            <w:hideMark/>
          </w:tcPr>
          <w:p w14:paraId="31D00E18"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0.737</w:t>
            </w:r>
          </w:p>
        </w:tc>
        <w:tc>
          <w:tcPr>
            <w:tcW w:w="448" w:type="pct"/>
            <w:hideMark/>
          </w:tcPr>
          <w:p w14:paraId="15B97C33"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0.112</w:t>
            </w:r>
          </w:p>
        </w:tc>
        <w:tc>
          <w:tcPr>
            <w:tcW w:w="529" w:type="pct"/>
            <w:hideMark/>
          </w:tcPr>
          <w:p w14:paraId="07DE5CF7"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0.164</w:t>
            </w:r>
          </w:p>
        </w:tc>
      </w:tr>
      <w:tr w:rsidR="00C43CD9" w:rsidRPr="00B65973" w14:paraId="74821B5D" w14:textId="77777777" w:rsidTr="008D786F">
        <w:trPr>
          <w:tblCellSpacing w:w="15" w:type="dxa"/>
        </w:trPr>
        <w:tc>
          <w:tcPr>
            <w:tcW w:w="2148" w:type="pct"/>
            <w:vAlign w:val="center"/>
            <w:hideMark/>
          </w:tcPr>
          <w:p w14:paraId="5729ECF0" w14:textId="3052A7B5" w:rsidR="00C43CD9" w:rsidRPr="00B65973" w:rsidRDefault="00C43CD9" w:rsidP="00F8468E">
            <w:pPr>
              <w:pStyle w:val="Table"/>
              <w:contextualSpacing/>
              <w:rPr>
                <w:color w:val="000000"/>
                <w:szCs w:val="24"/>
                <w:lang w:val="en-US"/>
              </w:rPr>
            </w:pPr>
            <w:r w:rsidRPr="00B65973">
              <w:rPr>
                <w:color w:val="000000"/>
                <w:szCs w:val="24"/>
                <w:lang w:val="en-US"/>
              </w:rPr>
              <w:t>Employment, NACE2 A</w:t>
            </w:r>
            <w:r w:rsidR="009A18FA">
              <w:rPr>
                <w:rStyle w:val="Allmrkuseviide"/>
                <w:color w:val="000000"/>
                <w:szCs w:val="24"/>
                <w:lang w:val="en-US"/>
              </w:rPr>
              <w:footnoteReference w:id="1"/>
            </w:r>
            <w:r w:rsidRPr="00B65973">
              <w:rPr>
                <w:color w:val="000000"/>
                <w:szCs w:val="24"/>
                <w:lang w:val="en-US"/>
              </w:rPr>
              <w:t xml:space="preserve"> (%)</w:t>
            </w:r>
          </w:p>
        </w:tc>
        <w:tc>
          <w:tcPr>
            <w:tcW w:w="449" w:type="pct"/>
            <w:hideMark/>
          </w:tcPr>
          <w:p w14:paraId="7E7384A2"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0.252</w:t>
            </w:r>
          </w:p>
        </w:tc>
        <w:tc>
          <w:tcPr>
            <w:tcW w:w="425" w:type="pct"/>
            <w:hideMark/>
          </w:tcPr>
          <w:p w14:paraId="30B425B3"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0.002</w:t>
            </w:r>
          </w:p>
        </w:tc>
        <w:tc>
          <w:tcPr>
            <w:tcW w:w="448" w:type="pct"/>
            <w:hideMark/>
          </w:tcPr>
          <w:p w14:paraId="0A171EC5"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0.588</w:t>
            </w:r>
          </w:p>
        </w:tc>
        <w:tc>
          <w:tcPr>
            <w:tcW w:w="426" w:type="pct"/>
            <w:hideMark/>
          </w:tcPr>
          <w:p w14:paraId="34041DC5" w14:textId="77777777" w:rsidR="00C43CD9" w:rsidRPr="00B65973" w:rsidRDefault="006A6B61" w:rsidP="00F8468E">
            <w:pPr>
              <w:pStyle w:val="Table"/>
              <w:contextualSpacing/>
              <w:jc w:val="right"/>
              <w:rPr>
                <w:color w:val="000000"/>
                <w:szCs w:val="24"/>
                <w:lang w:val="en-US"/>
              </w:rPr>
            </w:pPr>
            <w:r w:rsidRPr="00B65973">
              <w:rPr>
                <w:color w:val="000000"/>
                <w:szCs w:val="24"/>
                <w:lang w:val="en-US"/>
              </w:rPr>
              <w:t>0.000</w:t>
            </w:r>
          </w:p>
        </w:tc>
        <w:tc>
          <w:tcPr>
            <w:tcW w:w="448" w:type="pct"/>
            <w:hideMark/>
          </w:tcPr>
          <w:p w14:paraId="1CF6DCDE"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0.701</w:t>
            </w:r>
          </w:p>
        </w:tc>
        <w:tc>
          <w:tcPr>
            <w:tcW w:w="529" w:type="pct"/>
            <w:hideMark/>
          </w:tcPr>
          <w:p w14:paraId="4584035F" w14:textId="77777777" w:rsidR="00C43CD9" w:rsidRPr="00B65973" w:rsidRDefault="006A6B61" w:rsidP="00F8468E">
            <w:pPr>
              <w:pStyle w:val="Table"/>
              <w:contextualSpacing/>
              <w:jc w:val="right"/>
              <w:rPr>
                <w:color w:val="000000"/>
                <w:szCs w:val="24"/>
                <w:lang w:val="en-US"/>
              </w:rPr>
            </w:pPr>
            <w:r w:rsidRPr="00B65973">
              <w:rPr>
                <w:color w:val="000000"/>
                <w:szCs w:val="24"/>
                <w:lang w:val="en-US"/>
              </w:rPr>
              <w:t>0.000</w:t>
            </w:r>
          </w:p>
        </w:tc>
      </w:tr>
      <w:tr w:rsidR="00C43CD9" w:rsidRPr="00B65973" w14:paraId="53894ADB" w14:textId="77777777" w:rsidTr="008D786F">
        <w:trPr>
          <w:tblCellSpacing w:w="15" w:type="dxa"/>
        </w:trPr>
        <w:tc>
          <w:tcPr>
            <w:tcW w:w="2148" w:type="pct"/>
            <w:vAlign w:val="center"/>
            <w:hideMark/>
          </w:tcPr>
          <w:p w14:paraId="3E60C668" w14:textId="4CE4EB17" w:rsidR="00C43CD9" w:rsidRPr="00B65973" w:rsidRDefault="00C43CD9" w:rsidP="00F8468E">
            <w:pPr>
              <w:pStyle w:val="Table"/>
              <w:contextualSpacing/>
              <w:rPr>
                <w:color w:val="000000"/>
                <w:szCs w:val="24"/>
                <w:lang w:val="en-US"/>
              </w:rPr>
            </w:pPr>
            <w:r w:rsidRPr="00B65973">
              <w:rPr>
                <w:color w:val="000000"/>
                <w:szCs w:val="24"/>
                <w:lang w:val="en-US"/>
              </w:rPr>
              <w:t>Investments</w:t>
            </w:r>
            <w:r w:rsidR="009A18FA">
              <w:rPr>
                <w:rStyle w:val="Allmrkuseviide"/>
                <w:color w:val="000000"/>
                <w:szCs w:val="24"/>
                <w:lang w:val="en-US"/>
              </w:rPr>
              <w:footnoteReference w:id="2"/>
            </w:r>
            <w:r w:rsidRPr="00B65973">
              <w:rPr>
                <w:color w:val="000000"/>
                <w:szCs w:val="24"/>
                <w:lang w:val="en-US"/>
              </w:rPr>
              <w:t>, NACE2 A (%)</w:t>
            </w:r>
          </w:p>
        </w:tc>
        <w:tc>
          <w:tcPr>
            <w:tcW w:w="449" w:type="pct"/>
            <w:hideMark/>
          </w:tcPr>
          <w:p w14:paraId="21A854EE"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0.411</w:t>
            </w:r>
          </w:p>
        </w:tc>
        <w:tc>
          <w:tcPr>
            <w:tcW w:w="425" w:type="pct"/>
            <w:hideMark/>
          </w:tcPr>
          <w:p w14:paraId="51CEFD6F"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0.000</w:t>
            </w:r>
          </w:p>
        </w:tc>
        <w:tc>
          <w:tcPr>
            <w:tcW w:w="448" w:type="pct"/>
            <w:hideMark/>
          </w:tcPr>
          <w:p w14:paraId="0CDD7666"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0.563</w:t>
            </w:r>
          </w:p>
        </w:tc>
        <w:tc>
          <w:tcPr>
            <w:tcW w:w="426" w:type="pct"/>
            <w:hideMark/>
          </w:tcPr>
          <w:p w14:paraId="2713F030" w14:textId="77777777" w:rsidR="00C43CD9" w:rsidRPr="00B65973" w:rsidRDefault="006A6B61" w:rsidP="00F8468E">
            <w:pPr>
              <w:pStyle w:val="Table"/>
              <w:contextualSpacing/>
              <w:jc w:val="right"/>
              <w:rPr>
                <w:color w:val="000000"/>
                <w:szCs w:val="24"/>
                <w:lang w:val="en-US"/>
              </w:rPr>
            </w:pPr>
            <w:r w:rsidRPr="00B65973">
              <w:rPr>
                <w:color w:val="000000"/>
                <w:szCs w:val="24"/>
                <w:lang w:val="en-US"/>
              </w:rPr>
              <w:t>0.000</w:t>
            </w:r>
          </w:p>
        </w:tc>
        <w:tc>
          <w:tcPr>
            <w:tcW w:w="448" w:type="pct"/>
            <w:hideMark/>
          </w:tcPr>
          <w:p w14:paraId="42F21FB4"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0.573</w:t>
            </w:r>
          </w:p>
        </w:tc>
        <w:tc>
          <w:tcPr>
            <w:tcW w:w="529" w:type="pct"/>
            <w:hideMark/>
          </w:tcPr>
          <w:p w14:paraId="5DB7140E" w14:textId="77777777" w:rsidR="00C43CD9" w:rsidRPr="00B65973" w:rsidRDefault="006A6B61" w:rsidP="00F8468E">
            <w:pPr>
              <w:pStyle w:val="Table"/>
              <w:contextualSpacing/>
              <w:jc w:val="right"/>
              <w:rPr>
                <w:color w:val="000000"/>
                <w:szCs w:val="24"/>
                <w:lang w:val="en-US"/>
              </w:rPr>
            </w:pPr>
            <w:r w:rsidRPr="00B65973">
              <w:rPr>
                <w:color w:val="000000"/>
                <w:szCs w:val="24"/>
                <w:lang w:val="en-US"/>
              </w:rPr>
              <w:t>0.000</w:t>
            </w:r>
          </w:p>
        </w:tc>
      </w:tr>
      <w:tr w:rsidR="00C43CD9" w:rsidRPr="00B65973" w14:paraId="586E76AD" w14:textId="77777777" w:rsidTr="008D786F">
        <w:trPr>
          <w:tblCellSpacing w:w="15" w:type="dxa"/>
        </w:trPr>
        <w:tc>
          <w:tcPr>
            <w:tcW w:w="2148" w:type="pct"/>
            <w:vAlign w:val="center"/>
            <w:hideMark/>
          </w:tcPr>
          <w:p w14:paraId="5509915E" w14:textId="77777777" w:rsidR="00C43CD9" w:rsidRPr="00B65973" w:rsidRDefault="00C43CD9" w:rsidP="00F8468E">
            <w:pPr>
              <w:pStyle w:val="Table"/>
              <w:contextualSpacing/>
              <w:rPr>
                <w:color w:val="000000"/>
                <w:szCs w:val="24"/>
                <w:lang w:val="en-US"/>
              </w:rPr>
            </w:pPr>
            <w:r w:rsidRPr="00B65973">
              <w:rPr>
                <w:color w:val="000000"/>
                <w:szCs w:val="24"/>
                <w:lang w:val="en-US"/>
              </w:rPr>
              <w:t>Share, organic holdings (%)</w:t>
            </w:r>
          </w:p>
        </w:tc>
        <w:tc>
          <w:tcPr>
            <w:tcW w:w="449" w:type="pct"/>
            <w:hideMark/>
          </w:tcPr>
          <w:p w14:paraId="6B1AACDF"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0.385</w:t>
            </w:r>
          </w:p>
        </w:tc>
        <w:tc>
          <w:tcPr>
            <w:tcW w:w="425" w:type="pct"/>
            <w:hideMark/>
          </w:tcPr>
          <w:p w14:paraId="7966CC29"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0.000</w:t>
            </w:r>
          </w:p>
        </w:tc>
        <w:tc>
          <w:tcPr>
            <w:tcW w:w="448" w:type="pct"/>
            <w:hideMark/>
          </w:tcPr>
          <w:p w14:paraId="77B3497C"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0.255</w:t>
            </w:r>
          </w:p>
        </w:tc>
        <w:tc>
          <w:tcPr>
            <w:tcW w:w="426" w:type="pct"/>
            <w:hideMark/>
          </w:tcPr>
          <w:p w14:paraId="34171F58"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0.001</w:t>
            </w:r>
          </w:p>
        </w:tc>
        <w:tc>
          <w:tcPr>
            <w:tcW w:w="448" w:type="pct"/>
            <w:hideMark/>
          </w:tcPr>
          <w:p w14:paraId="761A5233"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0.184</w:t>
            </w:r>
          </w:p>
        </w:tc>
        <w:tc>
          <w:tcPr>
            <w:tcW w:w="529" w:type="pct"/>
            <w:hideMark/>
          </w:tcPr>
          <w:p w14:paraId="6AD0698F"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0.022</w:t>
            </w:r>
          </w:p>
        </w:tc>
      </w:tr>
      <w:tr w:rsidR="00C43CD9" w:rsidRPr="00B65973" w14:paraId="5A77C9B3" w14:textId="77777777" w:rsidTr="008D786F">
        <w:trPr>
          <w:tblCellSpacing w:w="15" w:type="dxa"/>
        </w:trPr>
        <w:tc>
          <w:tcPr>
            <w:tcW w:w="2148" w:type="pct"/>
            <w:tcBorders>
              <w:bottom w:val="single" w:sz="4" w:space="0" w:color="auto"/>
            </w:tcBorders>
            <w:vAlign w:val="center"/>
            <w:hideMark/>
          </w:tcPr>
          <w:p w14:paraId="20CBC210" w14:textId="77777777" w:rsidR="00C43CD9" w:rsidRPr="00B65973" w:rsidRDefault="00C43CD9" w:rsidP="00F8468E">
            <w:pPr>
              <w:pStyle w:val="Table"/>
              <w:contextualSpacing/>
              <w:rPr>
                <w:color w:val="000000"/>
                <w:szCs w:val="24"/>
                <w:lang w:val="en-US"/>
              </w:rPr>
            </w:pPr>
            <w:r w:rsidRPr="00B65973">
              <w:rPr>
                <w:color w:val="000000"/>
                <w:szCs w:val="24"/>
                <w:lang w:val="en-US"/>
              </w:rPr>
              <w:t>Area, organic holdings (%)</w:t>
            </w:r>
          </w:p>
        </w:tc>
        <w:tc>
          <w:tcPr>
            <w:tcW w:w="449" w:type="pct"/>
            <w:tcBorders>
              <w:bottom w:val="single" w:sz="4" w:space="0" w:color="auto"/>
            </w:tcBorders>
            <w:hideMark/>
          </w:tcPr>
          <w:p w14:paraId="43E092EA"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0.323</w:t>
            </w:r>
          </w:p>
        </w:tc>
        <w:tc>
          <w:tcPr>
            <w:tcW w:w="425" w:type="pct"/>
            <w:tcBorders>
              <w:bottom w:val="single" w:sz="4" w:space="0" w:color="auto"/>
            </w:tcBorders>
            <w:hideMark/>
          </w:tcPr>
          <w:p w14:paraId="1970F034"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0.000</w:t>
            </w:r>
          </w:p>
        </w:tc>
        <w:tc>
          <w:tcPr>
            <w:tcW w:w="448" w:type="pct"/>
            <w:tcBorders>
              <w:bottom w:val="single" w:sz="4" w:space="0" w:color="auto"/>
            </w:tcBorders>
            <w:hideMark/>
          </w:tcPr>
          <w:p w14:paraId="1CBBC286"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0.284</w:t>
            </w:r>
          </w:p>
        </w:tc>
        <w:tc>
          <w:tcPr>
            <w:tcW w:w="426" w:type="pct"/>
            <w:tcBorders>
              <w:bottom w:val="single" w:sz="4" w:space="0" w:color="auto"/>
            </w:tcBorders>
            <w:hideMark/>
          </w:tcPr>
          <w:p w14:paraId="6A225B08"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0.000</w:t>
            </w:r>
          </w:p>
        </w:tc>
        <w:tc>
          <w:tcPr>
            <w:tcW w:w="448" w:type="pct"/>
            <w:tcBorders>
              <w:bottom w:val="single" w:sz="4" w:space="0" w:color="auto"/>
            </w:tcBorders>
            <w:hideMark/>
          </w:tcPr>
          <w:p w14:paraId="430B1F44"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0.217</w:t>
            </w:r>
          </w:p>
        </w:tc>
        <w:tc>
          <w:tcPr>
            <w:tcW w:w="529" w:type="pct"/>
            <w:tcBorders>
              <w:bottom w:val="single" w:sz="4" w:space="0" w:color="auto"/>
            </w:tcBorders>
            <w:hideMark/>
          </w:tcPr>
          <w:p w14:paraId="1CBB59FC" w14:textId="77777777" w:rsidR="00C43CD9" w:rsidRPr="00B65973" w:rsidRDefault="00C43CD9" w:rsidP="00F8468E">
            <w:pPr>
              <w:pStyle w:val="Table"/>
              <w:contextualSpacing/>
              <w:jc w:val="right"/>
              <w:rPr>
                <w:color w:val="000000"/>
                <w:szCs w:val="24"/>
                <w:lang w:val="en-US"/>
              </w:rPr>
            </w:pPr>
            <w:r w:rsidRPr="00B65973">
              <w:rPr>
                <w:color w:val="000000"/>
                <w:szCs w:val="24"/>
                <w:lang w:val="en-US"/>
              </w:rPr>
              <w:t>0.007</w:t>
            </w:r>
          </w:p>
        </w:tc>
      </w:tr>
    </w:tbl>
    <w:p w14:paraId="4B7758F9" w14:textId="1B94C1A5" w:rsidR="00F8468E" w:rsidRDefault="00F8468E" w:rsidP="00F8468E">
      <w:pPr>
        <w:pStyle w:val="Pealkiri2"/>
        <w:rPr>
          <w:lang w:val="en-US"/>
        </w:rPr>
      </w:pPr>
      <w:r w:rsidRPr="00B65973">
        <w:rPr>
          <w:lang w:val="en-US"/>
        </w:rPr>
        <w:t>Correlations with other</w:t>
      </w:r>
      <w:r w:rsidR="00B449E7">
        <w:rPr>
          <w:lang w:val="en-US"/>
        </w:rPr>
        <w:t xml:space="preserve"> EU</w:t>
      </w:r>
      <w:r w:rsidRPr="00B65973">
        <w:rPr>
          <w:lang w:val="en-US"/>
        </w:rPr>
        <w:t xml:space="preserve"> regional </w:t>
      </w:r>
      <w:r w:rsidR="00D00498">
        <w:rPr>
          <w:lang w:val="en-US"/>
        </w:rPr>
        <w:t xml:space="preserve">and investment </w:t>
      </w:r>
      <w:r w:rsidRPr="00B65973">
        <w:rPr>
          <w:lang w:val="en-US"/>
        </w:rPr>
        <w:t>funds</w:t>
      </w:r>
    </w:p>
    <w:p w14:paraId="046504CC" w14:textId="2707F516" w:rsidR="00314FA9" w:rsidRPr="00AA6C22" w:rsidRDefault="003A74DB" w:rsidP="00AA6C22">
      <w:r>
        <w:t xml:space="preserve">EAFRD payments are </w:t>
      </w:r>
      <w:r w:rsidR="002413F2">
        <w:t xml:space="preserve">positively and </w:t>
      </w:r>
      <w:r w:rsidR="008B07DE">
        <w:t>statistically significantly</w:t>
      </w:r>
      <w:r>
        <w:t xml:space="preserve"> correlated to other structural and investment funds </w:t>
      </w:r>
      <w:r w:rsidR="00586467">
        <w:t>(</w:t>
      </w:r>
      <w:r>
        <w:t>table 2</w:t>
      </w:r>
      <w:r w:rsidR="00586467">
        <w:t>)</w:t>
      </w:r>
      <w:r>
        <w:t xml:space="preserve">. </w:t>
      </w:r>
      <w:r w:rsidR="008B07DE">
        <w:t xml:space="preserve">Whereas </w:t>
      </w:r>
      <w:r w:rsidR="00314FA9">
        <w:t xml:space="preserve">the </w:t>
      </w:r>
      <w:r w:rsidR="008B07DE">
        <w:t xml:space="preserve">correlation with </w:t>
      </w:r>
      <w:r w:rsidR="00314FA9">
        <w:t xml:space="preserve">CF is moderate, EAFRD payments seem to be highly correlated to ERDF and ESF. This is likely so because CF is designed to fund projects in countries with relatively low gross national income, while many of the regions contributing from EAFRD are economically more developed (Northern Europe). </w:t>
      </w:r>
      <w:r w:rsidR="00527E75">
        <w:t>It is also noteworthy that t</w:t>
      </w:r>
      <w:r w:rsidR="00314FA9">
        <w:t xml:space="preserve">here are no </w:t>
      </w:r>
      <w:r w:rsidR="00527E75">
        <w:t xml:space="preserve">temporal </w:t>
      </w:r>
      <w:r w:rsidR="00314FA9">
        <w:t xml:space="preserve">trends in any of the correlations.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18"/>
        <w:gridCol w:w="600"/>
        <w:gridCol w:w="790"/>
        <w:gridCol w:w="669"/>
        <w:gridCol w:w="793"/>
        <w:gridCol w:w="672"/>
        <w:gridCol w:w="791"/>
        <w:gridCol w:w="473"/>
      </w:tblGrid>
      <w:tr w:rsidR="00C43CD9" w:rsidRPr="00B65973" w14:paraId="05CA2477" w14:textId="77777777" w:rsidTr="008B07DE">
        <w:trPr>
          <w:cantSplit/>
          <w:tblCellSpacing w:w="15" w:type="dxa"/>
        </w:trPr>
        <w:tc>
          <w:tcPr>
            <w:tcW w:w="4968" w:type="pct"/>
            <w:gridSpan w:val="8"/>
            <w:vAlign w:val="center"/>
            <w:hideMark/>
          </w:tcPr>
          <w:p w14:paraId="757E3528" w14:textId="0D3A383E" w:rsidR="00C43CD9" w:rsidRPr="00B65973" w:rsidRDefault="008D786F" w:rsidP="00C65DC7">
            <w:pPr>
              <w:pStyle w:val="Pealdis"/>
              <w:keepNext/>
            </w:pPr>
            <w:r w:rsidRPr="00B65973">
              <w:t xml:space="preserve">Table </w:t>
            </w:r>
            <w:r w:rsidRPr="00B65973">
              <w:fldChar w:fldCharType="begin"/>
            </w:r>
            <w:r w:rsidRPr="00B65973">
              <w:instrText xml:space="preserve"> SEQ Table \* ARABIC </w:instrText>
            </w:r>
            <w:r w:rsidRPr="00B65973">
              <w:fldChar w:fldCharType="separate"/>
            </w:r>
            <w:r w:rsidR="00D71678">
              <w:rPr>
                <w:noProof/>
              </w:rPr>
              <w:t>2</w:t>
            </w:r>
            <w:r w:rsidRPr="00B65973">
              <w:fldChar w:fldCharType="end"/>
            </w:r>
            <w:r w:rsidRPr="00B65973">
              <w:t>.</w:t>
            </w:r>
            <w:r w:rsidR="00B449E7" w:rsidRPr="00B449E7">
              <w:t xml:space="preserve"> </w:t>
            </w:r>
            <w:r w:rsidR="00B449E7">
              <w:t>Correlation between EAFRD payments</w:t>
            </w:r>
            <w:r w:rsidR="00EA17C8">
              <w:t xml:space="preserve"> in absolute terms</w:t>
            </w:r>
            <w:r w:rsidR="00B449E7">
              <w:t xml:space="preserve"> and other EU regional funds at NUTS2 level. Reported values represent </w:t>
            </w:r>
            <w:r w:rsidR="00B449E7" w:rsidRPr="00B65973">
              <w:t>Pearson correlation coefficient</w:t>
            </w:r>
            <w:r w:rsidR="00C65DC7">
              <w:t>s</w:t>
            </w:r>
            <w:r w:rsidR="00B449E7" w:rsidRPr="00B65973">
              <w:t xml:space="preserve"> (r) and </w:t>
            </w:r>
            <w:r w:rsidR="00C65DC7">
              <w:t>their</w:t>
            </w:r>
            <w:r w:rsidR="00B449E7" w:rsidRPr="00B65973">
              <w:t xml:space="preserve"> statistical significance (p).</w:t>
            </w:r>
            <w:r w:rsidR="007541DE">
              <w:t xml:space="preserve"> See table A2 for summary statistics.</w:t>
            </w:r>
          </w:p>
        </w:tc>
      </w:tr>
      <w:tr w:rsidR="008223DC" w:rsidRPr="00B65973" w14:paraId="6368BB79" w14:textId="77777777" w:rsidTr="009A4867">
        <w:trPr>
          <w:gridAfter w:val="1"/>
          <w:wAfter w:w="193" w:type="pct"/>
          <w:cantSplit/>
          <w:tblCellSpacing w:w="15" w:type="dxa"/>
        </w:trPr>
        <w:tc>
          <w:tcPr>
            <w:tcW w:w="2512" w:type="pct"/>
            <w:tcBorders>
              <w:top w:val="single" w:sz="4" w:space="0" w:color="auto"/>
            </w:tcBorders>
            <w:vAlign w:val="center"/>
          </w:tcPr>
          <w:p w14:paraId="36E5901E" w14:textId="77777777" w:rsidR="008223DC" w:rsidRPr="00B65973" w:rsidRDefault="008223DC" w:rsidP="00F434E6">
            <w:pPr>
              <w:pStyle w:val="Table"/>
              <w:rPr>
                <w:lang w:val="en-US"/>
              </w:rPr>
            </w:pPr>
          </w:p>
        </w:tc>
        <w:tc>
          <w:tcPr>
            <w:tcW w:w="574" w:type="pct"/>
            <w:gridSpan w:val="2"/>
            <w:tcBorders>
              <w:top w:val="single" w:sz="4" w:space="0" w:color="auto"/>
            </w:tcBorders>
          </w:tcPr>
          <w:p w14:paraId="1FD6B328" w14:textId="77777777" w:rsidR="008223DC" w:rsidRPr="00B65973" w:rsidRDefault="008223DC" w:rsidP="00117C75">
            <w:pPr>
              <w:pStyle w:val="Table"/>
              <w:jc w:val="center"/>
              <w:rPr>
                <w:b/>
                <w:lang w:val="en-US"/>
              </w:rPr>
            </w:pPr>
            <w:r w:rsidRPr="00B65973">
              <w:rPr>
                <w:b/>
                <w:lang w:val="en-US"/>
              </w:rPr>
              <w:t>2007</w:t>
            </w:r>
          </w:p>
        </w:tc>
        <w:tc>
          <w:tcPr>
            <w:tcW w:w="813" w:type="pct"/>
            <w:gridSpan w:val="2"/>
            <w:tcBorders>
              <w:top w:val="single" w:sz="4" w:space="0" w:color="auto"/>
            </w:tcBorders>
          </w:tcPr>
          <w:p w14:paraId="0AA3BA5C" w14:textId="77777777" w:rsidR="008223DC" w:rsidRPr="00B65973" w:rsidRDefault="008223DC" w:rsidP="00117C75">
            <w:pPr>
              <w:pStyle w:val="Table"/>
              <w:jc w:val="center"/>
              <w:rPr>
                <w:b/>
                <w:lang w:val="en-US"/>
              </w:rPr>
            </w:pPr>
            <w:r w:rsidRPr="00B65973">
              <w:rPr>
                <w:b/>
                <w:lang w:val="en-US"/>
              </w:rPr>
              <w:t>2010</w:t>
            </w:r>
          </w:p>
        </w:tc>
        <w:tc>
          <w:tcPr>
            <w:tcW w:w="812" w:type="pct"/>
            <w:gridSpan w:val="2"/>
            <w:tcBorders>
              <w:top w:val="single" w:sz="4" w:space="0" w:color="auto"/>
            </w:tcBorders>
          </w:tcPr>
          <w:p w14:paraId="46311112" w14:textId="77777777" w:rsidR="008223DC" w:rsidRPr="00B65973" w:rsidRDefault="008223DC" w:rsidP="00117C75">
            <w:pPr>
              <w:pStyle w:val="Table"/>
              <w:jc w:val="center"/>
              <w:rPr>
                <w:b/>
                <w:lang w:val="en-US"/>
              </w:rPr>
            </w:pPr>
            <w:r w:rsidRPr="00B65973">
              <w:rPr>
                <w:b/>
                <w:lang w:val="en-US"/>
              </w:rPr>
              <w:t>2013</w:t>
            </w:r>
          </w:p>
        </w:tc>
      </w:tr>
      <w:tr w:rsidR="008223DC" w:rsidRPr="00B65973" w14:paraId="2B3354C5" w14:textId="77777777" w:rsidTr="009A4867">
        <w:trPr>
          <w:gridAfter w:val="1"/>
          <w:wAfter w:w="193" w:type="pct"/>
          <w:cantSplit/>
          <w:tblCellSpacing w:w="15" w:type="dxa"/>
        </w:trPr>
        <w:tc>
          <w:tcPr>
            <w:tcW w:w="2512" w:type="pct"/>
            <w:tcBorders>
              <w:bottom w:val="single" w:sz="4" w:space="0" w:color="auto"/>
            </w:tcBorders>
            <w:vAlign w:val="center"/>
            <w:hideMark/>
          </w:tcPr>
          <w:p w14:paraId="43ED0C4A" w14:textId="77777777" w:rsidR="008223DC" w:rsidRPr="00B65973" w:rsidRDefault="008223DC" w:rsidP="00F434E6">
            <w:pPr>
              <w:pStyle w:val="Table"/>
              <w:rPr>
                <w:lang w:val="en-US"/>
              </w:rPr>
            </w:pPr>
          </w:p>
        </w:tc>
        <w:tc>
          <w:tcPr>
            <w:tcW w:w="136" w:type="pct"/>
            <w:tcBorders>
              <w:bottom w:val="single" w:sz="4" w:space="0" w:color="auto"/>
            </w:tcBorders>
            <w:hideMark/>
          </w:tcPr>
          <w:p w14:paraId="77FD4BF8" w14:textId="77777777" w:rsidR="008223DC" w:rsidRPr="00B65973" w:rsidRDefault="008223DC" w:rsidP="00117C75">
            <w:pPr>
              <w:pStyle w:val="Table"/>
              <w:jc w:val="center"/>
              <w:rPr>
                <w:lang w:val="en-US"/>
              </w:rPr>
            </w:pPr>
            <w:r w:rsidRPr="00B65973">
              <w:rPr>
                <w:lang w:val="en-US"/>
              </w:rPr>
              <w:t>r</w:t>
            </w:r>
          </w:p>
        </w:tc>
        <w:tc>
          <w:tcPr>
            <w:tcW w:w="423" w:type="pct"/>
            <w:tcBorders>
              <w:bottom w:val="single" w:sz="4" w:space="0" w:color="auto"/>
            </w:tcBorders>
            <w:hideMark/>
          </w:tcPr>
          <w:p w14:paraId="4B58682C" w14:textId="77777777" w:rsidR="008223DC" w:rsidRPr="00B65973" w:rsidRDefault="008223DC" w:rsidP="00117C75">
            <w:pPr>
              <w:pStyle w:val="Table"/>
              <w:jc w:val="center"/>
              <w:rPr>
                <w:lang w:val="en-US"/>
              </w:rPr>
            </w:pPr>
            <w:r w:rsidRPr="00B65973">
              <w:rPr>
                <w:lang w:val="en-US"/>
              </w:rPr>
              <w:t>p</w:t>
            </w:r>
          </w:p>
        </w:tc>
        <w:tc>
          <w:tcPr>
            <w:tcW w:w="373" w:type="pct"/>
            <w:tcBorders>
              <w:bottom w:val="single" w:sz="4" w:space="0" w:color="auto"/>
            </w:tcBorders>
            <w:hideMark/>
          </w:tcPr>
          <w:p w14:paraId="19A13C39" w14:textId="77777777" w:rsidR="008223DC" w:rsidRPr="00B65973" w:rsidRDefault="008223DC" w:rsidP="00117C75">
            <w:pPr>
              <w:pStyle w:val="Table"/>
              <w:jc w:val="center"/>
              <w:rPr>
                <w:lang w:val="en-US"/>
              </w:rPr>
            </w:pPr>
            <w:r w:rsidRPr="00B65973">
              <w:rPr>
                <w:lang w:val="en-US"/>
              </w:rPr>
              <w:t>r</w:t>
            </w:r>
          </w:p>
        </w:tc>
        <w:tc>
          <w:tcPr>
            <w:tcW w:w="424" w:type="pct"/>
            <w:tcBorders>
              <w:bottom w:val="single" w:sz="4" w:space="0" w:color="auto"/>
            </w:tcBorders>
            <w:hideMark/>
          </w:tcPr>
          <w:p w14:paraId="5990212F" w14:textId="77777777" w:rsidR="008223DC" w:rsidRPr="00B65973" w:rsidRDefault="008223DC" w:rsidP="00117C75">
            <w:pPr>
              <w:pStyle w:val="Table"/>
              <w:jc w:val="center"/>
              <w:rPr>
                <w:lang w:val="en-US"/>
              </w:rPr>
            </w:pPr>
            <w:r w:rsidRPr="00B65973">
              <w:rPr>
                <w:lang w:val="en-US"/>
              </w:rPr>
              <w:t>p</w:t>
            </w:r>
          </w:p>
        </w:tc>
        <w:tc>
          <w:tcPr>
            <w:tcW w:w="374" w:type="pct"/>
            <w:tcBorders>
              <w:bottom w:val="single" w:sz="4" w:space="0" w:color="auto"/>
            </w:tcBorders>
            <w:hideMark/>
          </w:tcPr>
          <w:p w14:paraId="0955F70C" w14:textId="77777777" w:rsidR="008223DC" w:rsidRPr="00B65973" w:rsidRDefault="008223DC" w:rsidP="00117C75">
            <w:pPr>
              <w:pStyle w:val="Table"/>
              <w:jc w:val="center"/>
              <w:rPr>
                <w:lang w:val="en-US"/>
              </w:rPr>
            </w:pPr>
            <w:r w:rsidRPr="00B65973">
              <w:rPr>
                <w:lang w:val="en-US"/>
              </w:rPr>
              <w:t>r</w:t>
            </w:r>
          </w:p>
        </w:tc>
        <w:tc>
          <w:tcPr>
            <w:tcW w:w="423" w:type="pct"/>
            <w:tcBorders>
              <w:bottom w:val="single" w:sz="4" w:space="0" w:color="auto"/>
            </w:tcBorders>
            <w:hideMark/>
          </w:tcPr>
          <w:p w14:paraId="41F33B36" w14:textId="77777777" w:rsidR="008223DC" w:rsidRPr="00B65973" w:rsidRDefault="008223DC" w:rsidP="00117C75">
            <w:pPr>
              <w:pStyle w:val="Table"/>
              <w:jc w:val="center"/>
              <w:rPr>
                <w:lang w:val="en-US"/>
              </w:rPr>
            </w:pPr>
            <w:r w:rsidRPr="00B65973">
              <w:rPr>
                <w:lang w:val="en-US"/>
              </w:rPr>
              <w:t>p</w:t>
            </w:r>
          </w:p>
        </w:tc>
      </w:tr>
      <w:tr w:rsidR="008223DC" w:rsidRPr="00B65973" w14:paraId="16346087" w14:textId="77777777" w:rsidTr="009A4867">
        <w:trPr>
          <w:gridAfter w:val="1"/>
          <w:wAfter w:w="193" w:type="pct"/>
          <w:cantSplit/>
          <w:tblCellSpacing w:w="15" w:type="dxa"/>
        </w:trPr>
        <w:tc>
          <w:tcPr>
            <w:tcW w:w="2512" w:type="pct"/>
            <w:vAlign w:val="center"/>
            <w:hideMark/>
          </w:tcPr>
          <w:p w14:paraId="6B47CE59" w14:textId="77777777" w:rsidR="008223DC" w:rsidRPr="00B65973" w:rsidRDefault="008223DC" w:rsidP="00F434E6">
            <w:pPr>
              <w:pStyle w:val="Table"/>
              <w:rPr>
                <w:lang w:val="en-US"/>
              </w:rPr>
            </w:pPr>
            <w:r w:rsidRPr="00B65973">
              <w:rPr>
                <w:lang w:val="en-US"/>
              </w:rPr>
              <w:t>EAFRD</w:t>
            </w:r>
          </w:p>
        </w:tc>
        <w:tc>
          <w:tcPr>
            <w:tcW w:w="136" w:type="pct"/>
            <w:hideMark/>
          </w:tcPr>
          <w:p w14:paraId="3CC422CB" w14:textId="77777777" w:rsidR="008223DC" w:rsidRPr="00B65973" w:rsidRDefault="008223DC" w:rsidP="00117C75">
            <w:pPr>
              <w:pStyle w:val="Table"/>
              <w:jc w:val="right"/>
              <w:rPr>
                <w:lang w:val="en-US"/>
              </w:rPr>
            </w:pPr>
            <w:r w:rsidRPr="00B65973">
              <w:rPr>
                <w:lang w:val="en-US"/>
              </w:rPr>
              <w:t>1</w:t>
            </w:r>
            <w:r w:rsidR="00DC3B52" w:rsidRPr="00B65973">
              <w:rPr>
                <w:lang w:val="en-US"/>
              </w:rPr>
              <w:t>.000</w:t>
            </w:r>
          </w:p>
        </w:tc>
        <w:tc>
          <w:tcPr>
            <w:tcW w:w="423" w:type="pct"/>
            <w:hideMark/>
          </w:tcPr>
          <w:p w14:paraId="4B77A654" w14:textId="77777777" w:rsidR="008223DC" w:rsidRPr="00B65973" w:rsidRDefault="008223DC" w:rsidP="00117C75">
            <w:pPr>
              <w:pStyle w:val="Table"/>
              <w:jc w:val="right"/>
              <w:rPr>
                <w:lang w:val="en-US"/>
              </w:rPr>
            </w:pPr>
          </w:p>
        </w:tc>
        <w:tc>
          <w:tcPr>
            <w:tcW w:w="373" w:type="pct"/>
            <w:hideMark/>
          </w:tcPr>
          <w:p w14:paraId="4834C386" w14:textId="77777777" w:rsidR="008223DC" w:rsidRPr="00B65973" w:rsidRDefault="00DC3B52" w:rsidP="00117C75">
            <w:pPr>
              <w:pStyle w:val="Table"/>
              <w:jc w:val="right"/>
              <w:rPr>
                <w:lang w:val="en-US"/>
              </w:rPr>
            </w:pPr>
            <w:r w:rsidRPr="00B65973">
              <w:rPr>
                <w:lang w:val="en-US"/>
              </w:rPr>
              <w:t>1.000</w:t>
            </w:r>
          </w:p>
        </w:tc>
        <w:tc>
          <w:tcPr>
            <w:tcW w:w="424" w:type="pct"/>
            <w:hideMark/>
          </w:tcPr>
          <w:p w14:paraId="2B3DD1CF" w14:textId="77777777" w:rsidR="008223DC" w:rsidRPr="00B65973" w:rsidRDefault="008223DC" w:rsidP="00117C75">
            <w:pPr>
              <w:pStyle w:val="Table"/>
              <w:jc w:val="right"/>
              <w:rPr>
                <w:lang w:val="en-US"/>
              </w:rPr>
            </w:pPr>
          </w:p>
        </w:tc>
        <w:tc>
          <w:tcPr>
            <w:tcW w:w="374" w:type="pct"/>
            <w:hideMark/>
          </w:tcPr>
          <w:p w14:paraId="7DA6BBC6" w14:textId="77777777" w:rsidR="008223DC" w:rsidRPr="00B65973" w:rsidRDefault="008223DC" w:rsidP="00117C75">
            <w:pPr>
              <w:pStyle w:val="Table"/>
              <w:jc w:val="right"/>
              <w:rPr>
                <w:lang w:val="en-US"/>
              </w:rPr>
            </w:pPr>
            <w:r w:rsidRPr="00B65973">
              <w:rPr>
                <w:lang w:val="en-US"/>
              </w:rPr>
              <w:t>1</w:t>
            </w:r>
            <w:r w:rsidR="00DC3B52" w:rsidRPr="00B65973">
              <w:rPr>
                <w:lang w:val="en-US"/>
              </w:rPr>
              <w:t>.000</w:t>
            </w:r>
          </w:p>
        </w:tc>
        <w:tc>
          <w:tcPr>
            <w:tcW w:w="423" w:type="pct"/>
            <w:hideMark/>
          </w:tcPr>
          <w:p w14:paraId="007EA95F" w14:textId="77777777" w:rsidR="008223DC" w:rsidRPr="00B65973" w:rsidRDefault="008223DC" w:rsidP="00117C75">
            <w:pPr>
              <w:pStyle w:val="Table"/>
              <w:jc w:val="right"/>
              <w:rPr>
                <w:lang w:val="en-US"/>
              </w:rPr>
            </w:pPr>
          </w:p>
        </w:tc>
      </w:tr>
      <w:tr w:rsidR="008223DC" w:rsidRPr="00B65973" w14:paraId="1D0B8879" w14:textId="77777777" w:rsidTr="009A4867">
        <w:trPr>
          <w:gridAfter w:val="1"/>
          <w:wAfter w:w="193" w:type="pct"/>
          <w:cantSplit/>
          <w:tblCellSpacing w:w="15" w:type="dxa"/>
        </w:trPr>
        <w:tc>
          <w:tcPr>
            <w:tcW w:w="2512" w:type="pct"/>
            <w:vAlign w:val="center"/>
            <w:hideMark/>
          </w:tcPr>
          <w:p w14:paraId="7267EBAA" w14:textId="03C7C78B" w:rsidR="008223DC" w:rsidRPr="00B65973" w:rsidRDefault="008B07DE" w:rsidP="00F434E6">
            <w:pPr>
              <w:pStyle w:val="Table"/>
              <w:rPr>
                <w:lang w:val="en-US"/>
              </w:rPr>
            </w:pPr>
            <w:r>
              <w:rPr>
                <w:lang w:val="en-US"/>
              </w:rPr>
              <w:t>CF (</w:t>
            </w:r>
            <w:r w:rsidR="008223DC" w:rsidRPr="00B65973">
              <w:rPr>
                <w:lang w:val="en-US"/>
              </w:rPr>
              <w:t>Cohesion Fund</w:t>
            </w:r>
            <w:r>
              <w:rPr>
                <w:lang w:val="en-US"/>
              </w:rPr>
              <w:t>)</w:t>
            </w:r>
          </w:p>
        </w:tc>
        <w:tc>
          <w:tcPr>
            <w:tcW w:w="136" w:type="pct"/>
            <w:hideMark/>
          </w:tcPr>
          <w:p w14:paraId="17C8CF2F" w14:textId="77777777" w:rsidR="008223DC" w:rsidRPr="00B65973" w:rsidRDefault="008223DC" w:rsidP="00117C75">
            <w:pPr>
              <w:pStyle w:val="Table"/>
              <w:jc w:val="right"/>
              <w:rPr>
                <w:lang w:val="en-US"/>
              </w:rPr>
            </w:pPr>
            <w:r w:rsidRPr="00B65973">
              <w:rPr>
                <w:lang w:val="en-US"/>
              </w:rPr>
              <w:t>0.227</w:t>
            </w:r>
          </w:p>
        </w:tc>
        <w:tc>
          <w:tcPr>
            <w:tcW w:w="423" w:type="pct"/>
            <w:hideMark/>
          </w:tcPr>
          <w:p w14:paraId="0DC10808" w14:textId="77777777" w:rsidR="008223DC" w:rsidRPr="00B65973" w:rsidRDefault="008223DC" w:rsidP="00117C75">
            <w:pPr>
              <w:pStyle w:val="Table"/>
              <w:jc w:val="right"/>
              <w:rPr>
                <w:lang w:val="en-US"/>
              </w:rPr>
            </w:pPr>
            <w:r w:rsidRPr="00B65973">
              <w:rPr>
                <w:lang w:val="en-US"/>
              </w:rPr>
              <w:t>0.027</w:t>
            </w:r>
          </w:p>
        </w:tc>
        <w:tc>
          <w:tcPr>
            <w:tcW w:w="373" w:type="pct"/>
            <w:hideMark/>
          </w:tcPr>
          <w:p w14:paraId="415DD919" w14:textId="77777777" w:rsidR="008223DC" w:rsidRPr="00B65973" w:rsidRDefault="008223DC" w:rsidP="00117C75">
            <w:pPr>
              <w:pStyle w:val="Table"/>
              <w:jc w:val="right"/>
              <w:rPr>
                <w:lang w:val="en-US"/>
              </w:rPr>
            </w:pPr>
            <w:r w:rsidRPr="00B65973">
              <w:rPr>
                <w:lang w:val="en-US"/>
              </w:rPr>
              <w:t>0.432</w:t>
            </w:r>
          </w:p>
        </w:tc>
        <w:tc>
          <w:tcPr>
            <w:tcW w:w="424" w:type="pct"/>
            <w:hideMark/>
          </w:tcPr>
          <w:p w14:paraId="485E64C8" w14:textId="77777777" w:rsidR="008223DC" w:rsidRPr="00B65973" w:rsidRDefault="008223DC" w:rsidP="00117C75">
            <w:pPr>
              <w:pStyle w:val="Table"/>
              <w:jc w:val="right"/>
              <w:rPr>
                <w:lang w:val="en-US"/>
              </w:rPr>
            </w:pPr>
            <w:r w:rsidRPr="00B65973">
              <w:rPr>
                <w:lang w:val="en-US"/>
              </w:rPr>
              <w:t>0.000</w:t>
            </w:r>
          </w:p>
        </w:tc>
        <w:tc>
          <w:tcPr>
            <w:tcW w:w="374" w:type="pct"/>
            <w:hideMark/>
          </w:tcPr>
          <w:p w14:paraId="684D182F" w14:textId="77777777" w:rsidR="008223DC" w:rsidRPr="00B65973" w:rsidRDefault="008223DC" w:rsidP="00117C75">
            <w:pPr>
              <w:pStyle w:val="Table"/>
              <w:jc w:val="right"/>
              <w:rPr>
                <w:lang w:val="en-US"/>
              </w:rPr>
            </w:pPr>
            <w:r w:rsidRPr="00B65973">
              <w:rPr>
                <w:lang w:val="en-US"/>
              </w:rPr>
              <w:t>0.361</w:t>
            </w:r>
          </w:p>
        </w:tc>
        <w:tc>
          <w:tcPr>
            <w:tcW w:w="423" w:type="pct"/>
            <w:hideMark/>
          </w:tcPr>
          <w:p w14:paraId="70A5A082" w14:textId="77777777" w:rsidR="008223DC" w:rsidRPr="00B65973" w:rsidRDefault="008223DC" w:rsidP="00117C75">
            <w:pPr>
              <w:pStyle w:val="Table"/>
              <w:jc w:val="right"/>
              <w:rPr>
                <w:lang w:val="en-US"/>
              </w:rPr>
            </w:pPr>
            <w:r w:rsidRPr="00B65973">
              <w:rPr>
                <w:lang w:val="en-US"/>
              </w:rPr>
              <w:t>0.000</w:t>
            </w:r>
          </w:p>
        </w:tc>
      </w:tr>
      <w:tr w:rsidR="008223DC" w:rsidRPr="00B65973" w14:paraId="4950FD7D" w14:textId="77777777" w:rsidTr="009A4867">
        <w:trPr>
          <w:gridAfter w:val="1"/>
          <w:wAfter w:w="193" w:type="pct"/>
          <w:cantSplit/>
          <w:tblCellSpacing w:w="15" w:type="dxa"/>
        </w:trPr>
        <w:tc>
          <w:tcPr>
            <w:tcW w:w="2512" w:type="pct"/>
            <w:vAlign w:val="center"/>
            <w:hideMark/>
          </w:tcPr>
          <w:p w14:paraId="5E7F5D80" w14:textId="15B478E3" w:rsidR="008223DC" w:rsidRPr="00B65973" w:rsidRDefault="008B07DE" w:rsidP="00F434E6">
            <w:pPr>
              <w:pStyle w:val="Table"/>
              <w:rPr>
                <w:lang w:val="en-US"/>
              </w:rPr>
            </w:pPr>
            <w:r>
              <w:rPr>
                <w:lang w:val="en-US"/>
              </w:rPr>
              <w:t>ERDF (</w:t>
            </w:r>
            <w:r w:rsidR="008223DC" w:rsidRPr="00B65973">
              <w:rPr>
                <w:lang w:val="en-US"/>
              </w:rPr>
              <w:t>European R</w:t>
            </w:r>
            <w:r w:rsidR="00DC3B52" w:rsidRPr="00B65973">
              <w:rPr>
                <w:lang w:val="en-US"/>
              </w:rPr>
              <w:t>egional</w:t>
            </w:r>
            <w:r w:rsidR="008223DC" w:rsidRPr="00B65973">
              <w:rPr>
                <w:lang w:val="en-US"/>
              </w:rPr>
              <w:t xml:space="preserve"> Development Fund</w:t>
            </w:r>
            <w:r>
              <w:rPr>
                <w:lang w:val="en-US"/>
              </w:rPr>
              <w:t>)</w:t>
            </w:r>
          </w:p>
        </w:tc>
        <w:tc>
          <w:tcPr>
            <w:tcW w:w="136" w:type="pct"/>
            <w:hideMark/>
          </w:tcPr>
          <w:p w14:paraId="5732E5A5" w14:textId="77777777" w:rsidR="008223DC" w:rsidRPr="00B65973" w:rsidRDefault="008223DC" w:rsidP="00117C75">
            <w:pPr>
              <w:pStyle w:val="Table"/>
              <w:jc w:val="right"/>
              <w:rPr>
                <w:lang w:val="en-US"/>
              </w:rPr>
            </w:pPr>
            <w:r w:rsidRPr="00B65973">
              <w:rPr>
                <w:lang w:val="en-US"/>
              </w:rPr>
              <w:t>0.639</w:t>
            </w:r>
          </w:p>
        </w:tc>
        <w:tc>
          <w:tcPr>
            <w:tcW w:w="423" w:type="pct"/>
            <w:hideMark/>
          </w:tcPr>
          <w:p w14:paraId="56A0C53B" w14:textId="77777777" w:rsidR="008223DC" w:rsidRPr="00B65973" w:rsidRDefault="006A6B61" w:rsidP="00117C75">
            <w:pPr>
              <w:pStyle w:val="Table"/>
              <w:jc w:val="right"/>
              <w:rPr>
                <w:lang w:val="en-US"/>
              </w:rPr>
            </w:pPr>
            <w:r w:rsidRPr="00B65973">
              <w:rPr>
                <w:lang w:val="en-US"/>
              </w:rPr>
              <w:t>0.000</w:t>
            </w:r>
          </w:p>
        </w:tc>
        <w:tc>
          <w:tcPr>
            <w:tcW w:w="373" w:type="pct"/>
            <w:hideMark/>
          </w:tcPr>
          <w:p w14:paraId="70BB3D8D" w14:textId="77777777" w:rsidR="008223DC" w:rsidRPr="00B65973" w:rsidRDefault="008223DC" w:rsidP="00117C75">
            <w:pPr>
              <w:pStyle w:val="Table"/>
              <w:jc w:val="right"/>
              <w:rPr>
                <w:lang w:val="en-US"/>
              </w:rPr>
            </w:pPr>
            <w:r w:rsidRPr="00B65973">
              <w:rPr>
                <w:lang w:val="en-US"/>
              </w:rPr>
              <w:t>0.657</w:t>
            </w:r>
          </w:p>
        </w:tc>
        <w:tc>
          <w:tcPr>
            <w:tcW w:w="424" w:type="pct"/>
            <w:hideMark/>
          </w:tcPr>
          <w:p w14:paraId="5A35313F" w14:textId="77777777" w:rsidR="008223DC" w:rsidRPr="00B65973" w:rsidRDefault="006A6B61" w:rsidP="00117C75">
            <w:pPr>
              <w:pStyle w:val="Table"/>
              <w:jc w:val="right"/>
              <w:rPr>
                <w:lang w:val="en-US"/>
              </w:rPr>
            </w:pPr>
            <w:r w:rsidRPr="00B65973">
              <w:rPr>
                <w:lang w:val="en-US"/>
              </w:rPr>
              <w:t>0.000</w:t>
            </w:r>
          </w:p>
        </w:tc>
        <w:tc>
          <w:tcPr>
            <w:tcW w:w="374" w:type="pct"/>
            <w:hideMark/>
          </w:tcPr>
          <w:p w14:paraId="45AF34CC" w14:textId="77777777" w:rsidR="008223DC" w:rsidRPr="00B65973" w:rsidRDefault="008223DC" w:rsidP="00117C75">
            <w:pPr>
              <w:pStyle w:val="Table"/>
              <w:jc w:val="right"/>
              <w:rPr>
                <w:lang w:val="en-US"/>
              </w:rPr>
            </w:pPr>
            <w:r w:rsidRPr="00B65973">
              <w:rPr>
                <w:lang w:val="en-US"/>
              </w:rPr>
              <w:t>0.675</w:t>
            </w:r>
          </w:p>
        </w:tc>
        <w:tc>
          <w:tcPr>
            <w:tcW w:w="423" w:type="pct"/>
            <w:hideMark/>
          </w:tcPr>
          <w:p w14:paraId="6D895A10" w14:textId="77777777" w:rsidR="008223DC" w:rsidRPr="00B65973" w:rsidRDefault="006A6B61" w:rsidP="00117C75">
            <w:pPr>
              <w:pStyle w:val="Table"/>
              <w:jc w:val="right"/>
              <w:rPr>
                <w:lang w:val="en-US"/>
              </w:rPr>
            </w:pPr>
            <w:r w:rsidRPr="00B65973">
              <w:rPr>
                <w:lang w:val="en-US"/>
              </w:rPr>
              <w:t>0.000</w:t>
            </w:r>
          </w:p>
        </w:tc>
      </w:tr>
      <w:tr w:rsidR="008223DC" w:rsidRPr="00B65973" w14:paraId="6CE4C7E9" w14:textId="77777777" w:rsidTr="009A4867">
        <w:trPr>
          <w:gridAfter w:val="1"/>
          <w:wAfter w:w="193" w:type="pct"/>
          <w:cantSplit/>
          <w:tblCellSpacing w:w="15" w:type="dxa"/>
        </w:trPr>
        <w:tc>
          <w:tcPr>
            <w:tcW w:w="2512" w:type="pct"/>
            <w:tcBorders>
              <w:bottom w:val="single" w:sz="4" w:space="0" w:color="auto"/>
            </w:tcBorders>
            <w:vAlign w:val="center"/>
            <w:hideMark/>
          </w:tcPr>
          <w:p w14:paraId="431990FB" w14:textId="2873193A" w:rsidR="008223DC" w:rsidRPr="00B65973" w:rsidRDefault="008B07DE" w:rsidP="00F434E6">
            <w:pPr>
              <w:pStyle w:val="Table"/>
              <w:rPr>
                <w:lang w:val="en-US"/>
              </w:rPr>
            </w:pPr>
            <w:r>
              <w:rPr>
                <w:lang w:val="en-US"/>
              </w:rPr>
              <w:t>ESF (</w:t>
            </w:r>
            <w:r w:rsidR="008223DC" w:rsidRPr="00B65973">
              <w:rPr>
                <w:lang w:val="en-US"/>
              </w:rPr>
              <w:t>European Social Fund</w:t>
            </w:r>
            <w:r>
              <w:rPr>
                <w:lang w:val="en-US"/>
              </w:rPr>
              <w:t>)</w:t>
            </w:r>
          </w:p>
        </w:tc>
        <w:tc>
          <w:tcPr>
            <w:tcW w:w="136" w:type="pct"/>
            <w:tcBorders>
              <w:bottom w:val="single" w:sz="4" w:space="0" w:color="auto"/>
            </w:tcBorders>
            <w:hideMark/>
          </w:tcPr>
          <w:p w14:paraId="46DBCE97" w14:textId="77777777" w:rsidR="008223DC" w:rsidRPr="00B65973" w:rsidRDefault="008223DC" w:rsidP="00117C75">
            <w:pPr>
              <w:pStyle w:val="Table"/>
              <w:jc w:val="right"/>
              <w:rPr>
                <w:lang w:val="en-US"/>
              </w:rPr>
            </w:pPr>
            <w:r w:rsidRPr="00B65973">
              <w:rPr>
                <w:lang w:val="en-US"/>
              </w:rPr>
              <w:t>0.612</w:t>
            </w:r>
          </w:p>
        </w:tc>
        <w:tc>
          <w:tcPr>
            <w:tcW w:w="423" w:type="pct"/>
            <w:tcBorders>
              <w:bottom w:val="single" w:sz="4" w:space="0" w:color="auto"/>
            </w:tcBorders>
            <w:hideMark/>
          </w:tcPr>
          <w:p w14:paraId="799155C9" w14:textId="77777777" w:rsidR="008223DC" w:rsidRPr="00B65973" w:rsidRDefault="006A6B61" w:rsidP="00117C75">
            <w:pPr>
              <w:pStyle w:val="Table"/>
              <w:jc w:val="right"/>
              <w:rPr>
                <w:lang w:val="en-US"/>
              </w:rPr>
            </w:pPr>
            <w:r w:rsidRPr="00B65973">
              <w:rPr>
                <w:lang w:val="en-US"/>
              </w:rPr>
              <w:t>0.000</w:t>
            </w:r>
          </w:p>
        </w:tc>
        <w:tc>
          <w:tcPr>
            <w:tcW w:w="373" w:type="pct"/>
            <w:tcBorders>
              <w:bottom w:val="single" w:sz="4" w:space="0" w:color="auto"/>
            </w:tcBorders>
            <w:hideMark/>
          </w:tcPr>
          <w:p w14:paraId="5795058A" w14:textId="77777777" w:rsidR="008223DC" w:rsidRPr="00B65973" w:rsidRDefault="008223DC" w:rsidP="00117C75">
            <w:pPr>
              <w:pStyle w:val="Table"/>
              <w:jc w:val="right"/>
              <w:rPr>
                <w:lang w:val="en-US"/>
              </w:rPr>
            </w:pPr>
            <w:r w:rsidRPr="00B65973">
              <w:rPr>
                <w:lang w:val="en-US"/>
              </w:rPr>
              <w:t>0.566</w:t>
            </w:r>
          </w:p>
        </w:tc>
        <w:tc>
          <w:tcPr>
            <w:tcW w:w="424" w:type="pct"/>
            <w:tcBorders>
              <w:bottom w:val="single" w:sz="4" w:space="0" w:color="auto"/>
            </w:tcBorders>
            <w:hideMark/>
          </w:tcPr>
          <w:p w14:paraId="0B02735A" w14:textId="77777777" w:rsidR="008223DC" w:rsidRPr="00B65973" w:rsidRDefault="006A6B61" w:rsidP="00117C75">
            <w:pPr>
              <w:pStyle w:val="Table"/>
              <w:jc w:val="right"/>
              <w:rPr>
                <w:lang w:val="en-US"/>
              </w:rPr>
            </w:pPr>
            <w:r w:rsidRPr="00B65973">
              <w:rPr>
                <w:lang w:val="en-US"/>
              </w:rPr>
              <w:t>0.000</w:t>
            </w:r>
          </w:p>
        </w:tc>
        <w:tc>
          <w:tcPr>
            <w:tcW w:w="374" w:type="pct"/>
            <w:tcBorders>
              <w:bottom w:val="single" w:sz="4" w:space="0" w:color="auto"/>
            </w:tcBorders>
            <w:hideMark/>
          </w:tcPr>
          <w:p w14:paraId="780FEC9A" w14:textId="77777777" w:rsidR="008223DC" w:rsidRPr="00B65973" w:rsidRDefault="008223DC" w:rsidP="00117C75">
            <w:pPr>
              <w:pStyle w:val="Table"/>
              <w:jc w:val="right"/>
              <w:rPr>
                <w:lang w:val="en-US"/>
              </w:rPr>
            </w:pPr>
            <w:r w:rsidRPr="00B65973">
              <w:rPr>
                <w:lang w:val="en-US"/>
              </w:rPr>
              <w:t>0.573</w:t>
            </w:r>
          </w:p>
        </w:tc>
        <w:tc>
          <w:tcPr>
            <w:tcW w:w="423" w:type="pct"/>
            <w:tcBorders>
              <w:bottom w:val="single" w:sz="4" w:space="0" w:color="auto"/>
            </w:tcBorders>
            <w:hideMark/>
          </w:tcPr>
          <w:p w14:paraId="15F4D6E5" w14:textId="77777777" w:rsidR="008223DC" w:rsidRPr="00B65973" w:rsidRDefault="006A6B61" w:rsidP="00117C75">
            <w:pPr>
              <w:pStyle w:val="Table"/>
              <w:jc w:val="right"/>
              <w:rPr>
                <w:lang w:val="en-US"/>
              </w:rPr>
            </w:pPr>
            <w:r w:rsidRPr="00B65973">
              <w:rPr>
                <w:lang w:val="en-US"/>
              </w:rPr>
              <w:t>0.000</w:t>
            </w:r>
          </w:p>
        </w:tc>
      </w:tr>
    </w:tbl>
    <w:p w14:paraId="74FF987B" w14:textId="17F6F98E" w:rsidR="00E512CF" w:rsidRPr="00B65973" w:rsidRDefault="007C055F" w:rsidP="212C9949">
      <w:pPr>
        <w:pStyle w:val="Pealkiri1"/>
        <w:rPr>
          <w:lang w:val="en-US"/>
        </w:rPr>
      </w:pPr>
      <w:r>
        <w:rPr>
          <w:lang w:val="en-US"/>
        </w:rPr>
        <w:t>C</w:t>
      </w:r>
      <w:r w:rsidR="212C9949" w:rsidRPr="212C9949">
        <w:rPr>
          <w:lang w:val="en-US"/>
        </w:rPr>
        <w:t>onclusions</w:t>
      </w:r>
      <w:r>
        <w:rPr>
          <w:lang w:val="en-US"/>
        </w:rPr>
        <w:t xml:space="preserve"> and discussion</w:t>
      </w:r>
    </w:p>
    <w:p w14:paraId="18B2B7C4" w14:textId="0423C94D" w:rsidR="212C9949" w:rsidRDefault="00E37184" w:rsidP="212C9949">
      <w:proofErr w:type="gramStart"/>
      <w:r>
        <w:t>As a result of</w:t>
      </w:r>
      <w:proofErr w:type="gramEnd"/>
      <w:r>
        <w:t xml:space="preserve"> reforms of the past few decades, the focus of </w:t>
      </w:r>
      <w:r w:rsidR="00586467">
        <w:t xml:space="preserve">the </w:t>
      </w:r>
      <w:r>
        <w:t xml:space="preserve">CAP on rural development has become considerably more explicit. While targeting </w:t>
      </w:r>
      <w:r w:rsidR="00586467">
        <w:t xml:space="preserve">less developed </w:t>
      </w:r>
      <w:r>
        <w:t>rural areas has intrinsically a territorial</w:t>
      </w:r>
      <w:r w:rsidR="00E154B2">
        <w:t xml:space="preserve"> dimension</w:t>
      </w:r>
      <w:r>
        <w:t xml:space="preserve">, </w:t>
      </w:r>
      <w:r w:rsidR="00E154B2">
        <w:t xml:space="preserve">some previous research suggests that this has not been sufficiently recognized </w:t>
      </w:r>
      <w:r w:rsidR="00E154B2">
        <w:lastRenderedPageBreak/>
        <w:t>in the policy design</w:t>
      </w:r>
      <w:r w:rsidR="00C75B1C">
        <w:t>. It has been demonstrated that the allocation of expenditure from EAFRD</w:t>
      </w:r>
      <w:r w:rsidR="00E154B2">
        <w:t xml:space="preserve"> </w:t>
      </w:r>
      <w:r w:rsidR="00C75B1C">
        <w:t xml:space="preserve">is not </w:t>
      </w:r>
      <w:r w:rsidR="00E154B2">
        <w:t xml:space="preserve">related to </w:t>
      </w:r>
      <w:r w:rsidR="00586467">
        <w:t xml:space="preserve">indicators of </w:t>
      </w:r>
      <w:r w:rsidR="00E154B2">
        <w:t>rural development as expected</w:t>
      </w:r>
      <w:r w:rsidR="00C75B1C">
        <w:t xml:space="preserve">, albeit that a balanced territorial development is one of the objectives of these funds. </w:t>
      </w:r>
      <w:r w:rsidR="007923D1">
        <w:t xml:space="preserve">This motivated the investigation of correlations between regions and </w:t>
      </w:r>
      <w:r w:rsidR="00402DFA">
        <w:t>some relevant</w:t>
      </w:r>
      <w:r w:rsidR="007923D1">
        <w:t xml:space="preserve"> regional characteristics in the context of EAFRD payments</w:t>
      </w:r>
      <w:r w:rsidR="001B6FF4">
        <w:t xml:space="preserve"> per capita</w:t>
      </w:r>
      <w:r w:rsidR="007923D1">
        <w:t xml:space="preserve">. </w:t>
      </w:r>
    </w:p>
    <w:p w14:paraId="2D51A949" w14:textId="7F2A30AA" w:rsidR="001A7B7D" w:rsidRDefault="00402DFA" w:rsidP="212C9949">
      <w:r>
        <w:t>Th</w:t>
      </w:r>
      <w:r w:rsidR="00F07D9A">
        <w:t xml:space="preserve">e units of observation in this analysis were NUTS2 regions, which can be considered as an intermediate level of territorial aggregation. As the comparison with some previous research indicated, this might have had an impact on the results. The regional level used must be considered when </w:t>
      </w:r>
      <w:r w:rsidR="001B6FF4">
        <w:t>interpreting the results to avoid ecological fallacy</w:t>
      </w:r>
      <w:r w:rsidR="005E390A">
        <w:t xml:space="preserve"> as the </w:t>
      </w:r>
      <w:r w:rsidR="001B6FF4">
        <w:t>correlations may differ substantially on a more detailed regional level or at the level of individual beneficiaries.</w:t>
      </w:r>
    </w:p>
    <w:p w14:paraId="7C7A5821" w14:textId="4F9D9FAC" w:rsidR="001B6FF4" w:rsidRDefault="00D44AC8" w:rsidP="212C9949">
      <w:r>
        <w:t>Assessment of spatial association</w:t>
      </w:r>
      <w:r w:rsidR="001B6FF4">
        <w:t xml:space="preserve"> between regions in </w:t>
      </w:r>
      <w:r>
        <w:t xml:space="preserve">terms of per capita EARFD </w:t>
      </w:r>
      <w:r w:rsidR="00586467">
        <w:t xml:space="preserve">payments </w:t>
      </w:r>
      <w:r>
        <w:t>yielded a rather high estimate of</w:t>
      </w:r>
      <w:r w:rsidRPr="00D44AC8">
        <w:t xml:space="preserve"> </w:t>
      </w:r>
      <w:r>
        <w:t xml:space="preserve">global spatial autocorrelation. This indicated a substantially higher concentration of the expenditure than previously demonstrated. While the </w:t>
      </w:r>
      <w:r w:rsidR="00E063B0">
        <w:t xml:space="preserve">consecutive </w:t>
      </w:r>
      <w:r>
        <w:t xml:space="preserve">reforms </w:t>
      </w:r>
      <w:r w:rsidR="00E063B0">
        <w:t>of</w:t>
      </w:r>
      <w:r>
        <w:t xml:space="preserve"> the policy would suggest that the payments </w:t>
      </w:r>
      <w:r w:rsidR="00E063B0">
        <w:t xml:space="preserve">have become territorially more concentrated, our estimates do not indicate neither a clear trend nor a substantial change over the past decades. </w:t>
      </w:r>
      <w:r w:rsidR="00F27422">
        <w:t xml:space="preserve">Some trends, however, emerge in the relationships between per capita EAFRD expenditure and regional development. The payments are negatively correlated with relative GDP but not with unemployment. During the 2007-2013 programming period, the payments have become more positively associated with small farming, agricultural employment and investments, whereas relationship with organic production has weakened. While this can be interpreted as a policy shift from </w:t>
      </w:r>
      <w:r w:rsidR="00586467">
        <w:t xml:space="preserve">developing </w:t>
      </w:r>
      <w:r w:rsidR="00F27422">
        <w:t>ecologically sustainable to more competitive farming, a more likely explanation is the 2007 enlargement</w:t>
      </w:r>
      <w:r w:rsidR="00063B6D">
        <w:t xml:space="preserve"> that increased the number of agriculturally less developed regions.</w:t>
      </w:r>
      <w:r w:rsidR="00A158B7">
        <w:t xml:space="preserve"> EAFRD payments are quite highly correlated to other structural and investment funds of the EU.</w:t>
      </w:r>
    </w:p>
    <w:p w14:paraId="0621F97D" w14:textId="727CFE7A" w:rsidR="0033572B" w:rsidRDefault="00276E92" w:rsidP="212C9949">
      <w:r>
        <w:t xml:space="preserve">As argued in some previous anlyses of Pillar 2 expenditure and its relation to regional development </w:t>
      </w:r>
      <w:r>
        <w:fldChar w:fldCharType="begin"/>
      </w:r>
      <w:r w:rsidR="00357568">
        <w:instrText xml:space="preserve"> ADDIN ZOTERO_ITEM CSL_CITATION {"citationID":"wLyDPvr2","properties":{"formattedCitation":"(Dall\\uc0\\u8217{}erba, 2005; Esposti, 2008)","plainCitation":"(Dall’erba, 2005; Esposti, 2008)","noteIndex":0},"citationItems":[{"id":50,"uris":["http://zotero.org/users/5499844/items/TP28I6MB"],"uri":["http://zotero.org/users/5499844/items/TP28I6MB"],"itemData":{"id":50,"type":"article-journal","title":"Distribution of regional income and regional funds in Europe 1989–1999: An exploratory spatial data analysis","container-title":"The Annals of Regional Science","page":"121-148","volume":"39","issue":"1","source":"Crossref","abstract":"The eﬀorts of the European Commission to reduce regional inequalities over its territory continue to attract the attention of researchers. The purpose of this paper is to perform an exploratory investigation of the relationship between the spatial distribution of regional income and of regional development funds among 145 European regions over 1989–1999. Using a set of tools of spatial statistics, we ﬁrst detect the presence of global and local spatial autocorrelation in the distribution of regional per capita incomes, traducing that rich (poor) regions tend to be clustered close to other rich (poor) regions, and in the distribution of regional growth rate and regional funds. Second, the results of LISA statistics conclude to the presence of spatial heterogeneity in the form of two spatial clusters of rich and poor regions over the decade, highlighting the persistence of a signiﬁcant core-periphery pattern among European regions. Finally, an exploratory analysis reveals a negative correlation between growth and initial income, that tends to indicate b-convergence. A positive relationship between regional growth and structural funds is identiﬁed among the signiﬁcant results as well. Only Andalucia, Galicia and Sterea Ellada show atypical linkages. These results suggest that further research should include spatial eﬀects and the distribution of regional funds in the spatial econometric estimation of regional convergence in Europe.","DOI":"10.1007/s00168-004-0199-4","ISSN":"0570-1864, 1432-0592","title-short":"Distribution of regional income and regional funds in Europe 1989–1999","language":"en","author":[{"family":"Dall’erba","given":"Sandy"}],"issued":{"date-parts":[["2005",3]]}}},{"id":920,"uris":["http://zotero.org/users/5499844/items/MYKIKAPT"],"uri":["http://zotero.org/users/5499844/items/MYKIKAPT"],"itemData":{"id":920,"type":"paper-conference","title":"Reforming the CAP: An agenda for regional growth?","publisher":"1","publisher-place":"Viterbo, Italy","page":"45","source":"Zotero","event":"109th EAAE Seminar \"The CAP after the Fischler reform: national implementations, impact assessment and the agenda for future reformers\"","event-place":"Viterbo, Italy","abstract":"This paper aims at analysing the recent CAP reform from the perspective of the current general and strategic objectives of the EU as defined by the Lisbon Strategy. A critical appraisal of the CAP impact in terms of regional growth is carried out. Firstly from a strictly conceptual and methodological point of view, then by analysing more in detail how CAP reform (of both Pillar I and II) might have actually affected the role of the CAP in promoting (or hindering) regional growth and, therefore, convergence. Empirical evidence provided by the different available methodologies has progressively emerged in the very last years. Though a conclusive answer on the impact of the reform can not be drawn, it still emerges that the role of CAP design and implementation in affecting regional growth and convergence is usually underestimated and often neglected in the discussions about the future of the CAP. At the same time, however, this role is not univocal and strongly case-specific, as it substantially differs across regions according to their socio-economic structure and how reforms are jointly implemented.","language":"en","author":[{"family":"Esposti","given":"Roberto"}],"issued":{"date-parts":[["2008",11]]}}}],"schema":"https://github.com/citation-style-language/schema/raw/master/csl-citation.json"} </w:instrText>
      </w:r>
      <w:r>
        <w:fldChar w:fldCharType="separate"/>
      </w:r>
      <w:r w:rsidR="00357568" w:rsidRPr="00357568">
        <w:t>(</w:t>
      </w:r>
      <w:proofErr w:type="spellStart"/>
      <w:r w:rsidR="00357568" w:rsidRPr="00357568">
        <w:t>Dall’erba</w:t>
      </w:r>
      <w:proofErr w:type="spellEnd"/>
      <w:r w:rsidR="00357568" w:rsidRPr="00357568">
        <w:t xml:space="preserve">, 2005; </w:t>
      </w:r>
      <w:proofErr w:type="spellStart"/>
      <w:r w:rsidR="00357568" w:rsidRPr="00357568">
        <w:t>Esposti</w:t>
      </w:r>
      <w:proofErr w:type="spellEnd"/>
      <w:r w:rsidR="00357568" w:rsidRPr="00357568">
        <w:t>, 2008)</w:t>
      </w:r>
      <w:r>
        <w:fldChar w:fldCharType="end"/>
      </w:r>
      <w:r>
        <w:t xml:space="preserve">, there is little if any evidence to expect that larger sums of support would result in increased economic growth. This </w:t>
      </w:r>
      <w:r w:rsidR="009135EF">
        <w:t xml:space="preserve">casts some doubt on the reasoning behind rural development expenditure of the CAP and its objective of achieving a balanced territorial development. It has been demonstrated that Pillar 2 payments are inversely correlated to </w:t>
      </w:r>
      <w:r w:rsidR="00086DD5">
        <w:t xml:space="preserve">payments from </w:t>
      </w:r>
      <w:r w:rsidR="009135EF">
        <w:t>Pillar 1</w:t>
      </w:r>
      <w:r w:rsidR="00086DD5">
        <w:t xml:space="preserve"> </w:t>
      </w:r>
      <w:r w:rsidR="009135EF">
        <w:fldChar w:fldCharType="begin"/>
      </w:r>
      <w:r w:rsidR="00357568">
        <w:instrText xml:space="preserve"> ADDIN ZOTERO_ITEM CSL_CITATION {"citationID":"p5hoIaiR","properties":{"formattedCitation":"(Bonfiglio et al., 2015, p. 6)","plainCitation":"(Bonfiglio et al., 2015, p. 6)","noteIndex":0},"citationItems":[{"id":127,"uris":["http://zotero.org/users/5499844/items/LY2PC72U"],"uri":["http://zotero.org/users/5499844/items/LY2PC72U"],"itemData":{"id":127,"type":"paper-conference","title":"Distributional and Re-distributional Patterns of CAP Expenditure through the EU Space","publisher":"Italian Association of Agricultural and Applied Economics (AIEAA)","publisher-place":"Milan","page":"1-30","event":"29th ICAE - International Conference of Agricultural Economist \"Agriculture in an interconnected world\"","event-place":"Milan","abstract":"This paper is aimed at assessing distribution of Common Agricultural Policy (CAP) expenditure through the European Union (EU) space. Firstly, spatial distribution of past CAP expenditure is analysed, specifically 2007-2011 payments. Both overall expenditure and disentangled measures are investigated; major territorial patterns through the EU-27 are highlighted as well. Secondly, spatial distribution of future expenditure, according to latest 2014-2020 CAP reform, is analysed. In particular, we assess re-distributional effects connected with spatial spillovers that are due to regional economic integration. Assessment is made through the adoption of a multiregional I-O model. The analysis is carried out at a very high level of disaggregation, i.e. NUTS 3 level throughout the EU-27. Furthermore, a specific focus is devoted to rural-urban relationships.","author":[{"family":"Bonfiglio","given":"Andrea"},{"family":"Camaioni","given":"Beatrice"},{"family":"Esposti","given":"Roberto"},{"family":"Pagliacci","given":"Francesco"},{"family":"Sotte","given":"Franco"}],"issued":{"date-parts":[["2015",8]]}},"locator":"6"}],"schema":"https://github.com/citation-style-language/schema/raw/master/csl-citation.json"} </w:instrText>
      </w:r>
      <w:r w:rsidR="009135EF">
        <w:fldChar w:fldCharType="separate"/>
      </w:r>
      <w:r w:rsidR="00357568" w:rsidRPr="00357568">
        <w:t>(</w:t>
      </w:r>
      <w:proofErr w:type="spellStart"/>
      <w:r w:rsidR="00357568" w:rsidRPr="00357568">
        <w:t>Bonfiglio</w:t>
      </w:r>
      <w:proofErr w:type="spellEnd"/>
      <w:r w:rsidR="00357568" w:rsidRPr="00357568">
        <w:t xml:space="preserve"> et al., 2015, p. 6)</w:t>
      </w:r>
      <w:r w:rsidR="009135EF">
        <w:fldChar w:fldCharType="end"/>
      </w:r>
      <w:r w:rsidR="00086DD5">
        <w:t xml:space="preserve">, which are often considered as </w:t>
      </w:r>
      <w:r w:rsidR="00DE7B60">
        <w:t>unfair</w:t>
      </w:r>
      <w:r w:rsidR="00086DD5">
        <w:t xml:space="preserve"> due to favoring older </w:t>
      </w:r>
      <w:r w:rsidR="005A1BAE">
        <w:t>Member State</w:t>
      </w:r>
      <w:r w:rsidR="00086DD5">
        <w:t xml:space="preserve">s.  </w:t>
      </w:r>
      <w:r w:rsidR="002D7257">
        <w:t xml:space="preserve">The analysis in this paper showed that Pillar 2 expenditure does tend to be higher in new </w:t>
      </w:r>
      <w:r w:rsidR="005A1BAE">
        <w:t>Member State</w:t>
      </w:r>
      <w:r w:rsidR="002D7257">
        <w:t xml:space="preserve">s, albeit with some exceptions. </w:t>
      </w:r>
      <w:r w:rsidR="000C0CF6">
        <w:t xml:space="preserve">This lends support to the existing notions that instead of </w:t>
      </w:r>
      <w:r w:rsidR="00DE7B60">
        <w:t xml:space="preserve">or in addition to </w:t>
      </w:r>
      <w:r w:rsidR="000C0CF6">
        <w:t xml:space="preserve">a means for rural development, Pillar 2 functions as an instrument to compensate for </w:t>
      </w:r>
      <w:r w:rsidR="00DE7B60">
        <w:t>unequal Pillar 1 payments.</w:t>
      </w:r>
    </w:p>
    <w:p w14:paraId="7B0F6CEC" w14:textId="41A21FB8" w:rsidR="00666BB3" w:rsidRDefault="00BD12D1" w:rsidP="212C9949">
      <w:r>
        <w:t xml:space="preserve">In addition to this assumption, there are other issues regarding CAP rural development funding worth investigating. </w:t>
      </w:r>
      <w:r w:rsidR="005B3B96">
        <w:t>While th</w:t>
      </w:r>
      <w:r w:rsidR="00541FCE">
        <w:t>e current</w:t>
      </w:r>
      <w:r w:rsidR="005B3B96">
        <w:t xml:space="preserve"> paper </w:t>
      </w:r>
      <w:r>
        <w:t xml:space="preserve">explored the distribution of payments, providing an explanation </w:t>
      </w:r>
      <w:r w:rsidR="00541FCE">
        <w:t xml:space="preserve">to this </w:t>
      </w:r>
      <w:r>
        <w:t xml:space="preserve">would be </w:t>
      </w:r>
      <w:r w:rsidR="00541FCE">
        <w:t xml:space="preserve">more </w:t>
      </w:r>
      <w:r>
        <w:t xml:space="preserve">beneficial. Future inquiries on this matter </w:t>
      </w:r>
      <w:r w:rsidR="00C6720D">
        <w:t xml:space="preserve">should also consider Pillar 1 payments and </w:t>
      </w:r>
      <w:r w:rsidR="005A1BAE">
        <w:t>Member State</w:t>
      </w:r>
      <w:r w:rsidR="00C6720D">
        <w:t xml:space="preserve"> co</w:t>
      </w:r>
      <w:r w:rsidR="00541FCE">
        <w:t>-</w:t>
      </w:r>
      <w:r w:rsidR="00C6720D">
        <w:t>financing</w:t>
      </w:r>
      <w:r w:rsidR="00541FCE">
        <w:t xml:space="preserve"> and more broadly account for </w:t>
      </w:r>
      <w:proofErr w:type="gramStart"/>
      <w:r w:rsidR="00541FCE">
        <w:t>various differences</w:t>
      </w:r>
      <w:proofErr w:type="gramEnd"/>
      <w:r w:rsidR="00541FCE">
        <w:t xml:space="preserve"> between regions.</w:t>
      </w:r>
    </w:p>
    <w:p w14:paraId="78DA14E8" w14:textId="77777777" w:rsidR="005E390A" w:rsidRDefault="005E390A">
      <w:pPr>
        <w:spacing w:after="0"/>
        <w:jc w:val="left"/>
        <w:rPr>
          <w:rFonts w:eastAsiaTheme="majorEastAsia" w:cstheme="majorBidi"/>
          <w:b/>
          <w:szCs w:val="32"/>
        </w:rPr>
      </w:pPr>
      <w:r>
        <w:br w:type="page"/>
      </w:r>
    </w:p>
    <w:p w14:paraId="1444ED49" w14:textId="1099D702" w:rsidR="00E512CF" w:rsidRDefault="212C9949" w:rsidP="00921FDF">
      <w:pPr>
        <w:pStyle w:val="Pealkiri1"/>
        <w:rPr>
          <w:lang w:val="en-US"/>
        </w:rPr>
      </w:pPr>
      <w:r w:rsidRPr="212C9949">
        <w:rPr>
          <w:lang w:val="en-US"/>
        </w:rPr>
        <w:lastRenderedPageBreak/>
        <w:t>References</w:t>
      </w:r>
    </w:p>
    <w:p w14:paraId="3F26139E" w14:textId="77777777" w:rsidR="00357568" w:rsidRPr="00357568" w:rsidRDefault="00221A0C" w:rsidP="00357568">
      <w:pPr>
        <w:pStyle w:val="Bibliograafia"/>
      </w:pPr>
      <w:r w:rsidRPr="00357568">
        <w:fldChar w:fldCharType="begin"/>
      </w:r>
      <w:r w:rsidR="00357568">
        <w:instrText xml:space="preserve"> ADDIN ZOTERO_BIBL {"uncited":[],"omitted":[],"custom":[]} CSL_BIBLIOGRAPHY </w:instrText>
      </w:r>
      <w:r w:rsidRPr="00357568">
        <w:fldChar w:fldCharType="separate"/>
      </w:r>
      <w:proofErr w:type="spellStart"/>
      <w:r w:rsidR="00357568" w:rsidRPr="00357568">
        <w:t>Anselin</w:t>
      </w:r>
      <w:proofErr w:type="spellEnd"/>
      <w:r w:rsidR="00357568" w:rsidRPr="00357568">
        <w:t>, L., 1995. Local Indicators of Spatial Association-LISA. Geographical Analysis 27, 93–115. https://doi.org/10.1111/j.1538-4632.1995.tb00338.x</w:t>
      </w:r>
    </w:p>
    <w:p w14:paraId="32CB7D4D" w14:textId="77777777" w:rsidR="00357568" w:rsidRPr="00357568" w:rsidRDefault="00357568" w:rsidP="00357568">
      <w:pPr>
        <w:pStyle w:val="Bibliograafia"/>
      </w:pPr>
      <w:proofErr w:type="spellStart"/>
      <w:r w:rsidRPr="00357568">
        <w:t>Bakucs</w:t>
      </w:r>
      <w:proofErr w:type="spellEnd"/>
      <w:r w:rsidRPr="00357568">
        <w:t xml:space="preserve">, Z., </w:t>
      </w:r>
      <w:proofErr w:type="spellStart"/>
      <w:r w:rsidRPr="00357568">
        <w:t>Fertő</w:t>
      </w:r>
      <w:proofErr w:type="spellEnd"/>
      <w:r w:rsidRPr="00357568">
        <w:t xml:space="preserve">, I., </w:t>
      </w:r>
      <w:proofErr w:type="spellStart"/>
      <w:r w:rsidRPr="00357568">
        <w:t>Benedek</w:t>
      </w:r>
      <w:proofErr w:type="spellEnd"/>
      <w:r w:rsidRPr="00357568">
        <w:t>, Z., 2019. Success or Waste of Taxpayer Money? Impact Assessment of Rural Development Programs in Hungary. Sustainability 11, 2158. https://doi.org/10.3390/su11072158</w:t>
      </w:r>
    </w:p>
    <w:p w14:paraId="4392B1D6" w14:textId="77777777" w:rsidR="00357568" w:rsidRPr="00357568" w:rsidRDefault="00357568" w:rsidP="00357568">
      <w:pPr>
        <w:pStyle w:val="Bibliograafia"/>
      </w:pPr>
      <w:proofErr w:type="spellStart"/>
      <w:r w:rsidRPr="00357568">
        <w:t>Bakucs</w:t>
      </w:r>
      <w:proofErr w:type="spellEnd"/>
      <w:r w:rsidRPr="00357568">
        <w:t xml:space="preserve">, Z., </w:t>
      </w:r>
      <w:proofErr w:type="spellStart"/>
      <w:r w:rsidRPr="00357568">
        <w:t>Fertő</w:t>
      </w:r>
      <w:proofErr w:type="spellEnd"/>
      <w:r w:rsidRPr="00357568">
        <w:t xml:space="preserve">, I., </w:t>
      </w:r>
      <w:proofErr w:type="spellStart"/>
      <w:r w:rsidRPr="00357568">
        <w:t>Varga</w:t>
      </w:r>
      <w:proofErr w:type="spellEnd"/>
      <w:r w:rsidRPr="00357568">
        <w:t xml:space="preserve">, Á., </w:t>
      </w:r>
      <w:proofErr w:type="spellStart"/>
      <w:r w:rsidRPr="00357568">
        <w:t>Benedek</w:t>
      </w:r>
      <w:proofErr w:type="spellEnd"/>
      <w:r w:rsidRPr="00357568">
        <w:t>, Z., 2018. Impact of European Union development subsidies on Hungarian regions. European Planning Studies 26, 1121–1136. https://doi.org/10.1080/09654313.2018.1437394</w:t>
      </w:r>
    </w:p>
    <w:p w14:paraId="6DBD47CA" w14:textId="77777777" w:rsidR="00357568" w:rsidRPr="00357568" w:rsidRDefault="00357568" w:rsidP="00357568">
      <w:pPr>
        <w:pStyle w:val="Bibliograafia"/>
      </w:pPr>
      <w:r w:rsidRPr="00357568">
        <w:t>Becker, S.O., Egger, P.H., von Ehrlich, M., 2012. Too much of a good thing? On the growth effects of the EU’s regional policy. European Economic Review 56, 648–668. https://doi.org/10.1016/j.euroecorev.2012.03.001</w:t>
      </w:r>
    </w:p>
    <w:p w14:paraId="1178038D" w14:textId="77777777" w:rsidR="00357568" w:rsidRPr="00357568" w:rsidRDefault="00357568" w:rsidP="00357568">
      <w:pPr>
        <w:pStyle w:val="Bibliograafia"/>
      </w:pPr>
      <w:proofErr w:type="spellStart"/>
      <w:r w:rsidRPr="00357568">
        <w:t>Bivand</w:t>
      </w:r>
      <w:proofErr w:type="spellEnd"/>
      <w:r w:rsidRPr="00357568">
        <w:t>, R.S., Wong, D.W.S., 2018. Comparing implementations of global and local indicators of spatial association. TEST 27, 716–748. https://doi.org/10.1007/s11749-018-0599-x</w:t>
      </w:r>
    </w:p>
    <w:p w14:paraId="442CF2BE" w14:textId="77777777" w:rsidR="00357568" w:rsidRPr="00357568" w:rsidRDefault="00357568" w:rsidP="00357568">
      <w:pPr>
        <w:pStyle w:val="Bibliograafia"/>
      </w:pPr>
      <w:proofErr w:type="spellStart"/>
      <w:r w:rsidRPr="00357568">
        <w:t>Bonfiglio</w:t>
      </w:r>
      <w:proofErr w:type="spellEnd"/>
      <w:r w:rsidRPr="00357568">
        <w:t xml:space="preserve">, A., </w:t>
      </w:r>
      <w:proofErr w:type="spellStart"/>
      <w:r w:rsidRPr="00357568">
        <w:t>Camaioni</w:t>
      </w:r>
      <w:proofErr w:type="spellEnd"/>
      <w:r w:rsidRPr="00357568">
        <w:t xml:space="preserve">, B., </w:t>
      </w:r>
      <w:proofErr w:type="spellStart"/>
      <w:r w:rsidRPr="00357568">
        <w:t>Coderoni</w:t>
      </w:r>
      <w:proofErr w:type="spellEnd"/>
      <w:r w:rsidRPr="00357568">
        <w:t xml:space="preserve">, S., </w:t>
      </w:r>
      <w:proofErr w:type="spellStart"/>
      <w:r w:rsidRPr="00357568">
        <w:t>Esposti</w:t>
      </w:r>
      <w:proofErr w:type="spellEnd"/>
      <w:r w:rsidRPr="00357568">
        <w:t xml:space="preserve">, R., Pagliacci, F., </w:t>
      </w:r>
      <w:proofErr w:type="spellStart"/>
      <w:r w:rsidRPr="00357568">
        <w:t>Sotte</w:t>
      </w:r>
      <w:proofErr w:type="spellEnd"/>
      <w:r w:rsidRPr="00357568">
        <w:t xml:space="preserve">, F., 2016. Where does EU money eventually go? The distribution of CAP expenditure across the European space. </w:t>
      </w:r>
      <w:proofErr w:type="spellStart"/>
      <w:r w:rsidRPr="00357568">
        <w:t>Empirica</w:t>
      </w:r>
      <w:proofErr w:type="spellEnd"/>
      <w:r w:rsidRPr="00357568">
        <w:t xml:space="preserve"> 43, 693–727. https://doi.org/10.1007/s10663-016-9354-2</w:t>
      </w:r>
    </w:p>
    <w:p w14:paraId="0B69378C" w14:textId="77777777" w:rsidR="00357568" w:rsidRPr="00357568" w:rsidRDefault="00357568" w:rsidP="00357568">
      <w:pPr>
        <w:pStyle w:val="Bibliograafia"/>
      </w:pPr>
      <w:proofErr w:type="spellStart"/>
      <w:r w:rsidRPr="00357568">
        <w:t>Bonfiglio</w:t>
      </w:r>
      <w:proofErr w:type="spellEnd"/>
      <w:r w:rsidRPr="00357568">
        <w:t xml:space="preserve">, A., </w:t>
      </w:r>
      <w:proofErr w:type="spellStart"/>
      <w:r w:rsidRPr="00357568">
        <w:t>Camaioni</w:t>
      </w:r>
      <w:proofErr w:type="spellEnd"/>
      <w:r w:rsidRPr="00357568">
        <w:t xml:space="preserve">, B., </w:t>
      </w:r>
      <w:proofErr w:type="spellStart"/>
      <w:r w:rsidRPr="00357568">
        <w:t>Esposti</w:t>
      </w:r>
      <w:proofErr w:type="spellEnd"/>
      <w:r w:rsidRPr="00357568">
        <w:t xml:space="preserve">, R., Pagliacci, F., </w:t>
      </w:r>
      <w:proofErr w:type="spellStart"/>
      <w:r w:rsidRPr="00357568">
        <w:t>Sotte</w:t>
      </w:r>
      <w:proofErr w:type="spellEnd"/>
      <w:r w:rsidRPr="00357568">
        <w:t>, F., 2015. Distributional and Re-distributional Patterns of CAP Expenditure through the EU Space. Presented at the 29th ICAE - International Conference of Agricultural Economist “Agriculture in an interconnected world,” Italian Association of Agricultural and Applied Economics (AIEAA), Milan, pp. 1–30.</w:t>
      </w:r>
    </w:p>
    <w:p w14:paraId="5E84A523" w14:textId="77777777" w:rsidR="00357568" w:rsidRPr="00357568" w:rsidRDefault="00357568" w:rsidP="00357568">
      <w:pPr>
        <w:pStyle w:val="Bibliograafia"/>
      </w:pPr>
      <w:proofErr w:type="spellStart"/>
      <w:r w:rsidRPr="00357568">
        <w:t>Camaioni</w:t>
      </w:r>
      <w:proofErr w:type="spellEnd"/>
      <w:r w:rsidRPr="00357568">
        <w:t xml:space="preserve">, B., </w:t>
      </w:r>
      <w:proofErr w:type="spellStart"/>
      <w:r w:rsidRPr="00357568">
        <w:t>Esposti</w:t>
      </w:r>
      <w:proofErr w:type="spellEnd"/>
      <w:r w:rsidRPr="00357568">
        <w:t xml:space="preserve">, R., Pagliacci, F., </w:t>
      </w:r>
      <w:proofErr w:type="spellStart"/>
      <w:r w:rsidRPr="00357568">
        <w:t>Sotte</w:t>
      </w:r>
      <w:proofErr w:type="spellEnd"/>
      <w:r w:rsidRPr="00357568">
        <w:t>, F., 2014. How does space affect the allocation of the EU rural development policy’s expenditure? An econometric assessment.</w:t>
      </w:r>
    </w:p>
    <w:p w14:paraId="21C02129" w14:textId="77777777" w:rsidR="00357568" w:rsidRPr="00357568" w:rsidRDefault="00357568" w:rsidP="00357568">
      <w:pPr>
        <w:pStyle w:val="Bibliograafia"/>
      </w:pPr>
      <w:r w:rsidRPr="00357568">
        <w:t xml:space="preserve">Crescenzi, R., </w:t>
      </w:r>
      <w:proofErr w:type="spellStart"/>
      <w:r w:rsidRPr="00357568">
        <w:t>Filippis</w:t>
      </w:r>
      <w:proofErr w:type="spellEnd"/>
      <w:r w:rsidRPr="00357568">
        <w:t xml:space="preserve">, F.D., </w:t>
      </w:r>
      <w:proofErr w:type="spellStart"/>
      <w:r w:rsidRPr="00357568">
        <w:t>Pierangeli</w:t>
      </w:r>
      <w:proofErr w:type="spellEnd"/>
      <w:r w:rsidRPr="00357568">
        <w:t>, F., 2011. In tandem for cohesion? Synergies and conflicts between regional and agricultural policies of the European Union (Discussion Paper No. LEQS Paper No. 40/2011), LSE ‘Europe in Question’ Discussion Paper Series.</w:t>
      </w:r>
    </w:p>
    <w:p w14:paraId="62C4D585" w14:textId="77777777" w:rsidR="00357568" w:rsidRPr="00357568" w:rsidRDefault="00357568" w:rsidP="00357568">
      <w:pPr>
        <w:pStyle w:val="Bibliograafia"/>
      </w:pPr>
      <w:proofErr w:type="spellStart"/>
      <w:r w:rsidRPr="00357568">
        <w:t>Dall’erba</w:t>
      </w:r>
      <w:proofErr w:type="spellEnd"/>
      <w:r w:rsidRPr="00357568">
        <w:t>, S., 2005. Distribution of regional income and regional funds in Europe 1989–1999: An exploratory spatial data analysis. The Annals of Regional Science 39, 121–148. https://doi.org/10.1007/s00168-004-0199-4</w:t>
      </w:r>
    </w:p>
    <w:p w14:paraId="34402EED" w14:textId="77777777" w:rsidR="00357568" w:rsidRPr="00357568" w:rsidRDefault="00357568" w:rsidP="00357568">
      <w:pPr>
        <w:pStyle w:val="Bibliograafia"/>
      </w:pPr>
      <w:proofErr w:type="spellStart"/>
      <w:r w:rsidRPr="00357568">
        <w:t>Dall’erba</w:t>
      </w:r>
      <w:proofErr w:type="spellEnd"/>
      <w:r w:rsidRPr="00357568">
        <w:t>, S., Le Gallo, J., 2008. Regional convergence and the impact of European structural funds over 1989-1999: A spatial econometric analysis. Papers in Regional Science 87, 219–244. https://doi.org/10.1111/j.1435-5957.2008.00184.x</w:t>
      </w:r>
    </w:p>
    <w:p w14:paraId="1D550B3F" w14:textId="77777777" w:rsidR="00357568" w:rsidRPr="00357568" w:rsidRDefault="00357568" w:rsidP="00357568">
      <w:pPr>
        <w:pStyle w:val="Bibliograafia"/>
      </w:pPr>
      <w:r w:rsidRPr="00357568">
        <w:t xml:space="preserve">Dwyer, J., Ward, N., Lowe, P., </w:t>
      </w:r>
      <w:proofErr w:type="spellStart"/>
      <w:r w:rsidRPr="00357568">
        <w:t>Baldock</w:t>
      </w:r>
      <w:proofErr w:type="spellEnd"/>
      <w:r w:rsidRPr="00357568">
        <w:t>, D., 2007. European Rural Development under the Common Agricultural Policy’s ‘Second Pillar’: Institutional Conservatism and Innovation. Regional Studies 41, 873–888. https://doi.org/10.1080/00343400601142795</w:t>
      </w:r>
    </w:p>
    <w:p w14:paraId="629D3EDC" w14:textId="77777777" w:rsidR="00357568" w:rsidRPr="00357568" w:rsidRDefault="00357568" w:rsidP="00357568">
      <w:pPr>
        <w:pStyle w:val="Bibliograafia"/>
      </w:pPr>
      <w:proofErr w:type="spellStart"/>
      <w:r w:rsidRPr="00357568">
        <w:t>Esposti</w:t>
      </w:r>
      <w:proofErr w:type="spellEnd"/>
      <w:r w:rsidRPr="00357568">
        <w:t xml:space="preserve">, R., 2008. Reforming the CAP: An agenda for regional growth? Presented at the 109th EAAE Seminar “The CAP after the </w:t>
      </w:r>
      <w:proofErr w:type="spellStart"/>
      <w:r w:rsidRPr="00357568">
        <w:t>Fischler</w:t>
      </w:r>
      <w:proofErr w:type="spellEnd"/>
      <w:r w:rsidRPr="00357568">
        <w:t xml:space="preserve"> reform: national implementations, impact assessment and the agenda for future reformers,” 1, </w:t>
      </w:r>
      <w:proofErr w:type="spellStart"/>
      <w:r w:rsidRPr="00357568">
        <w:t>Viterbo</w:t>
      </w:r>
      <w:proofErr w:type="spellEnd"/>
      <w:r w:rsidRPr="00357568">
        <w:t>, Italy, p. 45.</w:t>
      </w:r>
    </w:p>
    <w:p w14:paraId="458168FF" w14:textId="77777777" w:rsidR="00357568" w:rsidRPr="00357568" w:rsidRDefault="00357568" w:rsidP="00357568">
      <w:pPr>
        <w:pStyle w:val="Bibliograafia"/>
      </w:pPr>
      <w:proofErr w:type="spellStart"/>
      <w:r w:rsidRPr="00357568">
        <w:t>Esposti</w:t>
      </w:r>
      <w:proofErr w:type="spellEnd"/>
      <w:r w:rsidRPr="00357568">
        <w:t>, R., 2007. Regional Growth and Policies in the European Union: Does the Common Agricultural Policy Have a Counter-Treatment Effect? American Journal of Agricultural Economics 89, 116–134. https://doi.org/10.1111/j.1467-8276.2007.00967.x</w:t>
      </w:r>
    </w:p>
    <w:p w14:paraId="10A5C7C5" w14:textId="77777777" w:rsidR="00357568" w:rsidRPr="00357568" w:rsidRDefault="00357568" w:rsidP="00357568">
      <w:pPr>
        <w:pStyle w:val="Bibliograafia"/>
      </w:pPr>
      <w:r w:rsidRPr="00357568">
        <w:t>European Commission, 2011. Common Agricultural Policy towards 2020. Annex 4. (Commission staff working paper).</w:t>
      </w:r>
    </w:p>
    <w:p w14:paraId="42ED8ED5" w14:textId="4248B0C2" w:rsidR="00357568" w:rsidRPr="00357568" w:rsidRDefault="00357568" w:rsidP="00357568">
      <w:pPr>
        <w:pStyle w:val="Bibliograafia"/>
      </w:pPr>
      <w:r w:rsidRPr="00357568">
        <w:t xml:space="preserve">European Parliament and Council of the European Union, 2013. Regulation (EU) No 1305/2013 of the European Parliament and of the Council of 17 </w:t>
      </w:r>
      <w:r>
        <w:t>D</w:t>
      </w:r>
      <w:r w:rsidRPr="00357568">
        <w:t xml:space="preserve">ecember 2013 on support for rural </w:t>
      </w:r>
      <w:r w:rsidRPr="00357568">
        <w:lastRenderedPageBreak/>
        <w:t>development by the European Agricultural Fund for Rural Development (EAFRD) and repealing Council Regulation (EC) No 1698/2005, 347.</w:t>
      </w:r>
    </w:p>
    <w:p w14:paraId="2E8D590C" w14:textId="77777777" w:rsidR="00357568" w:rsidRPr="00357568" w:rsidRDefault="00357568" w:rsidP="00357568">
      <w:pPr>
        <w:pStyle w:val="Bibliograafia"/>
      </w:pPr>
      <w:r w:rsidRPr="00357568">
        <w:t>Garzon, I., 2006. Reforming the common agricultural policy: history of a paradigm change. Palgrave Macmillan.</w:t>
      </w:r>
    </w:p>
    <w:p w14:paraId="7F9DE8C3" w14:textId="77777777" w:rsidR="00357568" w:rsidRPr="00357568" w:rsidRDefault="00357568" w:rsidP="00357568">
      <w:pPr>
        <w:pStyle w:val="Bibliograafia"/>
      </w:pPr>
      <w:r w:rsidRPr="00357568">
        <w:t xml:space="preserve">Lo Piano, S., </w:t>
      </w:r>
      <w:proofErr w:type="spellStart"/>
      <w:r w:rsidRPr="00357568">
        <w:t>Chifari</w:t>
      </w:r>
      <w:proofErr w:type="spellEnd"/>
      <w:r w:rsidRPr="00357568">
        <w:t xml:space="preserve">, R., </w:t>
      </w:r>
      <w:proofErr w:type="spellStart"/>
      <w:r w:rsidRPr="00357568">
        <w:t>Saltelli</w:t>
      </w:r>
      <w:proofErr w:type="spellEnd"/>
      <w:r w:rsidRPr="00357568">
        <w:t xml:space="preserve">, A., 2017. </w:t>
      </w:r>
      <w:proofErr w:type="spellStart"/>
      <w:r w:rsidRPr="00357568">
        <w:t>Regionalisation</w:t>
      </w:r>
      <w:proofErr w:type="spellEnd"/>
      <w:r w:rsidRPr="00357568">
        <w:t xml:space="preserve"> of ESIF payments 1989-2015 (No. CCI 2016CE16BAT081).</w:t>
      </w:r>
    </w:p>
    <w:p w14:paraId="67F78503" w14:textId="77777777" w:rsidR="00357568" w:rsidRPr="00357568" w:rsidRDefault="00357568" w:rsidP="00357568">
      <w:pPr>
        <w:pStyle w:val="Bibliograafia"/>
      </w:pPr>
      <w:proofErr w:type="spellStart"/>
      <w:r w:rsidRPr="00357568">
        <w:t>Mohl</w:t>
      </w:r>
      <w:proofErr w:type="spellEnd"/>
      <w:r w:rsidRPr="00357568">
        <w:t>, P., Hagen, T., 2010. Do EU structural funds promote regional growth? New evidence from various panel data approaches. Regional Science and Urban Economics 40, 353–365. https://doi.org/10.1016/j.regsciurbeco.2010.03.005</w:t>
      </w:r>
    </w:p>
    <w:p w14:paraId="1DB6ADD1" w14:textId="77777777" w:rsidR="00357568" w:rsidRPr="00357568" w:rsidRDefault="00357568" w:rsidP="00357568">
      <w:pPr>
        <w:pStyle w:val="Bibliograafia"/>
      </w:pPr>
      <w:r w:rsidRPr="00357568">
        <w:t>Ward, N., Lowe, P., 2004. Europeanizing rural development? Implementing the CAP’s second pillar in England. International Planning Studies 9, 121–137. https://doi.org/10.1080/1356347042000311730</w:t>
      </w:r>
    </w:p>
    <w:p w14:paraId="0436E9B8" w14:textId="77777777" w:rsidR="00357568" w:rsidRPr="00357568" w:rsidRDefault="00357568" w:rsidP="00357568">
      <w:pPr>
        <w:pStyle w:val="Bibliograafia"/>
      </w:pPr>
      <w:proofErr w:type="spellStart"/>
      <w:r w:rsidRPr="00357568">
        <w:t>Zasada</w:t>
      </w:r>
      <w:proofErr w:type="spellEnd"/>
      <w:r w:rsidRPr="00357568">
        <w:t xml:space="preserve">, I., </w:t>
      </w:r>
      <w:proofErr w:type="spellStart"/>
      <w:r w:rsidRPr="00357568">
        <w:t>Weltin</w:t>
      </w:r>
      <w:proofErr w:type="spellEnd"/>
      <w:r w:rsidRPr="00357568">
        <w:t xml:space="preserve">, M., Reutter, M., </w:t>
      </w:r>
      <w:proofErr w:type="spellStart"/>
      <w:r w:rsidRPr="00357568">
        <w:t>Verburg</w:t>
      </w:r>
      <w:proofErr w:type="spellEnd"/>
      <w:r w:rsidRPr="00357568">
        <w:t xml:space="preserve">, P.H., </w:t>
      </w:r>
      <w:proofErr w:type="spellStart"/>
      <w:r w:rsidRPr="00357568">
        <w:t>Piorr</w:t>
      </w:r>
      <w:proofErr w:type="spellEnd"/>
      <w:r w:rsidRPr="00357568">
        <w:t>, A., 2018. EU’s rural development policy at the regional level—Are expenditures for natural capital linked with territorial needs? Land Use Policy 77, 344–353. https://doi.org/10.1016/j.landusepol.2018.05.053</w:t>
      </w:r>
    </w:p>
    <w:p w14:paraId="58D8C55F" w14:textId="49B0F390" w:rsidR="00221A0C" w:rsidRPr="00221A0C" w:rsidRDefault="00221A0C" w:rsidP="00357568">
      <w:pPr>
        <w:spacing w:after="0"/>
        <w:contextualSpacing/>
      </w:pPr>
      <w:r w:rsidRPr="00357568">
        <w:fldChar w:fldCharType="end"/>
      </w:r>
    </w:p>
    <w:p w14:paraId="334FCC82" w14:textId="77777777" w:rsidR="00117C75" w:rsidRPr="00B65973" w:rsidRDefault="00117C75" w:rsidP="009B208D">
      <w:pPr>
        <w:spacing w:after="0"/>
        <w:contextualSpacing/>
        <w:rPr>
          <w:rFonts w:eastAsiaTheme="majorEastAsia" w:cstheme="majorBidi"/>
          <w:b/>
          <w:szCs w:val="32"/>
        </w:rPr>
      </w:pPr>
      <w:r w:rsidRPr="00B65973">
        <w:br w:type="page"/>
      </w:r>
    </w:p>
    <w:p w14:paraId="1765598A" w14:textId="77777777" w:rsidR="00366466" w:rsidRPr="00B65973" w:rsidRDefault="212C9949" w:rsidP="00921FDF">
      <w:pPr>
        <w:pStyle w:val="Pealkiri1"/>
        <w:rPr>
          <w:lang w:val="en-US"/>
        </w:rPr>
      </w:pPr>
      <w:r w:rsidRPr="212C9949">
        <w:rPr>
          <w:lang w:val="en-US"/>
        </w:rPr>
        <w:lastRenderedPageBreak/>
        <w:t>Appendix</w:t>
      </w:r>
    </w:p>
    <w:p w14:paraId="60ECDA07" w14:textId="7D9ED896" w:rsidR="00040C07" w:rsidRDefault="00BF2A19" w:rsidP="00040C07">
      <w:pPr>
        <w:pStyle w:val="Pealdis"/>
        <w:keepNext/>
        <w:jc w:val="center"/>
      </w:pPr>
      <w:r>
        <w:rPr>
          <w:noProof/>
          <w:lang w:val="et-EE" w:eastAsia="et-EE"/>
        </w:rPr>
        <w:pict w14:anchorId="51E7F252">
          <v:shape id="_x0000_i1028" type="#_x0000_t75" style="width:450.75pt;height:375pt">
            <v:imagedata r:id="rId14" o:title="map_weights"/>
          </v:shape>
        </w:pict>
      </w:r>
    </w:p>
    <w:p w14:paraId="223229A1" w14:textId="3C293E2B" w:rsidR="00040C07" w:rsidRDefault="00040C07" w:rsidP="00040C07">
      <w:pPr>
        <w:pStyle w:val="Pealdis"/>
      </w:pPr>
      <w:r>
        <w:t xml:space="preserve">Figure A1. Associations between the centroids of regions that </w:t>
      </w:r>
      <w:r w:rsidR="002B0402">
        <w:t>represent</w:t>
      </w:r>
      <w:r w:rsidR="00F77337">
        <w:t xml:space="preserve"> </w:t>
      </w:r>
      <w:r>
        <w:t>spatial weights</w:t>
      </w:r>
      <w:r w:rsidR="00F77337">
        <w:t xml:space="preserve"> matrix</w:t>
      </w:r>
      <w:r w:rsidR="000B4EF5">
        <w:t xml:space="preserve"> used</w:t>
      </w:r>
      <w:r w:rsidR="002B0402">
        <w:t xml:space="preserve"> in the analysis.</w:t>
      </w:r>
    </w:p>
    <w:p w14:paraId="5455F140" w14:textId="126E5153" w:rsidR="00040C07" w:rsidRPr="00040C07" w:rsidRDefault="00040C07" w:rsidP="00040C07">
      <w:pPr>
        <w:pStyle w:val="Source"/>
      </w:pPr>
      <w:r>
        <w:t>Source: Authors’ calculations.</w:t>
      </w:r>
    </w:p>
    <w:p w14:paraId="7E4686AE" w14:textId="77777777" w:rsidR="002716B0" w:rsidRDefault="002716B0">
      <w:pPr>
        <w:spacing w:after="0"/>
        <w:jc w:val="left"/>
        <w:rPr>
          <w:iCs/>
          <w:szCs w:val="18"/>
        </w:rPr>
      </w:pPr>
      <w:r>
        <w:br w:type="page"/>
      </w:r>
    </w:p>
    <w:p w14:paraId="2628D375" w14:textId="6D480075" w:rsidR="00C9375E" w:rsidRPr="00B65973" w:rsidRDefault="007F6810" w:rsidP="00C9375E">
      <w:pPr>
        <w:pStyle w:val="Pealdis"/>
        <w:keepNext/>
        <w:rPr>
          <w:szCs w:val="24"/>
        </w:rPr>
      </w:pPr>
      <w:r w:rsidRPr="00B65973">
        <w:lastRenderedPageBreak/>
        <w:t>Table A1</w:t>
      </w:r>
      <w:r w:rsidR="00C9375E" w:rsidRPr="00B65973">
        <w:t xml:space="preserve">. </w:t>
      </w:r>
      <w:r w:rsidR="0063342B" w:rsidRPr="00B65973">
        <w:t xml:space="preserve">Summary statistics for the variables used for the calculation of correlations in </w:t>
      </w:r>
      <w:r w:rsidR="008D786F" w:rsidRPr="00B65973">
        <w:t>table 1</w:t>
      </w:r>
      <w:r w:rsidR="0063342B" w:rsidRPr="00B65973">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0"/>
        <w:gridCol w:w="464"/>
        <w:gridCol w:w="798"/>
        <w:gridCol w:w="932"/>
        <w:gridCol w:w="666"/>
        <w:gridCol w:w="927"/>
        <w:gridCol w:w="927"/>
        <w:gridCol w:w="1182"/>
      </w:tblGrid>
      <w:tr w:rsidR="00366466" w:rsidRPr="00B65973" w14:paraId="7CE65943" w14:textId="77777777" w:rsidTr="00117C75">
        <w:trPr>
          <w:tblCellSpacing w:w="15" w:type="dxa"/>
        </w:trPr>
        <w:tc>
          <w:tcPr>
            <w:tcW w:w="4964" w:type="pct"/>
            <w:gridSpan w:val="8"/>
            <w:tcBorders>
              <w:top w:val="nil"/>
              <w:left w:val="nil"/>
              <w:bottom w:val="nil"/>
              <w:right w:val="nil"/>
            </w:tcBorders>
            <w:hideMark/>
          </w:tcPr>
          <w:p w14:paraId="0744FE8F" w14:textId="77777777" w:rsidR="00366466" w:rsidRPr="00B65973" w:rsidRDefault="00366466" w:rsidP="00117C75">
            <w:pPr>
              <w:pStyle w:val="Table"/>
              <w:jc w:val="center"/>
              <w:rPr>
                <w:szCs w:val="24"/>
                <w:lang w:val="en-US"/>
              </w:rPr>
            </w:pPr>
            <w:r w:rsidRPr="00B65973">
              <w:rPr>
                <w:rStyle w:val="Tugev"/>
                <w:szCs w:val="24"/>
                <w:lang w:val="en-US"/>
              </w:rPr>
              <w:t>2007</w:t>
            </w:r>
          </w:p>
        </w:tc>
      </w:tr>
      <w:tr w:rsidR="00366466" w:rsidRPr="00B65973" w14:paraId="626E0D32" w14:textId="77777777" w:rsidTr="00117C75">
        <w:trPr>
          <w:tblCellSpacing w:w="15" w:type="dxa"/>
        </w:trPr>
        <w:tc>
          <w:tcPr>
            <w:tcW w:w="4964" w:type="pct"/>
            <w:gridSpan w:val="8"/>
            <w:tcBorders>
              <w:bottom w:val="single" w:sz="6" w:space="0" w:color="000000"/>
            </w:tcBorders>
            <w:vAlign w:val="center"/>
            <w:hideMark/>
          </w:tcPr>
          <w:p w14:paraId="2BFB4AB7" w14:textId="77777777" w:rsidR="00366466" w:rsidRPr="00B65973" w:rsidRDefault="00366466" w:rsidP="005962BF">
            <w:pPr>
              <w:pStyle w:val="Table"/>
              <w:rPr>
                <w:szCs w:val="24"/>
                <w:lang w:val="en-US"/>
              </w:rPr>
            </w:pPr>
          </w:p>
        </w:tc>
      </w:tr>
      <w:tr w:rsidR="00366466" w:rsidRPr="00B65973" w14:paraId="2C0F909E" w14:textId="77777777" w:rsidTr="00117C75">
        <w:trPr>
          <w:tblCellSpacing w:w="15" w:type="dxa"/>
        </w:trPr>
        <w:tc>
          <w:tcPr>
            <w:tcW w:w="1883" w:type="pct"/>
            <w:vAlign w:val="center"/>
            <w:hideMark/>
          </w:tcPr>
          <w:p w14:paraId="32FD1247" w14:textId="77777777" w:rsidR="00366466" w:rsidRPr="00B65973" w:rsidRDefault="00366466" w:rsidP="00117C75">
            <w:pPr>
              <w:pStyle w:val="Table"/>
              <w:jc w:val="center"/>
              <w:rPr>
                <w:szCs w:val="24"/>
                <w:lang w:val="en-US"/>
              </w:rPr>
            </w:pPr>
            <w:r w:rsidRPr="00B65973">
              <w:rPr>
                <w:szCs w:val="24"/>
                <w:lang w:val="en-US"/>
              </w:rPr>
              <w:t>Statistic</w:t>
            </w:r>
          </w:p>
        </w:tc>
        <w:tc>
          <w:tcPr>
            <w:tcW w:w="236" w:type="pct"/>
            <w:vAlign w:val="center"/>
            <w:hideMark/>
          </w:tcPr>
          <w:p w14:paraId="31B302D6" w14:textId="77777777" w:rsidR="00366466" w:rsidRPr="00B65973" w:rsidRDefault="00366466" w:rsidP="00117C75">
            <w:pPr>
              <w:pStyle w:val="Table"/>
              <w:jc w:val="center"/>
              <w:rPr>
                <w:szCs w:val="24"/>
                <w:lang w:val="en-US"/>
              </w:rPr>
            </w:pPr>
            <w:r w:rsidRPr="00B65973">
              <w:rPr>
                <w:szCs w:val="24"/>
                <w:lang w:val="en-US"/>
              </w:rPr>
              <w:t>N</w:t>
            </w:r>
          </w:p>
        </w:tc>
        <w:tc>
          <w:tcPr>
            <w:tcW w:w="418" w:type="pct"/>
            <w:vAlign w:val="center"/>
            <w:hideMark/>
          </w:tcPr>
          <w:p w14:paraId="3B80ABCD" w14:textId="77777777" w:rsidR="00366466" w:rsidRPr="00B65973" w:rsidRDefault="00366466" w:rsidP="00117C75">
            <w:pPr>
              <w:pStyle w:val="Table"/>
              <w:jc w:val="center"/>
              <w:rPr>
                <w:szCs w:val="24"/>
                <w:lang w:val="en-US"/>
              </w:rPr>
            </w:pPr>
            <w:r w:rsidRPr="00B65973">
              <w:rPr>
                <w:szCs w:val="24"/>
                <w:lang w:val="en-US"/>
              </w:rPr>
              <w:t>Mean</w:t>
            </w:r>
          </w:p>
        </w:tc>
        <w:tc>
          <w:tcPr>
            <w:tcW w:w="490" w:type="pct"/>
            <w:vAlign w:val="center"/>
            <w:hideMark/>
          </w:tcPr>
          <w:p w14:paraId="524BAC11" w14:textId="77777777" w:rsidR="00366466" w:rsidRPr="00B65973" w:rsidRDefault="00366466" w:rsidP="00117C75">
            <w:pPr>
              <w:pStyle w:val="Table"/>
              <w:jc w:val="center"/>
              <w:rPr>
                <w:szCs w:val="24"/>
                <w:lang w:val="en-US"/>
              </w:rPr>
            </w:pPr>
            <w:r w:rsidRPr="00B65973">
              <w:rPr>
                <w:szCs w:val="24"/>
                <w:lang w:val="en-US"/>
              </w:rPr>
              <w:t>St. Dev.</w:t>
            </w:r>
          </w:p>
        </w:tc>
        <w:tc>
          <w:tcPr>
            <w:tcW w:w="345" w:type="pct"/>
            <w:vAlign w:val="center"/>
            <w:hideMark/>
          </w:tcPr>
          <w:p w14:paraId="3C14E4CA" w14:textId="77777777" w:rsidR="00366466" w:rsidRPr="00B65973" w:rsidRDefault="00366466" w:rsidP="00117C75">
            <w:pPr>
              <w:pStyle w:val="Table"/>
              <w:jc w:val="center"/>
              <w:rPr>
                <w:szCs w:val="24"/>
                <w:lang w:val="en-US"/>
              </w:rPr>
            </w:pPr>
            <w:r w:rsidRPr="00B65973">
              <w:rPr>
                <w:szCs w:val="24"/>
                <w:lang w:val="en-US"/>
              </w:rPr>
              <w:t>Min</w:t>
            </w:r>
          </w:p>
        </w:tc>
        <w:tc>
          <w:tcPr>
            <w:tcW w:w="487" w:type="pct"/>
            <w:vAlign w:val="center"/>
            <w:hideMark/>
          </w:tcPr>
          <w:p w14:paraId="0899E058" w14:textId="77777777" w:rsidR="00366466" w:rsidRPr="00B65973" w:rsidRDefault="00366466" w:rsidP="00117C75">
            <w:pPr>
              <w:pStyle w:val="Table"/>
              <w:jc w:val="center"/>
              <w:rPr>
                <w:szCs w:val="24"/>
                <w:lang w:val="en-US"/>
              </w:rPr>
            </w:pPr>
            <w:proofErr w:type="spellStart"/>
            <w:r w:rsidRPr="00B65973">
              <w:rPr>
                <w:szCs w:val="24"/>
                <w:lang w:val="en-US"/>
              </w:rPr>
              <w:t>Pctl</w:t>
            </w:r>
            <w:proofErr w:type="spellEnd"/>
            <w:r w:rsidRPr="00B65973">
              <w:rPr>
                <w:szCs w:val="24"/>
                <w:lang w:val="en-US"/>
              </w:rPr>
              <w:t>(25)</w:t>
            </w:r>
          </w:p>
        </w:tc>
        <w:tc>
          <w:tcPr>
            <w:tcW w:w="487" w:type="pct"/>
            <w:vAlign w:val="center"/>
            <w:hideMark/>
          </w:tcPr>
          <w:p w14:paraId="124043F9" w14:textId="77777777" w:rsidR="00366466" w:rsidRPr="00B65973" w:rsidRDefault="00366466" w:rsidP="00117C75">
            <w:pPr>
              <w:pStyle w:val="Table"/>
              <w:jc w:val="center"/>
              <w:rPr>
                <w:szCs w:val="24"/>
                <w:lang w:val="en-US"/>
              </w:rPr>
            </w:pPr>
            <w:proofErr w:type="spellStart"/>
            <w:r w:rsidRPr="00B65973">
              <w:rPr>
                <w:szCs w:val="24"/>
                <w:lang w:val="en-US"/>
              </w:rPr>
              <w:t>Pctl</w:t>
            </w:r>
            <w:proofErr w:type="spellEnd"/>
            <w:r w:rsidRPr="00B65973">
              <w:rPr>
                <w:szCs w:val="24"/>
                <w:lang w:val="en-US"/>
              </w:rPr>
              <w:t>(75)</w:t>
            </w:r>
          </w:p>
        </w:tc>
        <w:tc>
          <w:tcPr>
            <w:tcW w:w="490" w:type="pct"/>
            <w:vAlign w:val="center"/>
            <w:hideMark/>
          </w:tcPr>
          <w:p w14:paraId="467C5D2E" w14:textId="77777777" w:rsidR="00366466" w:rsidRPr="00B65973" w:rsidRDefault="00366466" w:rsidP="00117C75">
            <w:pPr>
              <w:pStyle w:val="Table"/>
              <w:jc w:val="center"/>
              <w:rPr>
                <w:szCs w:val="24"/>
                <w:lang w:val="en-US"/>
              </w:rPr>
            </w:pPr>
            <w:r w:rsidRPr="00B65973">
              <w:rPr>
                <w:szCs w:val="24"/>
                <w:lang w:val="en-US"/>
              </w:rPr>
              <w:t>Max</w:t>
            </w:r>
          </w:p>
        </w:tc>
      </w:tr>
      <w:tr w:rsidR="00366466" w:rsidRPr="00B65973" w14:paraId="67942059" w14:textId="77777777" w:rsidTr="00117C75">
        <w:trPr>
          <w:tblCellSpacing w:w="15" w:type="dxa"/>
        </w:trPr>
        <w:tc>
          <w:tcPr>
            <w:tcW w:w="4964" w:type="pct"/>
            <w:gridSpan w:val="8"/>
            <w:tcBorders>
              <w:bottom w:val="single" w:sz="6" w:space="0" w:color="000000"/>
            </w:tcBorders>
            <w:vAlign w:val="center"/>
            <w:hideMark/>
          </w:tcPr>
          <w:p w14:paraId="6C2BCE3E" w14:textId="77777777" w:rsidR="00366466" w:rsidRPr="00B65973" w:rsidRDefault="00366466" w:rsidP="005962BF">
            <w:pPr>
              <w:pStyle w:val="Table"/>
              <w:rPr>
                <w:szCs w:val="24"/>
                <w:lang w:val="en-US"/>
              </w:rPr>
            </w:pPr>
          </w:p>
        </w:tc>
      </w:tr>
      <w:tr w:rsidR="00366466" w:rsidRPr="00B65973" w14:paraId="0FCD8CB8" w14:textId="77777777" w:rsidTr="00117C75">
        <w:trPr>
          <w:tblCellSpacing w:w="15" w:type="dxa"/>
        </w:trPr>
        <w:tc>
          <w:tcPr>
            <w:tcW w:w="1883" w:type="pct"/>
            <w:hideMark/>
          </w:tcPr>
          <w:p w14:paraId="38A9F20A" w14:textId="77777777" w:rsidR="00366466" w:rsidRPr="00B65973" w:rsidRDefault="00366466" w:rsidP="005962BF">
            <w:pPr>
              <w:pStyle w:val="Table"/>
              <w:rPr>
                <w:szCs w:val="24"/>
                <w:lang w:val="en-US"/>
              </w:rPr>
            </w:pPr>
            <w:r w:rsidRPr="00B65973">
              <w:rPr>
                <w:szCs w:val="24"/>
                <w:lang w:val="en-US"/>
              </w:rPr>
              <w:t>EAFRD payments (€/person)</w:t>
            </w:r>
          </w:p>
        </w:tc>
        <w:tc>
          <w:tcPr>
            <w:tcW w:w="236" w:type="pct"/>
            <w:hideMark/>
          </w:tcPr>
          <w:p w14:paraId="6AB73F33" w14:textId="77777777" w:rsidR="00366466" w:rsidRPr="00B65973" w:rsidRDefault="00366466" w:rsidP="00117C75">
            <w:pPr>
              <w:pStyle w:val="Table"/>
              <w:jc w:val="right"/>
              <w:rPr>
                <w:szCs w:val="24"/>
                <w:lang w:val="en-US"/>
              </w:rPr>
            </w:pPr>
            <w:r w:rsidRPr="00B65973">
              <w:rPr>
                <w:szCs w:val="24"/>
                <w:lang w:val="en-US"/>
              </w:rPr>
              <w:t>156</w:t>
            </w:r>
          </w:p>
        </w:tc>
        <w:tc>
          <w:tcPr>
            <w:tcW w:w="418" w:type="pct"/>
            <w:hideMark/>
          </w:tcPr>
          <w:p w14:paraId="13007201" w14:textId="77777777" w:rsidR="00366466" w:rsidRPr="00B65973" w:rsidRDefault="00366466" w:rsidP="00117C75">
            <w:pPr>
              <w:pStyle w:val="Table"/>
              <w:jc w:val="right"/>
              <w:rPr>
                <w:szCs w:val="24"/>
                <w:lang w:val="en-US"/>
              </w:rPr>
            </w:pPr>
            <w:r w:rsidRPr="00B65973">
              <w:rPr>
                <w:szCs w:val="24"/>
                <w:lang w:val="en-US"/>
              </w:rPr>
              <w:t>24.284</w:t>
            </w:r>
          </w:p>
        </w:tc>
        <w:tc>
          <w:tcPr>
            <w:tcW w:w="490" w:type="pct"/>
            <w:hideMark/>
          </w:tcPr>
          <w:p w14:paraId="1322481D" w14:textId="77777777" w:rsidR="00366466" w:rsidRPr="00B65973" w:rsidRDefault="00366466" w:rsidP="00117C75">
            <w:pPr>
              <w:pStyle w:val="Table"/>
              <w:jc w:val="right"/>
              <w:rPr>
                <w:szCs w:val="24"/>
                <w:lang w:val="en-US"/>
              </w:rPr>
            </w:pPr>
            <w:r w:rsidRPr="00B65973">
              <w:rPr>
                <w:szCs w:val="24"/>
                <w:lang w:val="en-US"/>
              </w:rPr>
              <w:t>28.487</w:t>
            </w:r>
          </w:p>
        </w:tc>
        <w:tc>
          <w:tcPr>
            <w:tcW w:w="345" w:type="pct"/>
            <w:hideMark/>
          </w:tcPr>
          <w:p w14:paraId="25353968" w14:textId="77777777" w:rsidR="00366466" w:rsidRPr="00B65973" w:rsidRDefault="00366466" w:rsidP="00117C75">
            <w:pPr>
              <w:pStyle w:val="Table"/>
              <w:jc w:val="right"/>
              <w:rPr>
                <w:szCs w:val="24"/>
                <w:lang w:val="en-US"/>
              </w:rPr>
            </w:pPr>
            <w:r w:rsidRPr="00B65973">
              <w:rPr>
                <w:szCs w:val="24"/>
                <w:lang w:val="en-US"/>
              </w:rPr>
              <w:t>0.125</w:t>
            </w:r>
          </w:p>
        </w:tc>
        <w:tc>
          <w:tcPr>
            <w:tcW w:w="487" w:type="pct"/>
            <w:hideMark/>
          </w:tcPr>
          <w:p w14:paraId="05E81F74" w14:textId="77777777" w:rsidR="00366466" w:rsidRPr="00B65973" w:rsidRDefault="00366466" w:rsidP="00117C75">
            <w:pPr>
              <w:pStyle w:val="Table"/>
              <w:jc w:val="right"/>
              <w:rPr>
                <w:szCs w:val="24"/>
                <w:lang w:val="en-US"/>
              </w:rPr>
            </w:pPr>
            <w:r w:rsidRPr="00B65973">
              <w:rPr>
                <w:szCs w:val="24"/>
                <w:lang w:val="en-US"/>
              </w:rPr>
              <w:t>6.046</w:t>
            </w:r>
          </w:p>
        </w:tc>
        <w:tc>
          <w:tcPr>
            <w:tcW w:w="487" w:type="pct"/>
            <w:hideMark/>
          </w:tcPr>
          <w:p w14:paraId="350B625C" w14:textId="77777777" w:rsidR="00366466" w:rsidRPr="00B65973" w:rsidRDefault="00366466" w:rsidP="00117C75">
            <w:pPr>
              <w:pStyle w:val="Table"/>
              <w:jc w:val="right"/>
              <w:rPr>
                <w:szCs w:val="24"/>
                <w:lang w:val="en-US"/>
              </w:rPr>
            </w:pPr>
            <w:r w:rsidRPr="00B65973">
              <w:rPr>
                <w:szCs w:val="24"/>
                <w:lang w:val="en-US"/>
              </w:rPr>
              <w:t>31.316</w:t>
            </w:r>
          </w:p>
        </w:tc>
        <w:tc>
          <w:tcPr>
            <w:tcW w:w="490" w:type="pct"/>
            <w:hideMark/>
          </w:tcPr>
          <w:p w14:paraId="10C92643" w14:textId="77777777" w:rsidR="00366466" w:rsidRPr="00B65973" w:rsidRDefault="00366466" w:rsidP="00117C75">
            <w:pPr>
              <w:pStyle w:val="Table"/>
              <w:jc w:val="right"/>
              <w:rPr>
                <w:szCs w:val="24"/>
                <w:lang w:val="en-US"/>
              </w:rPr>
            </w:pPr>
            <w:r w:rsidRPr="00B65973">
              <w:rPr>
                <w:szCs w:val="24"/>
                <w:lang w:val="en-US"/>
              </w:rPr>
              <w:t>164.624</w:t>
            </w:r>
          </w:p>
        </w:tc>
      </w:tr>
      <w:tr w:rsidR="00366466" w:rsidRPr="00B65973" w14:paraId="69B5F294" w14:textId="77777777" w:rsidTr="00117C75">
        <w:trPr>
          <w:tblCellSpacing w:w="15" w:type="dxa"/>
        </w:trPr>
        <w:tc>
          <w:tcPr>
            <w:tcW w:w="1883" w:type="pct"/>
            <w:hideMark/>
          </w:tcPr>
          <w:p w14:paraId="5B9C210B" w14:textId="77777777" w:rsidR="00366466" w:rsidRPr="00B65973" w:rsidRDefault="00366466" w:rsidP="005962BF">
            <w:pPr>
              <w:pStyle w:val="Table"/>
              <w:rPr>
                <w:szCs w:val="24"/>
                <w:lang w:val="en-US"/>
              </w:rPr>
            </w:pPr>
            <w:r w:rsidRPr="00B65973">
              <w:rPr>
                <w:szCs w:val="24"/>
                <w:lang w:val="en-US"/>
              </w:rPr>
              <w:t>GDP (1000 €/person)</w:t>
            </w:r>
          </w:p>
        </w:tc>
        <w:tc>
          <w:tcPr>
            <w:tcW w:w="236" w:type="pct"/>
            <w:hideMark/>
          </w:tcPr>
          <w:p w14:paraId="0FAC97AA" w14:textId="77777777" w:rsidR="00366466" w:rsidRPr="00B65973" w:rsidRDefault="00366466" w:rsidP="00117C75">
            <w:pPr>
              <w:pStyle w:val="Table"/>
              <w:jc w:val="right"/>
              <w:rPr>
                <w:szCs w:val="24"/>
                <w:lang w:val="en-US"/>
              </w:rPr>
            </w:pPr>
            <w:r w:rsidRPr="00B65973">
              <w:rPr>
                <w:szCs w:val="24"/>
                <w:lang w:val="en-US"/>
              </w:rPr>
              <w:t>156</w:t>
            </w:r>
          </w:p>
        </w:tc>
        <w:tc>
          <w:tcPr>
            <w:tcW w:w="418" w:type="pct"/>
            <w:hideMark/>
          </w:tcPr>
          <w:p w14:paraId="6B43011D" w14:textId="77777777" w:rsidR="00366466" w:rsidRPr="00B65973" w:rsidRDefault="00366466" w:rsidP="00117C75">
            <w:pPr>
              <w:pStyle w:val="Table"/>
              <w:jc w:val="right"/>
              <w:rPr>
                <w:szCs w:val="24"/>
                <w:lang w:val="en-US"/>
              </w:rPr>
            </w:pPr>
            <w:r w:rsidRPr="00B65973">
              <w:rPr>
                <w:szCs w:val="24"/>
                <w:lang w:val="en-US"/>
              </w:rPr>
              <w:t>25.046</w:t>
            </w:r>
          </w:p>
        </w:tc>
        <w:tc>
          <w:tcPr>
            <w:tcW w:w="490" w:type="pct"/>
            <w:hideMark/>
          </w:tcPr>
          <w:p w14:paraId="048EA3C2" w14:textId="77777777" w:rsidR="00366466" w:rsidRPr="00B65973" w:rsidRDefault="00366466" w:rsidP="00117C75">
            <w:pPr>
              <w:pStyle w:val="Table"/>
              <w:jc w:val="right"/>
              <w:rPr>
                <w:szCs w:val="24"/>
                <w:lang w:val="en-US"/>
              </w:rPr>
            </w:pPr>
            <w:r w:rsidRPr="00B65973">
              <w:rPr>
                <w:szCs w:val="24"/>
                <w:lang w:val="en-US"/>
              </w:rPr>
              <w:t>12.399</w:t>
            </w:r>
          </w:p>
        </w:tc>
        <w:tc>
          <w:tcPr>
            <w:tcW w:w="345" w:type="pct"/>
            <w:hideMark/>
          </w:tcPr>
          <w:p w14:paraId="6F2D0471" w14:textId="77777777" w:rsidR="00366466" w:rsidRPr="00B65973" w:rsidRDefault="00366466" w:rsidP="00117C75">
            <w:pPr>
              <w:pStyle w:val="Table"/>
              <w:jc w:val="right"/>
              <w:rPr>
                <w:szCs w:val="24"/>
                <w:lang w:val="en-US"/>
              </w:rPr>
            </w:pPr>
            <w:r w:rsidRPr="00B65973">
              <w:rPr>
                <w:szCs w:val="24"/>
                <w:lang w:val="en-US"/>
              </w:rPr>
              <w:t>2.800</w:t>
            </w:r>
          </w:p>
        </w:tc>
        <w:tc>
          <w:tcPr>
            <w:tcW w:w="487" w:type="pct"/>
            <w:hideMark/>
          </w:tcPr>
          <w:p w14:paraId="2D106162" w14:textId="77777777" w:rsidR="00366466" w:rsidRPr="00B65973" w:rsidRDefault="00366466" w:rsidP="00117C75">
            <w:pPr>
              <w:pStyle w:val="Table"/>
              <w:jc w:val="right"/>
              <w:rPr>
                <w:szCs w:val="24"/>
                <w:lang w:val="en-US"/>
              </w:rPr>
            </w:pPr>
            <w:r w:rsidRPr="00B65973">
              <w:rPr>
                <w:szCs w:val="24"/>
                <w:lang w:val="en-US"/>
              </w:rPr>
              <w:t>16.625</w:t>
            </w:r>
          </w:p>
        </w:tc>
        <w:tc>
          <w:tcPr>
            <w:tcW w:w="487" w:type="pct"/>
            <w:hideMark/>
          </w:tcPr>
          <w:p w14:paraId="6874A9AA" w14:textId="77777777" w:rsidR="00366466" w:rsidRPr="00B65973" w:rsidRDefault="00366466" w:rsidP="00117C75">
            <w:pPr>
              <w:pStyle w:val="Table"/>
              <w:jc w:val="right"/>
              <w:rPr>
                <w:szCs w:val="24"/>
                <w:lang w:val="en-US"/>
              </w:rPr>
            </w:pPr>
            <w:r w:rsidRPr="00B65973">
              <w:rPr>
                <w:szCs w:val="24"/>
                <w:lang w:val="en-US"/>
              </w:rPr>
              <w:t>32.300</w:t>
            </w:r>
          </w:p>
        </w:tc>
        <w:tc>
          <w:tcPr>
            <w:tcW w:w="490" w:type="pct"/>
            <w:hideMark/>
          </w:tcPr>
          <w:p w14:paraId="5E9DE062" w14:textId="77777777" w:rsidR="00366466" w:rsidRPr="00B65973" w:rsidRDefault="00366466" w:rsidP="00117C75">
            <w:pPr>
              <w:pStyle w:val="Table"/>
              <w:jc w:val="right"/>
              <w:rPr>
                <w:szCs w:val="24"/>
                <w:lang w:val="en-US"/>
              </w:rPr>
            </w:pPr>
            <w:r w:rsidRPr="00B65973">
              <w:rPr>
                <w:szCs w:val="24"/>
                <w:lang w:val="en-US"/>
              </w:rPr>
              <w:t>77.300</w:t>
            </w:r>
          </w:p>
        </w:tc>
      </w:tr>
      <w:tr w:rsidR="00366466" w:rsidRPr="00B65973" w14:paraId="2AE6DADA" w14:textId="77777777" w:rsidTr="00117C75">
        <w:trPr>
          <w:tblCellSpacing w:w="15" w:type="dxa"/>
        </w:trPr>
        <w:tc>
          <w:tcPr>
            <w:tcW w:w="1883" w:type="pct"/>
            <w:hideMark/>
          </w:tcPr>
          <w:p w14:paraId="042815F3" w14:textId="77777777" w:rsidR="00366466" w:rsidRPr="00B65973" w:rsidRDefault="00366466" w:rsidP="005962BF">
            <w:pPr>
              <w:pStyle w:val="Table"/>
              <w:rPr>
                <w:szCs w:val="24"/>
                <w:lang w:val="en-US"/>
              </w:rPr>
            </w:pPr>
            <w:r w:rsidRPr="00B65973">
              <w:rPr>
                <w:szCs w:val="24"/>
                <w:lang w:val="en-US"/>
              </w:rPr>
              <w:t>Unemployment, ages 15-74 (%)</w:t>
            </w:r>
          </w:p>
        </w:tc>
        <w:tc>
          <w:tcPr>
            <w:tcW w:w="236" w:type="pct"/>
            <w:hideMark/>
          </w:tcPr>
          <w:p w14:paraId="10DEBA43" w14:textId="77777777" w:rsidR="00366466" w:rsidRPr="00B65973" w:rsidRDefault="00366466" w:rsidP="00117C75">
            <w:pPr>
              <w:pStyle w:val="Table"/>
              <w:jc w:val="right"/>
              <w:rPr>
                <w:szCs w:val="24"/>
                <w:lang w:val="en-US"/>
              </w:rPr>
            </w:pPr>
            <w:r w:rsidRPr="00B65973">
              <w:rPr>
                <w:szCs w:val="24"/>
                <w:lang w:val="en-US"/>
              </w:rPr>
              <w:t>156</w:t>
            </w:r>
          </w:p>
        </w:tc>
        <w:tc>
          <w:tcPr>
            <w:tcW w:w="418" w:type="pct"/>
            <w:hideMark/>
          </w:tcPr>
          <w:p w14:paraId="4B9C4B8B" w14:textId="77777777" w:rsidR="00366466" w:rsidRPr="00B65973" w:rsidRDefault="00366466" w:rsidP="00117C75">
            <w:pPr>
              <w:pStyle w:val="Table"/>
              <w:jc w:val="right"/>
              <w:rPr>
                <w:szCs w:val="24"/>
                <w:lang w:val="en-US"/>
              </w:rPr>
            </w:pPr>
            <w:r w:rsidRPr="00B65973">
              <w:rPr>
                <w:szCs w:val="24"/>
                <w:lang w:val="en-US"/>
              </w:rPr>
              <w:t>6.308</w:t>
            </w:r>
          </w:p>
        </w:tc>
        <w:tc>
          <w:tcPr>
            <w:tcW w:w="490" w:type="pct"/>
            <w:hideMark/>
          </w:tcPr>
          <w:p w14:paraId="460AFDF8" w14:textId="77777777" w:rsidR="00366466" w:rsidRPr="00B65973" w:rsidRDefault="00366466" w:rsidP="00117C75">
            <w:pPr>
              <w:pStyle w:val="Table"/>
              <w:jc w:val="right"/>
              <w:rPr>
                <w:szCs w:val="24"/>
                <w:lang w:val="en-US"/>
              </w:rPr>
            </w:pPr>
            <w:r w:rsidRPr="00B65973">
              <w:rPr>
                <w:szCs w:val="24"/>
                <w:lang w:val="en-US"/>
              </w:rPr>
              <w:t>2.804</w:t>
            </w:r>
          </w:p>
        </w:tc>
        <w:tc>
          <w:tcPr>
            <w:tcW w:w="345" w:type="pct"/>
            <w:hideMark/>
          </w:tcPr>
          <w:p w14:paraId="2EBDF134" w14:textId="77777777" w:rsidR="00366466" w:rsidRPr="00B65973" w:rsidRDefault="00366466" w:rsidP="00117C75">
            <w:pPr>
              <w:pStyle w:val="Table"/>
              <w:jc w:val="right"/>
              <w:rPr>
                <w:szCs w:val="24"/>
                <w:lang w:val="en-US"/>
              </w:rPr>
            </w:pPr>
            <w:r w:rsidRPr="00B65973">
              <w:rPr>
                <w:szCs w:val="24"/>
                <w:lang w:val="en-US"/>
              </w:rPr>
              <w:t>2.200</w:t>
            </w:r>
          </w:p>
        </w:tc>
        <w:tc>
          <w:tcPr>
            <w:tcW w:w="487" w:type="pct"/>
            <w:hideMark/>
          </w:tcPr>
          <w:p w14:paraId="47DB3720" w14:textId="77777777" w:rsidR="00366466" w:rsidRPr="00B65973" w:rsidRDefault="00366466" w:rsidP="00117C75">
            <w:pPr>
              <w:pStyle w:val="Table"/>
              <w:jc w:val="right"/>
              <w:rPr>
                <w:szCs w:val="24"/>
                <w:lang w:val="en-US"/>
              </w:rPr>
            </w:pPr>
            <w:r w:rsidRPr="00B65973">
              <w:rPr>
                <w:szCs w:val="24"/>
                <w:lang w:val="en-US"/>
              </w:rPr>
              <w:t>4.200</w:t>
            </w:r>
          </w:p>
        </w:tc>
        <w:tc>
          <w:tcPr>
            <w:tcW w:w="487" w:type="pct"/>
            <w:hideMark/>
          </w:tcPr>
          <w:p w14:paraId="3FDE9B4B" w14:textId="77777777" w:rsidR="00366466" w:rsidRPr="00B65973" w:rsidRDefault="00366466" w:rsidP="00117C75">
            <w:pPr>
              <w:pStyle w:val="Table"/>
              <w:jc w:val="right"/>
              <w:rPr>
                <w:szCs w:val="24"/>
                <w:lang w:val="en-US"/>
              </w:rPr>
            </w:pPr>
            <w:r w:rsidRPr="00B65973">
              <w:rPr>
                <w:szCs w:val="24"/>
                <w:lang w:val="en-US"/>
              </w:rPr>
              <w:t>7.800</w:t>
            </w:r>
          </w:p>
        </w:tc>
        <w:tc>
          <w:tcPr>
            <w:tcW w:w="490" w:type="pct"/>
            <w:hideMark/>
          </w:tcPr>
          <w:p w14:paraId="59F86FD3" w14:textId="77777777" w:rsidR="00366466" w:rsidRPr="00B65973" w:rsidRDefault="00366466" w:rsidP="00117C75">
            <w:pPr>
              <w:pStyle w:val="Table"/>
              <w:jc w:val="right"/>
              <w:rPr>
                <w:szCs w:val="24"/>
                <w:lang w:val="en-US"/>
              </w:rPr>
            </w:pPr>
            <w:r w:rsidRPr="00B65973">
              <w:rPr>
                <w:szCs w:val="24"/>
                <w:lang w:val="en-US"/>
              </w:rPr>
              <w:t>17.100</w:t>
            </w:r>
          </w:p>
        </w:tc>
      </w:tr>
      <w:tr w:rsidR="00366466" w:rsidRPr="00B65973" w14:paraId="37D9766D" w14:textId="77777777" w:rsidTr="00117C75">
        <w:trPr>
          <w:tblCellSpacing w:w="15" w:type="dxa"/>
        </w:trPr>
        <w:tc>
          <w:tcPr>
            <w:tcW w:w="1883" w:type="pct"/>
            <w:hideMark/>
          </w:tcPr>
          <w:p w14:paraId="7566B7EE" w14:textId="77777777" w:rsidR="00366466" w:rsidRPr="00B65973" w:rsidRDefault="00366466" w:rsidP="005962BF">
            <w:pPr>
              <w:pStyle w:val="Table"/>
              <w:rPr>
                <w:szCs w:val="24"/>
                <w:lang w:val="en-US"/>
              </w:rPr>
            </w:pPr>
            <w:r w:rsidRPr="00B65973">
              <w:rPr>
                <w:szCs w:val="24"/>
                <w:lang w:val="en-US"/>
              </w:rPr>
              <w:t>Share, holdings &lt; 2 ha (%)</w:t>
            </w:r>
          </w:p>
        </w:tc>
        <w:tc>
          <w:tcPr>
            <w:tcW w:w="236" w:type="pct"/>
            <w:hideMark/>
          </w:tcPr>
          <w:p w14:paraId="00AB2465" w14:textId="77777777" w:rsidR="00366466" w:rsidRPr="00B65973" w:rsidRDefault="00366466" w:rsidP="00117C75">
            <w:pPr>
              <w:pStyle w:val="Table"/>
              <w:jc w:val="right"/>
              <w:rPr>
                <w:szCs w:val="24"/>
                <w:lang w:val="en-US"/>
              </w:rPr>
            </w:pPr>
            <w:r w:rsidRPr="00B65973">
              <w:rPr>
                <w:szCs w:val="24"/>
                <w:lang w:val="en-US"/>
              </w:rPr>
              <w:t>156</w:t>
            </w:r>
          </w:p>
        </w:tc>
        <w:tc>
          <w:tcPr>
            <w:tcW w:w="418" w:type="pct"/>
            <w:hideMark/>
          </w:tcPr>
          <w:p w14:paraId="409FDEC7" w14:textId="77777777" w:rsidR="00366466" w:rsidRPr="00B65973" w:rsidRDefault="00366466" w:rsidP="00117C75">
            <w:pPr>
              <w:pStyle w:val="Table"/>
              <w:jc w:val="right"/>
              <w:rPr>
                <w:szCs w:val="24"/>
                <w:lang w:val="en-US"/>
              </w:rPr>
            </w:pPr>
            <w:r w:rsidRPr="00B65973">
              <w:rPr>
                <w:szCs w:val="24"/>
                <w:lang w:val="en-US"/>
              </w:rPr>
              <w:t>29.438</w:t>
            </w:r>
          </w:p>
        </w:tc>
        <w:tc>
          <w:tcPr>
            <w:tcW w:w="490" w:type="pct"/>
            <w:hideMark/>
          </w:tcPr>
          <w:p w14:paraId="503258F3" w14:textId="77777777" w:rsidR="00366466" w:rsidRPr="00B65973" w:rsidRDefault="00366466" w:rsidP="00117C75">
            <w:pPr>
              <w:pStyle w:val="Table"/>
              <w:jc w:val="right"/>
              <w:rPr>
                <w:szCs w:val="24"/>
                <w:lang w:val="en-US"/>
              </w:rPr>
            </w:pPr>
            <w:r w:rsidRPr="00B65973">
              <w:rPr>
                <w:szCs w:val="24"/>
                <w:lang w:val="en-US"/>
              </w:rPr>
              <w:t>27.842</w:t>
            </w:r>
          </w:p>
        </w:tc>
        <w:tc>
          <w:tcPr>
            <w:tcW w:w="345" w:type="pct"/>
            <w:hideMark/>
          </w:tcPr>
          <w:p w14:paraId="368B53B8" w14:textId="77777777" w:rsidR="00366466" w:rsidRPr="00B65973" w:rsidRDefault="00366466" w:rsidP="00117C75">
            <w:pPr>
              <w:pStyle w:val="Table"/>
              <w:jc w:val="right"/>
              <w:rPr>
                <w:szCs w:val="24"/>
                <w:lang w:val="en-US"/>
              </w:rPr>
            </w:pPr>
            <w:r w:rsidRPr="00B65973">
              <w:rPr>
                <w:szCs w:val="24"/>
                <w:lang w:val="en-US"/>
              </w:rPr>
              <w:t>0.000</w:t>
            </w:r>
          </w:p>
        </w:tc>
        <w:tc>
          <w:tcPr>
            <w:tcW w:w="487" w:type="pct"/>
            <w:hideMark/>
          </w:tcPr>
          <w:p w14:paraId="1A1793D6" w14:textId="77777777" w:rsidR="00366466" w:rsidRPr="00B65973" w:rsidRDefault="00366466" w:rsidP="00117C75">
            <w:pPr>
              <w:pStyle w:val="Table"/>
              <w:jc w:val="right"/>
              <w:rPr>
                <w:szCs w:val="24"/>
                <w:lang w:val="en-US"/>
              </w:rPr>
            </w:pPr>
            <w:r w:rsidRPr="00B65973">
              <w:rPr>
                <w:szCs w:val="24"/>
                <w:lang w:val="en-US"/>
              </w:rPr>
              <w:t>4.705</w:t>
            </w:r>
          </w:p>
        </w:tc>
        <w:tc>
          <w:tcPr>
            <w:tcW w:w="487" w:type="pct"/>
            <w:hideMark/>
          </w:tcPr>
          <w:p w14:paraId="158F31FE" w14:textId="77777777" w:rsidR="00366466" w:rsidRPr="00B65973" w:rsidRDefault="00366466" w:rsidP="00117C75">
            <w:pPr>
              <w:pStyle w:val="Table"/>
              <w:jc w:val="right"/>
              <w:rPr>
                <w:szCs w:val="24"/>
                <w:lang w:val="en-US"/>
              </w:rPr>
            </w:pPr>
            <w:r w:rsidRPr="00B65973">
              <w:rPr>
                <w:szCs w:val="24"/>
                <w:lang w:val="en-US"/>
              </w:rPr>
              <w:t>53.720</w:t>
            </w:r>
          </w:p>
        </w:tc>
        <w:tc>
          <w:tcPr>
            <w:tcW w:w="490" w:type="pct"/>
            <w:hideMark/>
          </w:tcPr>
          <w:p w14:paraId="317D880F" w14:textId="77777777" w:rsidR="00366466" w:rsidRPr="00B65973" w:rsidRDefault="00366466" w:rsidP="00117C75">
            <w:pPr>
              <w:pStyle w:val="Table"/>
              <w:jc w:val="right"/>
              <w:rPr>
                <w:szCs w:val="24"/>
                <w:lang w:val="en-US"/>
              </w:rPr>
            </w:pPr>
            <w:r w:rsidRPr="00B65973">
              <w:rPr>
                <w:szCs w:val="24"/>
                <w:lang w:val="en-US"/>
              </w:rPr>
              <w:t>98.940</w:t>
            </w:r>
          </w:p>
        </w:tc>
      </w:tr>
      <w:tr w:rsidR="00366466" w:rsidRPr="00B65973" w14:paraId="484594E0" w14:textId="77777777" w:rsidTr="00117C75">
        <w:trPr>
          <w:tblCellSpacing w:w="15" w:type="dxa"/>
        </w:trPr>
        <w:tc>
          <w:tcPr>
            <w:tcW w:w="1883" w:type="pct"/>
            <w:hideMark/>
          </w:tcPr>
          <w:p w14:paraId="2CA0F84F" w14:textId="77777777" w:rsidR="00366466" w:rsidRPr="00B65973" w:rsidRDefault="00366466" w:rsidP="005962BF">
            <w:pPr>
              <w:pStyle w:val="Table"/>
              <w:rPr>
                <w:szCs w:val="24"/>
                <w:lang w:val="en-US"/>
              </w:rPr>
            </w:pPr>
            <w:r w:rsidRPr="00B65973">
              <w:rPr>
                <w:szCs w:val="24"/>
                <w:lang w:val="en-US"/>
              </w:rPr>
              <w:t>Area, holdings &lt; 2 ha (%)</w:t>
            </w:r>
          </w:p>
        </w:tc>
        <w:tc>
          <w:tcPr>
            <w:tcW w:w="236" w:type="pct"/>
            <w:hideMark/>
          </w:tcPr>
          <w:p w14:paraId="3662B7D5" w14:textId="77777777" w:rsidR="00366466" w:rsidRPr="00B65973" w:rsidRDefault="00366466" w:rsidP="00117C75">
            <w:pPr>
              <w:pStyle w:val="Table"/>
              <w:jc w:val="right"/>
              <w:rPr>
                <w:szCs w:val="24"/>
                <w:lang w:val="en-US"/>
              </w:rPr>
            </w:pPr>
            <w:r w:rsidRPr="00B65973">
              <w:rPr>
                <w:szCs w:val="24"/>
                <w:lang w:val="en-US"/>
              </w:rPr>
              <w:t>156</w:t>
            </w:r>
          </w:p>
        </w:tc>
        <w:tc>
          <w:tcPr>
            <w:tcW w:w="418" w:type="pct"/>
            <w:hideMark/>
          </w:tcPr>
          <w:p w14:paraId="043324A6" w14:textId="77777777" w:rsidR="00366466" w:rsidRPr="00B65973" w:rsidRDefault="00366466" w:rsidP="00117C75">
            <w:pPr>
              <w:pStyle w:val="Table"/>
              <w:jc w:val="right"/>
              <w:rPr>
                <w:szCs w:val="24"/>
                <w:lang w:val="en-US"/>
              </w:rPr>
            </w:pPr>
            <w:r w:rsidRPr="00B65973">
              <w:rPr>
                <w:szCs w:val="24"/>
                <w:lang w:val="en-US"/>
              </w:rPr>
              <w:t>4.015</w:t>
            </w:r>
          </w:p>
        </w:tc>
        <w:tc>
          <w:tcPr>
            <w:tcW w:w="490" w:type="pct"/>
            <w:hideMark/>
          </w:tcPr>
          <w:p w14:paraId="3911A59C" w14:textId="77777777" w:rsidR="00366466" w:rsidRPr="00B65973" w:rsidRDefault="00366466" w:rsidP="00117C75">
            <w:pPr>
              <w:pStyle w:val="Table"/>
              <w:jc w:val="right"/>
              <w:rPr>
                <w:szCs w:val="24"/>
                <w:lang w:val="en-US"/>
              </w:rPr>
            </w:pPr>
            <w:r w:rsidRPr="00B65973">
              <w:rPr>
                <w:szCs w:val="24"/>
                <w:lang w:val="en-US"/>
              </w:rPr>
              <w:t>9.438</w:t>
            </w:r>
          </w:p>
        </w:tc>
        <w:tc>
          <w:tcPr>
            <w:tcW w:w="345" w:type="pct"/>
            <w:hideMark/>
          </w:tcPr>
          <w:p w14:paraId="750B1913" w14:textId="77777777" w:rsidR="00366466" w:rsidRPr="00B65973" w:rsidRDefault="00366466" w:rsidP="00117C75">
            <w:pPr>
              <w:pStyle w:val="Table"/>
              <w:jc w:val="right"/>
              <w:rPr>
                <w:szCs w:val="24"/>
                <w:lang w:val="en-US"/>
              </w:rPr>
            </w:pPr>
            <w:r w:rsidRPr="00B65973">
              <w:rPr>
                <w:szCs w:val="24"/>
                <w:lang w:val="en-US"/>
              </w:rPr>
              <w:t>0.000</w:t>
            </w:r>
          </w:p>
        </w:tc>
        <w:tc>
          <w:tcPr>
            <w:tcW w:w="487" w:type="pct"/>
            <w:hideMark/>
          </w:tcPr>
          <w:p w14:paraId="45CDF213" w14:textId="77777777" w:rsidR="00366466" w:rsidRPr="00B65973" w:rsidRDefault="00366466" w:rsidP="00117C75">
            <w:pPr>
              <w:pStyle w:val="Table"/>
              <w:jc w:val="right"/>
              <w:rPr>
                <w:szCs w:val="24"/>
                <w:lang w:val="en-US"/>
              </w:rPr>
            </w:pPr>
            <w:r w:rsidRPr="00B65973">
              <w:rPr>
                <w:szCs w:val="24"/>
                <w:lang w:val="en-US"/>
              </w:rPr>
              <w:t>0.076</w:t>
            </w:r>
          </w:p>
        </w:tc>
        <w:tc>
          <w:tcPr>
            <w:tcW w:w="487" w:type="pct"/>
            <w:hideMark/>
          </w:tcPr>
          <w:p w14:paraId="08CCACA1" w14:textId="77777777" w:rsidR="00366466" w:rsidRPr="00B65973" w:rsidRDefault="00366466" w:rsidP="00117C75">
            <w:pPr>
              <w:pStyle w:val="Table"/>
              <w:jc w:val="right"/>
              <w:rPr>
                <w:szCs w:val="24"/>
                <w:lang w:val="en-US"/>
              </w:rPr>
            </w:pPr>
            <w:r w:rsidRPr="00B65973">
              <w:rPr>
                <w:szCs w:val="24"/>
                <w:lang w:val="en-US"/>
              </w:rPr>
              <w:t>3.961</w:t>
            </w:r>
          </w:p>
        </w:tc>
        <w:tc>
          <w:tcPr>
            <w:tcW w:w="490" w:type="pct"/>
            <w:hideMark/>
          </w:tcPr>
          <w:p w14:paraId="2F075B48" w14:textId="77777777" w:rsidR="00366466" w:rsidRPr="00B65973" w:rsidRDefault="00366466" w:rsidP="00117C75">
            <w:pPr>
              <w:pStyle w:val="Table"/>
              <w:jc w:val="right"/>
              <w:rPr>
                <w:szCs w:val="24"/>
                <w:lang w:val="en-US"/>
              </w:rPr>
            </w:pPr>
            <w:r w:rsidRPr="00B65973">
              <w:rPr>
                <w:szCs w:val="24"/>
                <w:lang w:val="en-US"/>
              </w:rPr>
              <w:t>87.565</w:t>
            </w:r>
          </w:p>
        </w:tc>
      </w:tr>
      <w:tr w:rsidR="00366466" w:rsidRPr="00B65973" w14:paraId="745E0D98" w14:textId="77777777" w:rsidTr="00117C75">
        <w:trPr>
          <w:tblCellSpacing w:w="15" w:type="dxa"/>
        </w:trPr>
        <w:tc>
          <w:tcPr>
            <w:tcW w:w="1883" w:type="pct"/>
            <w:hideMark/>
          </w:tcPr>
          <w:p w14:paraId="306D264D" w14:textId="77777777" w:rsidR="00366466" w:rsidRPr="00B65973" w:rsidRDefault="00366466" w:rsidP="005962BF">
            <w:pPr>
              <w:pStyle w:val="Table"/>
              <w:rPr>
                <w:szCs w:val="24"/>
                <w:lang w:val="en-US"/>
              </w:rPr>
            </w:pPr>
            <w:r w:rsidRPr="00B65973">
              <w:rPr>
                <w:szCs w:val="24"/>
                <w:lang w:val="en-US"/>
              </w:rPr>
              <w:t>Employment, NACE2 A (%)</w:t>
            </w:r>
          </w:p>
        </w:tc>
        <w:tc>
          <w:tcPr>
            <w:tcW w:w="236" w:type="pct"/>
            <w:hideMark/>
          </w:tcPr>
          <w:p w14:paraId="6663120A" w14:textId="77777777" w:rsidR="00366466" w:rsidRPr="00B65973" w:rsidRDefault="00366466" w:rsidP="00117C75">
            <w:pPr>
              <w:pStyle w:val="Table"/>
              <w:jc w:val="right"/>
              <w:rPr>
                <w:szCs w:val="24"/>
                <w:lang w:val="en-US"/>
              </w:rPr>
            </w:pPr>
            <w:r w:rsidRPr="00B65973">
              <w:rPr>
                <w:szCs w:val="24"/>
                <w:lang w:val="en-US"/>
              </w:rPr>
              <w:t>156</w:t>
            </w:r>
          </w:p>
        </w:tc>
        <w:tc>
          <w:tcPr>
            <w:tcW w:w="418" w:type="pct"/>
            <w:hideMark/>
          </w:tcPr>
          <w:p w14:paraId="01B80113" w14:textId="77777777" w:rsidR="00366466" w:rsidRPr="00B65973" w:rsidRDefault="00366466" w:rsidP="00117C75">
            <w:pPr>
              <w:pStyle w:val="Table"/>
              <w:jc w:val="right"/>
              <w:rPr>
                <w:szCs w:val="24"/>
                <w:lang w:val="en-US"/>
              </w:rPr>
            </w:pPr>
            <w:r w:rsidRPr="00B65973">
              <w:rPr>
                <w:szCs w:val="24"/>
                <w:lang w:val="en-US"/>
              </w:rPr>
              <w:t>7.176</w:t>
            </w:r>
          </w:p>
        </w:tc>
        <w:tc>
          <w:tcPr>
            <w:tcW w:w="490" w:type="pct"/>
            <w:hideMark/>
          </w:tcPr>
          <w:p w14:paraId="0B0DD78C" w14:textId="77777777" w:rsidR="00366466" w:rsidRPr="00B65973" w:rsidRDefault="00366466" w:rsidP="00117C75">
            <w:pPr>
              <w:pStyle w:val="Table"/>
              <w:jc w:val="right"/>
              <w:rPr>
                <w:szCs w:val="24"/>
                <w:lang w:val="en-US"/>
              </w:rPr>
            </w:pPr>
            <w:r w:rsidRPr="00B65973">
              <w:rPr>
                <w:szCs w:val="24"/>
                <w:lang w:val="en-US"/>
              </w:rPr>
              <w:t>7.601</w:t>
            </w:r>
          </w:p>
        </w:tc>
        <w:tc>
          <w:tcPr>
            <w:tcW w:w="345" w:type="pct"/>
            <w:hideMark/>
          </w:tcPr>
          <w:p w14:paraId="2D12DEB2" w14:textId="77777777" w:rsidR="00366466" w:rsidRPr="00B65973" w:rsidRDefault="00366466" w:rsidP="00117C75">
            <w:pPr>
              <w:pStyle w:val="Table"/>
              <w:jc w:val="right"/>
              <w:rPr>
                <w:szCs w:val="24"/>
                <w:lang w:val="en-US"/>
              </w:rPr>
            </w:pPr>
            <w:r w:rsidRPr="00B65973">
              <w:rPr>
                <w:szCs w:val="24"/>
                <w:lang w:val="en-US"/>
              </w:rPr>
              <w:t>0.015</w:t>
            </w:r>
          </w:p>
        </w:tc>
        <w:tc>
          <w:tcPr>
            <w:tcW w:w="487" w:type="pct"/>
            <w:hideMark/>
          </w:tcPr>
          <w:p w14:paraId="47F60C0D" w14:textId="77777777" w:rsidR="00366466" w:rsidRPr="00B65973" w:rsidRDefault="00366466" w:rsidP="00117C75">
            <w:pPr>
              <w:pStyle w:val="Table"/>
              <w:jc w:val="right"/>
              <w:rPr>
                <w:szCs w:val="24"/>
                <w:lang w:val="en-US"/>
              </w:rPr>
            </w:pPr>
            <w:r w:rsidRPr="00B65973">
              <w:rPr>
                <w:szCs w:val="24"/>
                <w:lang w:val="en-US"/>
              </w:rPr>
              <w:t>2.339</w:t>
            </w:r>
          </w:p>
        </w:tc>
        <w:tc>
          <w:tcPr>
            <w:tcW w:w="487" w:type="pct"/>
            <w:hideMark/>
          </w:tcPr>
          <w:p w14:paraId="45391E8F" w14:textId="77777777" w:rsidR="00366466" w:rsidRPr="00B65973" w:rsidRDefault="00366466" w:rsidP="00117C75">
            <w:pPr>
              <w:pStyle w:val="Table"/>
              <w:jc w:val="right"/>
              <w:rPr>
                <w:szCs w:val="24"/>
                <w:lang w:val="en-US"/>
              </w:rPr>
            </w:pPr>
            <w:r w:rsidRPr="00B65973">
              <w:rPr>
                <w:szCs w:val="24"/>
                <w:lang w:val="en-US"/>
              </w:rPr>
              <w:t>9.377</w:t>
            </w:r>
          </w:p>
        </w:tc>
        <w:tc>
          <w:tcPr>
            <w:tcW w:w="490" w:type="pct"/>
            <w:hideMark/>
          </w:tcPr>
          <w:p w14:paraId="3B562F36" w14:textId="77777777" w:rsidR="00366466" w:rsidRPr="00B65973" w:rsidRDefault="00366466" w:rsidP="00117C75">
            <w:pPr>
              <w:pStyle w:val="Table"/>
              <w:jc w:val="right"/>
              <w:rPr>
                <w:szCs w:val="24"/>
                <w:lang w:val="en-US"/>
              </w:rPr>
            </w:pPr>
            <w:r w:rsidRPr="00B65973">
              <w:rPr>
                <w:szCs w:val="24"/>
                <w:lang w:val="en-US"/>
              </w:rPr>
              <w:t>46.907</w:t>
            </w:r>
          </w:p>
        </w:tc>
      </w:tr>
      <w:tr w:rsidR="00366466" w:rsidRPr="00B65973" w14:paraId="7F326BCD" w14:textId="77777777" w:rsidTr="00117C75">
        <w:trPr>
          <w:tblCellSpacing w:w="15" w:type="dxa"/>
        </w:trPr>
        <w:tc>
          <w:tcPr>
            <w:tcW w:w="1883" w:type="pct"/>
            <w:hideMark/>
          </w:tcPr>
          <w:p w14:paraId="573C7E66" w14:textId="77777777" w:rsidR="00366466" w:rsidRPr="00B65973" w:rsidRDefault="00366466" w:rsidP="005962BF">
            <w:pPr>
              <w:pStyle w:val="Table"/>
              <w:rPr>
                <w:szCs w:val="24"/>
                <w:lang w:val="en-US"/>
              </w:rPr>
            </w:pPr>
            <w:r w:rsidRPr="00B65973">
              <w:rPr>
                <w:szCs w:val="24"/>
                <w:lang w:val="en-US"/>
              </w:rPr>
              <w:t>Investments, NACE2 A (%)</w:t>
            </w:r>
          </w:p>
        </w:tc>
        <w:tc>
          <w:tcPr>
            <w:tcW w:w="236" w:type="pct"/>
            <w:hideMark/>
          </w:tcPr>
          <w:p w14:paraId="46C9E466" w14:textId="77777777" w:rsidR="00366466" w:rsidRPr="00B65973" w:rsidRDefault="00366466" w:rsidP="00117C75">
            <w:pPr>
              <w:pStyle w:val="Table"/>
              <w:jc w:val="right"/>
              <w:rPr>
                <w:szCs w:val="24"/>
                <w:lang w:val="en-US"/>
              </w:rPr>
            </w:pPr>
            <w:r w:rsidRPr="00B65973">
              <w:rPr>
                <w:szCs w:val="24"/>
                <w:lang w:val="en-US"/>
              </w:rPr>
              <w:t>156</w:t>
            </w:r>
          </w:p>
        </w:tc>
        <w:tc>
          <w:tcPr>
            <w:tcW w:w="418" w:type="pct"/>
            <w:hideMark/>
          </w:tcPr>
          <w:p w14:paraId="4A4BF29F" w14:textId="77777777" w:rsidR="00366466" w:rsidRPr="00B65973" w:rsidRDefault="00366466" w:rsidP="00117C75">
            <w:pPr>
              <w:pStyle w:val="Table"/>
              <w:jc w:val="right"/>
              <w:rPr>
                <w:szCs w:val="24"/>
                <w:lang w:val="en-US"/>
              </w:rPr>
            </w:pPr>
            <w:r w:rsidRPr="00B65973">
              <w:rPr>
                <w:szCs w:val="24"/>
                <w:lang w:val="en-US"/>
              </w:rPr>
              <w:t>3.103</w:t>
            </w:r>
          </w:p>
        </w:tc>
        <w:tc>
          <w:tcPr>
            <w:tcW w:w="490" w:type="pct"/>
            <w:hideMark/>
          </w:tcPr>
          <w:p w14:paraId="5EA7A83C" w14:textId="77777777" w:rsidR="00366466" w:rsidRPr="00B65973" w:rsidRDefault="00366466" w:rsidP="00117C75">
            <w:pPr>
              <w:pStyle w:val="Table"/>
              <w:jc w:val="right"/>
              <w:rPr>
                <w:szCs w:val="24"/>
                <w:lang w:val="en-US"/>
              </w:rPr>
            </w:pPr>
            <w:r w:rsidRPr="00B65973">
              <w:rPr>
                <w:szCs w:val="24"/>
                <w:lang w:val="en-US"/>
              </w:rPr>
              <w:t>2.478</w:t>
            </w:r>
          </w:p>
        </w:tc>
        <w:tc>
          <w:tcPr>
            <w:tcW w:w="345" w:type="pct"/>
            <w:hideMark/>
          </w:tcPr>
          <w:p w14:paraId="60EDE3E8" w14:textId="77777777" w:rsidR="00366466" w:rsidRPr="00B65973" w:rsidRDefault="00366466" w:rsidP="00117C75">
            <w:pPr>
              <w:pStyle w:val="Table"/>
              <w:jc w:val="right"/>
              <w:rPr>
                <w:szCs w:val="24"/>
                <w:lang w:val="en-US"/>
              </w:rPr>
            </w:pPr>
            <w:r w:rsidRPr="00B65973">
              <w:rPr>
                <w:szCs w:val="24"/>
                <w:lang w:val="en-US"/>
              </w:rPr>
              <w:t>0.034</w:t>
            </w:r>
          </w:p>
        </w:tc>
        <w:tc>
          <w:tcPr>
            <w:tcW w:w="487" w:type="pct"/>
            <w:hideMark/>
          </w:tcPr>
          <w:p w14:paraId="214D1A84" w14:textId="77777777" w:rsidR="00366466" w:rsidRPr="00B65973" w:rsidRDefault="00366466" w:rsidP="00117C75">
            <w:pPr>
              <w:pStyle w:val="Table"/>
              <w:jc w:val="right"/>
              <w:rPr>
                <w:szCs w:val="24"/>
                <w:lang w:val="en-US"/>
              </w:rPr>
            </w:pPr>
            <w:r w:rsidRPr="00B65973">
              <w:rPr>
                <w:szCs w:val="24"/>
                <w:lang w:val="en-US"/>
              </w:rPr>
              <w:t>1.268</w:t>
            </w:r>
          </w:p>
        </w:tc>
        <w:tc>
          <w:tcPr>
            <w:tcW w:w="487" w:type="pct"/>
            <w:hideMark/>
          </w:tcPr>
          <w:p w14:paraId="25FF0EA0" w14:textId="77777777" w:rsidR="00366466" w:rsidRPr="00B65973" w:rsidRDefault="00366466" w:rsidP="00117C75">
            <w:pPr>
              <w:pStyle w:val="Table"/>
              <w:jc w:val="right"/>
              <w:rPr>
                <w:szCs w:val="24"/>
                <w:lang w:val="en-US"/>
              </w:rPr>
            </w:pPr>
            <w:r w:rsidRPr="00B65973">
              <w:rPr>
                <w:szCs w:val="24"/>
                <w:lang w:val="en-US"/>
              </w:rPr>
              <w:t>4.365</w:t>
            </w:r>
          </w:p>
        </w:tc>
        <w:tc>
          <w:tcPr>
            <w:tcW w:w="490" w:type="pct"/>
            <w:hideMark/>
          </w:tcPr>
          <w:p w14:paraId="44E0CD57" w14:textId="77777777" w:rsidR="00366466" w:rsidRPr="00B65973" w:rsidRDefault="00366466" w:rsidP="00117C75">
            <w:pPr>
              <w:pStyle w:val="Table"/>
              <w:jc w:val="right"/>
              <w:rPr>
                <w:szCs w:val="24"/>
                <w:lang w:val="en-US"/>
              </w:rPr>
            </w:pPr>
            <w:r w:rsidRPr="00B65973">
              <w:rPr>
                <w:szCs w:val="24"/>
                <w:lang w:val="en-US"/>
              </w:rPr>
              <w:t>15.286</w:t>
            </w:r>
          </w:p>
        </w:tc>
      </w:tr>
      <w:tr w:rsidR="00366466" w:rsidRPr="00B65973" w14:paraId="63175276" w14:textId="77777777" w:rsidTr="00117C75">
        <w:trPr>
          <w:tblCellSpacing w:w="15" w:type="dxa"/>
        </w:trPr>
        <w:tc>
          <w:tcPr>
            <w:tcW w:w="1883" w:type="pct"/>
            <w:hideMark/>
          </w:tcPr>
          <w:p w14:paraId="4C5E9893" w14:textId="77777777" w:rsidR="00366466" w:rsidRPr="00B65973" w:rsidRDefault="00366466" w:rsidP="005962BF">
            <w:pPr>
              <w:pStyle w:val="Table"/>
              <w:rPr>
                <w:szCs w:val="24"/>
                <w:lang w:val="en-US"/>
              </w:rPr>
            </w:pPr>
            <w:r w:rsidRPr="00B65973">
              <w:rPr>
                <w:szCs w:val="24"/>
                <w:lang w:val="en-US"/>
              </w:rPr>
              <w:t>Share, organic holdings (%)</w:t>
            </w:r>
          </w:p>
        </w:tc>
        <w:tc>
          <w:tcPr>
            <w:tcW w:w="236" w:type="pct"/>
            <w:hideMark/>
          </w:tcPr>
          <w:p w14:paraId="6410180A" w14:textId="77777777" w:rsidR="00366466" w:rsidRPr="00B65973" w:rsidRDefault="00366466" w:rsidP="00117C75">
            <w:pPr>
              <w:pStyle w:val="Table"/>
              <w:jc w:val="right"/>
              <w:rPr>
                <w:szCs w:val="24"/>
                <w:lang w:val="en-US"/>
              </w:rPr>
            </w:pPr>
            <w:r w:rsidRPr="00B65973">
              <w:rPr>
                <w:szCs w:val="24"/>
                <w:lang w:val="en-US"/>
              </w:rPr>
              <w:t>156</w:t>
            </w:r>
          </w:p>
        </w:tc>
        <w:tc>
          <w:tcPr>
            <w:tcW w:w="418" w:type="pct"/>
            <w:hideMark/>
          </w:tcPr>
          <w:p w14:paraId="58773343" w14:textId="77777777" w:rsidR="00366466" w:rsidRPr="00B65973" w:rsidRDefault="00366466" w:rsidP="00117C75">
            <w:pPr>
              <w:pStyle w:val="Table"/>
              <w:jc w:val="right"/>
              <w:rPr>
                <w:szCs w:val="24"/>
                <w:lang w:val="en-US"/>
              </w:rPr>
            </w:pPr>
            <w:r w:rsidRPr="00B65973">
              <w:rPr>
                <w:szCs w:val="24"/>
                <w:lang w:val="en-US"/>
              </w:rPr>
              <w:t>2.273</w:t>
            </w:r>
          </w:p>
        </w:tc>
        <w:tc>
          <w:tcPr>
            <w:tcW w:w="490" w:type="pct"/>
            <w:hideMark/>
          </w:tcPr>
          <w:p w14:paraId="6FF6864D" w14:textId="77777777" w:rsidR="00366466" w:rsidRPr="00B65973" w:rsidRDefault="00366466" w:rsidP="00117C75">
            <w:pPr>
              <w:pStyle w:val="Table"/>
              <w:jc w:val="right"/>
              <w:rPr>
                <w:szCs w:val="24"/>
                <w:lang w:val="en-US"/>
              </w:rPr>
            </w:pPr>
            <w:r w:rsidRPr="00B65973">
              <w:rPr>
                <w:szCs w:val="24"/>
                <w:lang w:val="en-US"/>
              </w:rPr>
              <w:t>3.665</w:t>
            </w:r>
          </w:p>
        </w:tc>
        <w:tc>
          <w:tcPr>
            <w:tcW w:w="345" w:type="pct"/>
            <w:hideMark/>
          </w:tcPr>
          <w:p w14:paraId="5F8B2691" w14:textId="77777777" w:rsidR="00366466" w:rsidRPr="00B65973" w:rsidRDefault="00366466" w:rsidP="00117C75">
            <w:pPr>
              <w:pStyle w:val="Table"/>
              <w:jc w:val="right"/>
              <w:rPr>
                <w:szCs w:val="24"/>
                <w:lang w:val="en-US"/>
              </w:rPr>
            </w:pPr>
            <w:r w:rsidRPr="00B65973">
              <w:rPr>
                <w:szCs w:val="24"/>
                <w:lang w:val="en-US"/>
              </w:rPr>
              <w:t>0.000</w:t>
            </w:r>
          </w:p>
        </w:tc>
        <w:tc>
          <w:tcPr>
            <w:tcW w:w="487" w:type="pct"/>
            <w:hideMark/>
          </w:tcPr>
          <w:p w14:paraId="78536668" w14:textId="77777777" w:rsidR="00366466" w:rsidRPr="00B65973" w:rsidRDefault="00366466" w:rsidP="00117C75">
            <w:pPr>
              <w:pStyle w:val="Table"/>
              <w:jc w:val="right"/>
              <w:rPr>
                <w:szCs w:val="24"/>
                <w:lang w:val="en-US"/>
              </w:rPr>
            </w:pPr>
            <w:r w:rsidRPr="00B65973">
              <w:rPr>
                <w:szCs w:val="24"/>
                <w:lang w:val="en-US"/>
              </w:rPr>
              <w:t>0.395</w:t>
            </w:r>
          </w:p>
        </w:tc>
        <w:tc>
          <w:tcPr>
            <w:tcW w:w="487" w:type="pct"/>
            <w:hideMark/>
          </w:tcPr>
          <w:p w14:paraId="328CACE7" w14:textId="77777777" w:rsidR="00366466" w:rsidRPr="00B65973" w:rsidRDefault="00366466" w:rsidP="00117C75">
            <w:pPr>
              <w:pStyle w:val="Table"/>
              <w:jc w:val="right"/>
              <w:rPr>
                <w:szCs w:val="24"/>
                <w:lang w:val="en-US"/>
              </w:rPr>
            </w:pPr>
            <w:r w:rsidRPr="00B65973">
              <w:rPr>
                <w:szCs w:val="24"/>
                <w:lang w:val="en-US"/>
              </w:rPr>
              <w:t>2.624</w:t>
            </w:r>
          </w:p>
        </w:tc>
        <w:tc>
          <w:tcPr>
            <w:tcW w:w="490" w:type="pct"/>
            <w:hideMark/>
          </w:tcPr>
          <w:p w14:paraId="59D1DCFA" w14:textId="77777777" w:rsidR="00366466" w:rsidRPr="00B65973" w:rsidRDefault="00366466" w:rsidP="00117C75">
            <w:pPr>
              <w:pStyle w:val="Table"/>
              <w:jc w:val="right"/>
              <w:rPr>
                <w:szCs w:val="24"/>
                <w:lang w:val="en-US"/>
              </w:rPr>
            </w:pPr>
            <w:r w:rsidRPr="00B65973">
              <w:rPr>
                <w:szCs w:val="24"/>
                <w:lang w:val="en-US"/>
              </w:rPr>
              <w:t>34.681</w:t>
            </w:r>
          </w:p>
        </w:tc>
      </w:tr>
      <w:tr w:rsidR="00366466" w:rsidRPr="00B65973" w14:paraId="5A57B98A" w14:textId="77777777" w:rsidTr="00117C75">
        <w:trPr>
          <w:tblCellSpacing w:w="15" w:type="dxa"/>
        </w:trPr>
        <w:tc>
          <w:tcPr>
            <w:tcW w:w="1883" w:type="pct"/>
            <w:hideMark/>
          </w:tcPr>
          <w:p w14:paraId="10C36B70" w14:textId="77777777" w:rsidR="00366466" w:rsidRPr="00B65973" w:rsidRDefault="00366466" w:rsidP="005962BF">
            <w:pPr>
              <w:pStyle w:val="Table"/>
              <w:rPr>
                <w:szCs w:val="24"/>
                <w:lang w:val="en-US"/>
              </w:rPr>
            </w:pPr>
            <w:r w:rsidRPr="00B65973">
              <w:rPr>
                <w:szCs w:val="24"/>
                <w:lang w:val="en-US"/>
              </w:rPr>
              <w:t>Area, organic holdings (%)</w:t>
            </w:r>
          </w:p>
        </w:tc>
        <w:tc>
          <w:tcPr>
            <w:tcW w:w="236" w:type="pct"/>
            <w:hideMark/>
          </w:tcPr>
          <w:p w14:paraId="33FD50C0" w14:textId="77777777" w:rsidR="00366466" w:rsidRPr="00B65973" w:rsidRDefault="00366466" w:rsidP="00117C75">
            <w:pPr>
              <w:pStyle w:val="Table"/>
              <w:jc w:val="right"/>
              <w:rPr>
                <w:szCs w:val="24"/>
                <w:lang w:val="en-US"/>
              </w:rPr>
            </w:pPr>
            <w:r w:rsidRPr="00B65973">
              <w:rPr>
                <w:szCs w:val="24"/>
                <w:lang w:val="en-US"/>
              </w:rPr>
              <w:t>156</w:t>
            </w:r>
          </w:p>
        </w:tc>
        <w:tc>
          <w:tcPr>
            <w:tcW w:w="418" w:type="pct"/>
            <w:hideMark/>
          </w:tcPr>
          <w:p w14:paraId="180F9DE9" w14:textId="77777777" w:rsidR="00366466" w:rsidRPr="00B65973" w:rsidRDefault="00366466" w:rsidP="00117C75">
            <w:pPr>
              <w:pStyle w:val="Table"/>
              <w:jc w:val="right"/>
              <w:rPr>
                <w:szCs w:val="24"/>
                <w:lang w:val="en-US"/>
              </w:rPr>
            </w:pPr>
            <w:r w:rsidRPr="00B65973">
              <w:rPr>
                <w:szCs w:val="24"/>
                <w:lang w:val="en-US"/>
              </w:rPr>
              <w:t>3.766</w:t>
            </w:r>
          </w:p>
        </w:tc>
        <w:tc>
          <w:tcPr>
            <w:tcW w:w="490" w:type="pct"/>
            <w:hideMark/>
          </w:tcPr>
          <w:p w14:paraId="2A29A40D" w14:textId="77777777" w:rsidR="00366466" w:rsidRPr="00B65973" w:rsidRDefault="00366466" w:rsidP="00117C75">
            <w:pPr>
              <w:pStyle w:val="Table"/>
              <w:jc w:val="right"/>
              <w:rPr>
                <w:szCs w:val="24"/>
                <w:lang w:val="en-US"/>
              </w:rPr>
            </w:pPr>
            <w:r w:rsidRPr="00B65973">
              <w:rPr>
                <w:szCs w:val="24"/>
                <w:lang w:val="en-US"/>
              </w:rPr>
              <w:t>4.678</w:t>
            </w:r>
          </w:p>
        </w:tc>
        <w:tc>
          <w:tcPr>
            <w:tcW w:w="345" w:type="pct"/>
            <w:hideMark/>
          </w:tcPr>
          <w:p w14:paraId="1A87473D" w14:textId="77777777" w:rsidR="00366466" w:rsidRPr="00B65973" w:rsidRDefault="00366466" w:rsidP="00117C75">
            <w:pPr>
              <w:pStyle w:val="Table"/>
              <w:jc w:val="right"/>
              <w:rPr>
                <w:szCs w:val="24"/>
                <w:lang w:val="en-US"/>
              </w:rPr>
            </w:pPr>
            <w:r w:rsidRPr="00B65973">
              <w:rPr>
                <w:szCs w:val="24"/>
                <w:lang w:val="en-US"/>
              </w:rPr>
              <w:t>0.000</w:t>
            </w:r>
          </w:p>
        </w:tc>
        <w:tc>
          <w:tcPr>
            <w:tcW w:w="487" w:type="pct"/>
            <w:hideMark/>
          </w:tcPr>
          <w:p w14:paraId="52C4B1B2" w14:textId="77777777" w:rsidR="00366466" w:rsidRPr="00B65973" w:rsidRDefault="00366466" w:rsidP="00117C75">
            <w:pPr>
              <w:pStyle w:val="Table"/>
              <w:jc w:val="right"/>
              <w:rPr>
                <w:szCs w:val="24"/>
                <w:lang w:val="en-US"/>
              </w:rPr>
            </w:pPr>
            <w:r w:rsidRPr="00B65973">
              <w:rPr>
                <w:szCs w:val="24"/>
                <w:lang w:val="en-US"/>
              </w:rPr>
              <w:t>0.567</w:t>
            </w:r>
          </w:p>
        </w:tc>
        <w:tc>
          <w:tcPr>
            <w:tcW w:w="487" w:type="pct"/>
            <w:hideMark/>
          </w:tcPr>
          <w:p w14:paraId="5EE1DEE4" w14:textId="77777777" w:rsidR="00366466" w:rsidRPr="00B65973" w:rsidRDefault="00366466" w:rsidP="00117C75">
            <w:pPr>
              <w:pStyle w:val="Table"/>
              <w:jc w:val="right"/>
              <w:rPr>
                <w:szCs w:val="24"/>
                <w:lang w:val="en-US"/>
              </w:rPr>
            </w:pPr>
            <w:r w:rsidRPr="00B65973">
              <w:rPr>
                <w:szCs w:val="24"/>
                <w:lang w:val="en-US"/>
              </w:rPr>
              <w:t>5.479</w:t>
            </w:r>
          </w:p>
        </w:tc>
        <w:tc>
          <w:tcPr>
            <w:tcW w:w="490" w:type="pct"/>
            <w:hideMark/>
          </w:tcPr>
          <w:p w14:paraId="1A30B9E1" w14:textId="77777777" w:rsidR="00366466" w:rsidRPr="00B65973" w:rsidRDefault="00366466" w:rsidP="00117C75">
            <w:pPr>
              <w:pStyle w:val="Table"/>
              <w:jc w:val="right"/>
              <w:rPr>
                <w:szCs w:val="24"/>
                <w:lang w:val="en-US"/>
              </w:rPr>
            </w:pPr>
            <w:r w:rsidRPr="00B65973">
              <w:rPr>
                <w:szCs w:val="24"/>
                <w:lang w:val="en-US"/>
              </w:rPr>
              <w:t>28.531</w:t>
            </w:r>
          </w:p>
        </w:tc>
      </w:tr>
      <w:tr w:rsidR="00366466" w:rsidRPr="00B65973" w14:paraId="2AEAC21A" w14:textId="77777777" w:rsidTr="00117C75">
        <w:trPr>
          <w:tblCellSpacing w:w="15" w:type="dxa"/>
        </w:trPr>
        <w:tc>
          <w:tcPr>
            <w:tcW w:w="4964" w:type="pct"/>
            <w:gridSpan w:val="8"/>
            <w:tcBorders>
              <w:bottom w:val="single" w:sz="6" w:space="0" w:color="000000"/>
            </w:tcBorders>
            <w:vAlign w:val="center"/>
            <w:hideMark/>
          </w:tcPr>
          <w:p w14:paraId="7275C3F0" w14:textId="77777777" w:rsidR="00366466" w:rsidRPr="00B65973" w:rsidRDefault="00366466" w:rsidP="005962BF">
            <w:pPr>
              <w:pStyle w:val="Table"/>
              <w:rPr>
                <w:szCs w:val="24"/>
                <w:lang w:val="en-US"/>
              </w:rPr>
            </w:pPr>
          </w:p>
        </w:tc>
      </w:tr>
    </w:tbl>
    <w:p w14:paraId="0B25394A" w14:textId="77777777" w:rsidR="00366466" w:rsidRPr="00B65973" w:rsidRDefault="00366466" w:rsidP="00366466">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79"/>
        <w:gridCol w:w="461"/>
        <w:gridCol w:w="792"/>
        <w:gridCol w:w="925"/>
        <w:gridCol w:w="748"/>
        <w:gridCol w:w="916"/>
        <w:gridCol w:w="916"/>
        <w:gridCol w:w="1169"/>
      </w:tblGrid>
      <w:tr w:rsidR="00366466" w:rsidRPr="00B65973" w14:paraId="3BD06C31" w14:textId="77777777" w:rsidTr="00117C75">
        <w:trPr>
          <w:tblCellSpacing w:w="15" w:type="dxa"/>
        </w:trPr>
        <w:tc>
          <w:tcPr>
            <w:tcW w:w="4964" w:type="pct"/>
            <w:gridSpan w:val="8"/>
            <w:tcBorders>
              <w:top w:val="nil"/>
              <w:left w:val="nil"/>
              <w:bottom w:val="nil"/>
              <w:right w:val="nil"/>
            </w:tcBorders>
            <w:vAlign w:val="center"/>
            <w:hideMark/>
          </w:tcPr>
          <w:p w14:paraId="2E137731" w14:textId="77777777" w:rsidR="00366466" w:rsidRPr="00B65973" w:rsidRDefault="00366466" w:rsidP="00117C75">
            <w:pPr>
              <w:pStyle w:val="Table"/>
              <w:jc w:val="center"/>
              <w:rPr>
                <w:szCs w:val="24"/>
                <w:lang w:val="en-US"/>
              </w:rPr>
            </w:pPr>
            <w:r w:rsidRPr="00B65973">
              <w:rPr>
                <w:rStyle w:val="Tugev"/>
                <w:szCs w:val="24"/>
                <w:lang w:val="en-US"/>
              </w:rPr>
              <w:t>2010</w:t>
            </w:r>
          </w:p>
        </w:tc>
      </w:tr>
      <w:tr w:rsidR="00366466" w:rsidRPr="00B65973" w14:paraId="5964724B" w14:textId="77777777" w:rsidTr="00117C75">
        <w:trPr>
          <w:tblCellSpacing w:w="15" w:type="dxa"/>
        </w:trPr>
        <w:tc>
          <w:tcPr>
            <w:tcW w:w="4964" w:type="pct"/>
            <w:gridSpan w:val="8"/>
            <w:tcBorders>
              <w:bottom w:val="single" w:sz="6" w:space="0" w:color="000000"/>
            </w:tcBorders>
            <w:vAlign w:val="center"/>
            <w:hideMark/>
          </w:tcPr>
          <w:p w14:paraId="45D36207" w14:textId="77777777" w:rsidR="00366466" w:rsidRPr="00B65973" w:rsidRDefault="00366466" w:rsidP="005962BF">
            <w:pPr>
              <w:pStyle w:val="Table"/>
              <w:rPr>
                <w:szCs w:val="24"/>
                <w:lang w:val="en-US"/>
              </w:rPr>
            </w:pPr>
          </w:p>
        </w:tc>
      </w:tr>
      <w:tr w:rsidR="00366466" w:rsidRPr="00B65973" w14:paraId="0E320E37" w14:textId="77777777" w:rsidTr="00117C75">
        <w:trPr>
          <w:tblCellSpacing w:w="15" w:type="dxa"/>
        </w:trPr>
        <w:tc>
          <w:tcPr>
            <w:tcW w:w="1865" w:type="pct"/>
            <w:vAlign w:val="center"/>
            <w:hideMark/>
          </w:tcPr>
          <w:p w14:paraId="7D819995" w14:textId="77777777" w:rsidR="00366466" w:rsidRPr="00B65973" w:rsidRDefault="00366466" w:rsidP="00117C75">
            <w:pPr>
              <w:pStyle w:val="Table"/>
              <w:jc w:val="center"/>
              <w:rPr>
                <w:szCs w:val="24"/>
                <w:lang w:val="en-US"/>
              </w:rPr>
            </w:pPr>
            <w:r w:rsidRPr="00B65973">
              <w:rPr>
                <w:szCs w:val="24"/>
                <w:lang w:val="en-US"/>
              </w:rPr>
              <w:t>Statistic</w:t>
            </w:r>
          </w:p>
        </w:tc>
        <w:tc>
          <w:tcPr>
            <w:tcW w:w="234" w:type="pct"/>
            <w:vAlign w:val="center"/>
            <w:hideMark/>
          </w:tcPr>
          <w:p w14:paraId="6FEDF05F" w14:textId="77777777" w:rsidR="00366466" w:rsidRPr="00B65973" w:rsidRDefault="00366466" w:rsidP="00117C75">
            <w:pPr>
              <w:pStyle w:val="Table"/>
              <w:jc w:val="center"/>
              <w:rPr>
                <w:szCs w:val="24"/>
                <w:lang w:val="en-US"/>
              </w:rPr>
            </w:pPr>
            <w:r w:rsidRPr="00B65973">
              <w:rPr>
                <w:szCs w:val="24"/>
                <w:lang w:val="en-US"/>
              </w:rPr>
              <w:t>N</w:t>
            </w:r>
          </w:p>
        </w:tc>
        <w:tc>
          <w:tcPr>
            <w:tcW w:w="414" w:type="pct"/>
            <w:vAlign w:val="center"/>
            <w:hideMark/>
          </w:tcPr>
          <w:p w14:paraId="162B6779" w14:textId="77777777" w:rsidR="00366466" w:rsidRPr="00B65973" w:rsidRDefault="00366466" w:rsidP="00117C75">
            <w:pPr>
              <w:pStyle w:val="Table"/>
              <w:jc w:val="center"/>
              <w:rPr>
                <w:szCs w:val="24"/>
                <w:lang w:val="en-US"/>
              </w:rPr>
            </w:pPr>
            <w:r w:rsidRPr="00B65973">
              <w:rPr>
                <w:szCs w:val="24"/>
                <w:lang w:val="en-US"/>
              </w:rPr>
              <w:t>Mean</w:t>
            </w:r>
          </w:p>
        </w:tc>
        <w:tc>
          <w:tcPr>
            <w:tcW w:w="486" w:type="pct"/>
            <w:vAlign w:val="center"/>
            <w:hideMark/>
          </w:tcPr>
          <w:p w14:paraId="1A2D4348" w14:textId="77777777" w:rsidR="00366466" w:rsidRPr="00B65973" w:rsidRDefault="00366466" w:rsidP="00117C75">
            <w:pPr>
              <w:pStyle w:val="Table"/>
              <w:jc w:val="center"/>
              <w:rPr>
                <w:szCs w:val="24"/>
                <w:lang w:val="en-US"/>
              </w:rPr>
            </w:pPr>
            <w:r w:rsidRPr="00B65973">
              <w:rPr>
                <w:szCs w:val="24"/>
                <w:lang w:val="en-US"/>
              </w:rPr>
              <w:t>St. Dev.</w:t>
            </w:r>
          </w:p>
        </w:tc>
        <w:tc>
          <w:tcPr>
            <w:tcW w:w="390" w:type="pct"/>
            <w:vAlign w:val="center"/>
            <w:hideMark/>
          </w:tcPr>
          <w:p w14:paraId="557AEF15" w14:textId="77777777" w:rsidR="00366466" w:rsidRPr="00B65973" w:rsidRDefault="00366466" w:rsidP="00117C75">
            <w:pPr>
              <w:pStyle w:val="Table"/>
              <w:jc w:val="center"/>
              <w:rPr>
                <w:szCs w:val="24"/>
                <w:lang w:val="en-US"/>
              </w:rPr>
            </w:pPr>
            <w:r w:rsidRPr="00B65973">
              <w:rPr>
                <w:szCs w:val="24"/>
                <w:lang w:val="en-US"/>
              </w:rPr>
              <w:t>Min</w:t>
            </w:r>
          </w:p>
        </w:tc>
        <w:tc>
          <w:tcPr>
            <w:tcW w:w="482" w:type="pct"/>
            <w:vAlign w:val="center"/>
            <w:hideMark/>
          </w:tcPr>
          <w:p w14:paraId="6832CEDF" w14:textId="77777777" w:rsidR="00366466" w:rsidRPr="00B65973" w:rsidRDefault="00366466" w:rsidP="00117C75">
            <w:pPr>
              <w:pStyle w:val="Table"/>
              <w:jc w:val="center"/>
              <w:rPr>
                <w:szCs w:val="24"/>
                <w:lang w:val="en-US"/>
              </w:rPr>
            </w:pPr>
            <w:proofErr w:type="spellStart"/>
            <w:r w:rsidRPr="00B65973">
              <w:rPr>
                <w:szCs w:val="24"/>
                <w:lang w:val="en-US"/>
              </w:rPr>
              <w:t>Pctl</w:t>
            </w:r>
            <w:proofErr w:type="spellEnd"/>
            <w:r w:rsidRPr="00B65973">
              <w:rPr>
                <w:szCs w:val="24"/>
                <w:lang w:val="en-US"/>
              </w:rPr>
              <w:t>(25)</w:t>
            </w:r>
          </w:p>
        </w:tc>
        <w:tc>
          <w:tcPr>
            <w:tcW w:w="482" w:type="pct"/>
            <w:vAlign w:val="center"/>
            <w:hideMark/>
          </w:tcPr>
          <w:p w14:paraId="00371D7A" w14:textId="77777777" w:rsidR="00366466" w:rsidRPr="00B65973" w:rsidRDefault="00366466" w:rsidP="00117C75">
            <w:pPr>
              <w:pStyle w:val="Table"/>
              <w:jc w:val="center"/>
              <w:rPr>
                <w:szCs w:val="24"/>
                <w:lang w:val="en-US"/>
              </w:rPr>
            </w:pPr>
            <w:proofErr w:type="spellStart"/>
            <w:r w:rsidRPr="00B65973">
              <w:rPr>
                <w:szCs w:val="24"/>
                <w:lang w:val="en-US"/>
              </w:rPr>
              <w:t>Pctl</w:t>
            </w:r>
            <w:proofErr w:type="spellEnd"/>
            <w:r w:rsidRPr="00B65973">
              <w:rPr>
                <w:szCs w:val="24"/>
                <w:lang w:val="en-US"/>
              </w:rPr>
              <w:t>(75)</w:t>
            </w:r>
          </w:p>
        </w:tc>
        <w:tc>
          <w:tcPr>
            <w:tcW w:w="486" w:type="pct"/>
            <w:vAlign w:val="center"/>
            <w:hideMark/>
          </w:tcPr>
          <w:p w14:paraId="5D728A57" w14:textId="77777777" w:rsidR="00366466" w:rsidRPr="00B65973" w:rsidRDefault="00366466" w:rsidP="00117C75">
            <w:pPr>
              <w:pStyle w:val="Table"/>
              <w:jc w:val="center"/>
              <w:rPr>
                <w:szCs w:val="24"/>
                <w:lang w:val="en-US"/>
              </w:rPr>
            </w:pPr>
            <w:r w:rsidRPr="00B65973">
              <w:rPr>
                <w:szCs w:val="24"/>
                <w:lang w:val="en-US"/>
              </w:rPr>
              <w:t>Max</w:t>
            </w:r>
          </w:p>
        </w:tc>
      </w:tr>
      <w:tr w:rsidR="00366466" w:rsidRPr="00B65973" w14:paraId="1B8449C3" w14:textId="77777777" w:rsidTr="00117C75">
        <w:trPr>
          <w:tblCellSpacing w:w="15" w:type="dxa"/>
        </w:trPr>
        <w:tc>
          <w:tcPr>
            <w:tcW w:w="4964" w:type="pct"/>
            <w:gridSpan w:val="8"/>
            <w:tcBorders>
              <w:bottom w:val="single" w:sz="6" w:space="0" w:color="000000"/>
            </w:tcBorders>
            <w:vAlign w:val="center"/>
            <w:hideMark/>
          </w:tcPr>
          <w:p w14:paraId="31581758" w14:textId="77777777" w:rsidR="00366466" w:rsidRPr="00B65973" w:rsidRDefault="00366466" w:rsidP="005962BF">
            <w:pPr>
              <w:pStyle w:val="Table"/>
              <w:rPr>
                <w:szCs w:val="24"/>
                <w:lang w:val="en-US"/>
              </w:rPr>
            </w:pPr>
          </w:p>
        </w:tc>
      </w:tr>
      <w:tr w:rsidR="00366466" w:rsidRPr="00B65973" w14:paraId="0223889C" w14:textId="77777777" w:rsidTr="00117C75">
        <w:trPr>
          <w:tblCellSpacing w:w="15" w:type="dxa"/>
        </w:trPr>
        <w:tc>
          <w:tcPr>
            <w:tcW w:w="1865" w:type="pct"/>
            <w:hideMark/>
          </w:tcPr>
          <w:p w14:paraId="3D0E798F" w14:textId="77777777" w:rsidR="00366466" w:rsidRPr="00B65973" w:rsidRDefault="00366466" w:rsidP="005962BF">
            <w:pPr>
              <w:pStyle w:val="Table"/>
              <w:rPr>
                <w:szCs w:val="24"/>
                <w:lang w:val="en-US"/>
              </w:rPr>
            </w:pPr>
            <w:r w:rsidRPr="00B65973">
              <w:rPr>
                <w:szCs w:val="24"/>
                <w:lang w:val="en-US"/>
              </w:rPr>
              <w:t>EAFRD payments (€/person)</w:t>
            </w:r>
          </w:p>
        </w:tc>
        <w:tc>
          <w:tcPr>
            <w:tcW w:w="234" w:type="pct"/>
            <w:hideMark/>
          </w:tcPr>
          <w:p w14:paraId="6F5A33DF" w14:textId="77777777" w:rsidR="00366466" w:rsidRPr="00B65973" w:rsidRDefault="00366466" w:rsidP="00117C75">
            <w:pPr>
              <w:pStyle w:val="Table"/>
              <w:jc w:val="right"/>
              <w:rPr>
                <w:szCs w:val="24"/>
                <w:lang w:val="en-US"/>
              </w:rPr>
            </w:pPr>
            <w:r w:rsidRPr="00B65973">
              <w:rPr>
                <w:szCs w:val="24"/>
                <w:lang w:val="en-US"/>
              </w:rPr>
              <w:t>156</w:t>
            </w:r>
          </w:p>
        </w:tc>
        <w:tc>
          <w:tcPr>
            <w:tcW w:w="414" w:type="pct"/>
            <w:hideMark/>
          </w:tcPr>
          <w:p w14:paraId="7284D271" w14:textId="77777777" w:rsidR="00366466" w:rsidRPr="00B65973" w:rsidRDefault="00366466" w:rsidP="00117C75">
            <w:pPr>
              <w:pStyle w:val="Table"/>
              <w:jc w:val="right"/>
              <w:rPr>
                <w:szCs w:val="24"/>
                <w:lang w:val="en-US"/>
              </w:rPr>
            </w:pPr>
            <w:r w:rsidRPr="00B65973">
              <w:rPr>
                <w:szCs w:val="24"/>
                <w:lang w:val="en-US"/>
              </w:rPr>
              <w:t>32.319</w:t>
            </w:r>
          </w:p>
        </w:tc>
        <w:tc>
          <w:tcPr>
            <w:tcW w:w="486" w:type="pct"/>
            <w:hideMark/>
          </w:tcPr>
          <w:p w14:paraId="6C8A308F" w14:textId="77777777" w:rsidR="00366466" w:rsidRPr="00B65973" w:rsidRDefault="00366466" w:rsidP="00117C75">
            <w:pPr>
              <w:pStyle w:val="Table"/>
              <w:jc w:val="right"/>
              <w:rPr>
                <w:szCs w:val="24"/>
                <w:lang w:val="en-US"/>
              </w:rPr>
            </w:pPr>
            <w:r w:rsidRPr="00B65973">
              <w:rPr>
                <w:szCs w:val="24"/>
                <w:lang w:val="en-US"/>
              </w:rPr>
              <w:t>27.868</w:t>
            </w:r>
          </w:p>
        </w:tc>
        <w:tc>
          <w:tcPr>
            <w:tcW w:w="390" w:type="pct"/>
            <w:hideMark/>
          </w:tcPr>
          <w:p w14:paraId="0C75D35E" w14:textId="77777777" w:rsidR="00366466" w:rsidRPr="00B65973" w:rsidRDefault="00366466" w:rsidP="00117C75">
            <w:pPr>
              <w:pStyle w:val="Table"/>
              <w:jc w:val="right"/>
              <w:rPr>
                <w:szCs w:val="24"/>
                <w:lang w:val="en-US"/>
              </w:rPr>
            </w:pPr>
            <w:r w:rsidRPr="00B65973">
              <w:rPr>
                <w:szCs w:val="24"/>
                <w:lang w:val="en-US"/>
              </w:rPr>
              <w:t>0.007</w:t>
            </w:r>
          </w:p>
        </w:tc>
        <w:tc>
          <w:tcPr>
            <w:tcW w:w="482" w:type="pct"/>
            <w:hideMark/>
          </w:tcPr>
          <w:p w14:paraId="1F3A628A" w14:textId="77777777" w:rsidR="00366466" w:rsidRPr="00B65973" w:rsidRDefault="00366466" w:rsidP="00117C75">
            <w:pPr>
              <w:pStyle w:val="Table"/>
              <w:jc w:val="right"/>
              <w:rPr>
                <w:szCs w:val="24"/>
                <w:lang w:val="en-US"/>
              </w:rPr>
            </w:pPr>
            <w:r w:rsidRPr="00B65973">
              <w:rPr>
                <w:szCs w:val="24"/>
                <w:lang w:val="en-US"/>
              </w:rPr>
              <w:t>9.834</w:t>
            </w:r>
          </w:p>
        </w:tc>
        <w:tc>
          <w:tcPr>
            <w:tcW w:w="482" w:type="pct"/>
            <w:hideMark/>
          </w:tcPr>
          <w:p w14:paraId="1DE3141D" w14:textId="77777777" w:rsidR="00366466" w:rsidRPr="00B65973" w:rsidRDefault="00366466" w:rsidP="00117C75">
            <w:pPr>
              <w:pStyle w:val="Table"/>
              <w:jc w:val="right"/>
              <w:rPr>
                <w:szCs w:val="24"/>
                <w:lang w:val="en-US"/>
              </w:rPr>
            </w:pPr>
            <w:r w:rsidRPr="00B65973">
              <w:rPr>
                <w:szCs w:val="24"/>
                <w:lang w:val="en-US"/>
              </w:rPr>
              <w:t>51.317</w:t>
            </w:r>
          </w:p>
        </w:tc>
        <w:tc>
          <w:tcPr>
            <w:tcW w:w="486" w:type="pct"/>
            <w:hideMark/>
          </w:tcPr>
          <w:p w14:paraId="2B87570E" w14:textId="77777777" w:rsidR="00366466" w:rsidRPr="00B65973" w:rsidRDefault="00366466" w:rsidP="00117C75">
            <w:pPr>
              <w:pStyle w:val="Table"/>
              <w:jc w:val="right"/>
              <w:rPr>
                <w:szCs w:val="24"/>
                <w:lang w:val="en-US"/>
              </w:rPr>
            </w:pPr>
            <w:r w:rsidRPr="00B65973">
              <w:rPr>
                <w:szCs w:val="24"/>
                <w:lang w:val="en-US"/>
              </w:rPr>
              <w:t>159.899</w:t>
            </w:r>
          </w:p>
        </w:tc>
      </w:tr>
      <w:tr w:rsidR="00366466" w:rsidRPr="00B65973" w14:paraId="4D9B1310" w14:textId="77777777" w:rsidTr="00117C75">
        <w:trPr>
          <w:tblCellSpacing w:w="15" w:type="dxa"/>
        </w:trPr>
        <w:tc>
          <w:tcPr>
            <w:tcW w:w="1865" w:type="pct"/>
            <w:hideMark/>
          </w:tcPr>
          <w:p w14:paraId="283C77F4" w14:textId="77777777" w:rsidR="00366466" w:rsidRPr="00B65973" w:rsidRDefault="00366466" w:rsidP="005962BF">
            <w:pPr>
              <w:pStyle w:val="Table"/>
              <w:rPr>
                <w:szCs w:val="24"/>
                <w:lang w:val="en-US"/>
              </w:rPr>
            </w:pPr>
            <w:r w:rsidRPr="00B65973">
              <w:rPr>
                <w:szCs w:val="24"/>
                <w:lang w:val="en-US"/>
              </w:rPr>
              <w:t>GDP (1000 €/person)</w:t>
            </w:r>
          </w:p>
        </w:tc>
        <w:tc>
          <w:tcPr>
            <w:tcW w:w="234" w:type="pct"/>
            <w:hideMark/>
          </w:tcPr>
          <w:p w14:paraId="32D296B9" w14:textId="77777777" w:rsidR="00366466" w:rsidRPr="00B65973" w:rsidRDefault="00366466" w:rsidP="00117C75">
            <w:pPr>
              <w:pStyle w:val="Table"/>
              <w:jc w:val="right"/>
              <w:rPr>
                <w:szCs w:val="24"/>
                <w:lang w:val="en-US"/>
              </w:rPr>
            </w:pPr>
            <w:r w:rsidRPr="00B65973">
              <w:rPr>
                <w:szCs w:val="24"/>
                <w:lang w:val="en-US"/>
              </w:rPr>
              <w:t>156</w:t>
            </w:r>
          </w:p>
        </w:tc>
        <w:tc>
          <w:tcPr>
            <w:tcW w:w="414" w:type="pct"/>
            <w:hideMark/>
          </w:tcPr>
          <w:p w14:paraId="53ED01D6" w14:textId="77777777" w:rsidR="00366466" w:rsidRPr="00B65973" w:rsidRDefault="00366466" w:rsidP="00117C75">
            <w:pPr>
              <w:pStyle w:val="Table"/>
              <w:jc w:val="right"/>
              <w:rPr>
                <w:szCs w:val="24"/>
                <w:lang w:val="en-US"/>
              </w:rPr>
            </w:pPr>
            <w:r w:rsidRPr="00B65973">
              <w:rPr>
                <w:szCs w:val="24"/>
                <w:lang w:val="en-US"/>
              </w:rPr>
              <w:t>23.942</w:t>
            </w:r>
          </w:p>
        </w:tc>
        <w:tc>
          <w:tcPr>
            <w:tcW w:w="486" w:type="pct"/>
            <w:hideMark/>
          </w:tcPr>
          <w:p w14:paraId="466C4549" w14:textId="77777777" w:rsidR="00366466" w:rsidRPr="00B65973" w:rsidRDefault="00366466" w:rsidP="00117C75">
            <w:pPr>
              <w:pStyle w:val="Table"/>
              <w:jc w:val="right"/>
              <w:rPr>
                <w:szCs w:val="24"/>
                <w:lang w:val="en-US"/>
              </w:rPr>
            </w:pPr>
            <w:r w:rsidRPr="00B65973">
              <w:rPr>
                <w:szCs w:val="24"/>
                <w:lang w:val="en-US"/>
              </w:rPr>
              <w:t>12.040</w:t>
            </w:r>
          </w:p>
        </w:tc>
        <w:tc>
          <w:tcPr>
            <w:tcW w:w="390" w:type="pct"/>
            <w:hideMark/>
          </w:tcPr>
          <w:p w14:paraId="42AAD37E" w14:textId="77777777" w:rsidR="00366466" w:rsidRPr="00B65973" w:rsidRDefault="00366466" w:rsidP="00117C75">
            <w:pPr>
              <w:pStyle w:val="Table"/>
              <w:jc w:val="right"/>
              <w:rPr>
                <w:szCs w:val="24"/>
                <w:lang w:val="en-US"/>
              </w:rPr>
            </w:pPr>
            <w:r w:rsidRPr="00B65973">
              <w:rPr>
                <w:szCs w:val="24"/>
                <w:lang w:val="en-US"/>
              </w:rPr>
              <w:t>3.100</w:t>
            </w:r>
          </w:p>
        </w:tc>
        <w:tc>
          <w:tcPr>
            <w:tcW w:w="482" w:type="pct"/>
            <w:hideMark/>
          </w:tcPr>
          <w:p w14:paraId="2E8057AD" w14:textId="77777777" w:rsidR="00366466" w:rsidRPr="00B65973" w:rsidRDefault="00366466" w:rsidP="00117C75">
            <w:pPr>
              <w:pStyle w:val="Table"/>
              <w:jc w:val="right"/>
              <w:rPr>
                <w:szCs w:val="24"/>
                <w:lang w:val="en-US"/>
              </w:rPr>
            </w:pPr>
            <w:r w:rsidRPr="00B65973">
              <w:rPr>
                <w:szCs w:val="24"/>
                <w:lang w:val="en-US"/>
              </w:rPr>
              <w:t>16.475</w:t>
            </w:r>
          </w:p>
        </w:tc>
        <w:tc>
          <w:tcPr>
            <w:tcW w:w="482" w:type="pct"/>
            <w:hideMark/>
          </w:tcPr>
          <w:p w14:paraId="0CB04598" w14:textId="77777777" w:rsidR="00366466" w:rsidRPr="00B65973" w:rsidRDefault="00366466" w:rsidP="00117C75">
            <w:pPr>
              <w:pStyle w:val="Table"/>
              <w:jc w:val="right"/>
              <w:rPr>
                <w:szCs w:val="24"/>
                <w:lang w:val="en-US"/>
              </w:rPr>
            </w:pPr>
            <w:r w:rsidRPr="00B65973">
              <w:rPr>
                <w:szCs w:val="24"/>
                <w:lang w:val="en-US"/>
              </w:rPr>
              <w:t>30.550</w:t>
            </w:r>
          </w:p>
        </w:tc>
        <w:tc>
          <w:tcPr>
            <w:tcW w:w="486" w:type="pct"/>
            <w:hideMark/>
          </w:tcPr>
          <w:p w14:paraId="616A7F1B" w14:textId="77777777" w:rsidR="00366466" w:rsidRPr="00B65973" w:rsidRDefault="00366466" w:rsidP="00117C75">
            <w:pPr>
              <w:pStyle w:val="Table"/>
              <w:jc w:val="right"/>
              <w:rPr>
                <w:szCs w:val="24"/>
                <w:lang w:val="en-US"/>
              </w:rPr>
            </w:pPr>
            <w:r w:rsidRPr="00B65973">
              <w:rPr>
                <w:szCs w:val="24"/>
                <w:lang w:val="en-US"/>
              </w:rPr>
              <w:t>79.200</w:t>
            </w:r>
          </w:p>
        </w:tc>
      </w:tr>
      <w:tr w:rsidR="00366466" w:rsidRPr="00B65973" w14:paraId="6D3A7403" w14:textId="77777777" w:rsidTr="00117C75">
        <w:trPr>
          <w:tblCellSpacing w:w="15" w:type="dxa"/>
        </w:trPr>
        <w:tc>
          <w:tcPr>
            <w:tcW w:w="1865" w:type="pct"/>
            <w:hideMark/>
          </w:tcPr>
          <w:p w14:paraId="51372800" w14:textId="77777777" w:rsidR="00366466" w:rsidRPr="00B65973" w:rsidRDefault="00366466" w:rsidP="005962BF">
            <w:pPr>
              <w:pStyle w:val="Table"/>
              <w:rPr>
                <w:szCs w:val="24"/>
                <w:lang w:val="en-US"/>
              </w:rPr>
            </w:pPr>
            <w:r w:rsidRPr="00B65973">
              <w:rPr>
                <w:szCs w:val="24"/>
                <w:lang w:val="en-US"/>
              </w:rPr>
              <w:t>Unemployment, ages 15-74 (%)</w:t>
            </w:r>
          </w:p>
        </w:tc>
        <w:tc>
          <w:tcPr>
            <w:tcW w:w="234" w:type="pct"/>
            <w:hideMark/>
          </w:tcPr>
          <w:p w14:paraId="4C066403" w14:textId="77777777" w:rsidR="00366466" w:rsidRPr="00B65973" w:rsidRDefault="00366466" w:rsidP="00117C75">
            <w:pPr>
              <w:pStyle w:val="Table"/>
              <w:jc w:val="right"/>
              <w:rPr>
                <w:szCs w:val="24"/>
                <w:lang w:val="en-US"/>
              </w:rPr>
            </w:pPr>
            <w:r w:rsidRPr="00B65973">
              <w:rPr>
                <w:szCs w:val="24"/>
                <w:lang w:val="en-US"/>
              </w:rPr>
              <w:t>156</w:t>
            </w:r>
          </w:p>
        </w:tc>
        <w:tc>
          <w:tcPr>
            <w:tcW w:w="414" w:type="pct"/>
            <w:hideMark/>
          </w:tcPr>
          <w:p w14:paraId="2C37A307" w14:textId="77777777" w:rsidR="00366466" w:rsidRPr="00B65973" w:rsidRDefault="00366466" w:rsidP="00117C75">
            <w:pPr>
              <w:pStyle w:val="Table"/>
              <w:jc w:val="right"/>
              <w:rPr>
                <w:szCs w:val="24"/>
                <w:lang w:val="en-US"/>
              </w:rPr>
            </w:pPr>
            <w:r w:rsidRPr="00B65973">
              <w:rPr>
                <w:szCs w:val="24"/>
                <w:lang w:val="en-US"/>
              </w:rPr>
              <w:t>9.537</w:t>
            </w:r>
          </w:p>
        </w:tc>
        <w:tc>
          <w:tcPr>
            <w:tcW w:w="486" w:type="pct"/>
            <w:hideMark/>
          </w:tcPr>
          <w:p w14:paraId="6D761882" w14:textId="77777777" w:rsidR="00366466" w:rsidRPr="00B65973" w:rsidRDefault="00366466" w:rsidP="00117C75">
            <w:pPr>
              <w:pStyle w:val="Table"/>
              <w:jc w:val="right"/>
              <w:rPr>
                <w:szCs w:val="24"/>
                <w:lang w:val="en-US"/>
              </w:rPr>
            </w:pPr>
            <w:r w:rsidRPr="00B65973">
              <w:rPr>
                <w:szCs w:val="24"/>
                <w:lang w:val="en-US"/>
              </w:rPr>
              <w:t>4.779</w:t>
            </w:r>
          </w:p>
        </w:tc>
        <w:tc>
          <w:tcPr>
            <w:tcW w:w="390" w:type="pct"/>
            <w:hideMark/>
          </w:tcPr>
          <w:p w14:paraId="669732AD" w14:textId="77777777" w:rsidR="00366466" w:rsidRPr="00B65973" w:rsidRDefault="00366466" w:rsidP="00117C75">
            <w:pPr>
              <w:pStyle w:val="Table"/>
              <w:jc w:val="right"/>
              <w:rPr>
                <w:szCs w:val="24"/>
                <w:lang w:val="en-US"/>
              </w:rPr>
            </w:pPr>
            <w:r w:rsidRPr="00B65973">
              <w:rPr>
                <w:szCs w:val="24"/>
                <w:lang w:val="en-US"/>
              </w:rPr>
              <w:t>3</w:t>
            </w:r>
            <w:r w:rsidR="005962BF" w:rsidRPr="00B65973">
              <w:rPr>
                <w:szCs w:val="24"/>
                <w:lang w:val="en-US"/>
              </w:rPr>
              <w:t>.000</w:t>
            </w:r>
          </w:p>
        </w:tc>
        <w:tc>
          <w:tcPr>
            <w:tcW w:w="482" w:type="pct"/>
            <w:hideMark/>
          </w:tcPr>
          <w:p w14:paraId="51801600" w14:textId="77777777" w:rsidR="00366466" w:rsidRPr="00B65973" w:rsidRDefault="00366466" w:rsidP="00117C75">
            <w:pPr>
              <w:pStyle w:val="Table"/>
              <w:jc w:val="right"/>
              <w:rPr>
                <w:szCs w:val="24"/>
                <w:lang w:val="en-US"/>
              </w:rPr>
            </w:pPr>
            <w:r w:rsidRPr="00B65973">
              <w:rPr>
                <w:szCs w:val="24"/>
                <w:lang w:val="en-US"/>
              </w:rPr>
              <w:t>6.3</w:t>
            </w:r>
            <w:r w:rsidR="005962BF" w:rsidRPr="00B65973">
              <w:rPr>
                <w:szCs w:val="24"/>
                <w:lang w:val="en-US"/>
              </w:rPr>
              <w:t>00</w:t>
            </w:r>
          </w:p>
        </w:tc>
        <w:tc>
          <w:tcPr>
            <w:tcW w:w="482" w:type="pct"/>
            <w:hideMark/>
          </w:tcPr>
          <w:p w14:paraId="39D8E135" w14:textId="77777777" w:rsidR="00366466" w:rsidRPr="00B65973" w:rsidRDefault="00366466" w:rsidP="00117C75">
            <w:pPr>
              <w:pStyle w:val="Table"/>
              <w:jc w:val="right"/>
              <w:rPr>
                <w:szCs w:val="24"/>
                <w:lang w:val="en-US"/>
              </w:rPr>
            </w:pPr>
            <w:r w:rsidRPr="00B65973">
              <w:rPr>
                <w:szCs w:val="24"/>
                <w:lang w:val="en-US"/>
              </w:rPr>
              <w:t>11.5</w:t>
            </w:r>
            <w:r w:rsidR="005962BF" w:rsidRPr="00B65973">
              <w:rPr>
                <w:szCs w:val="24"/>
                <w:lang w:val="en-US"/>
              </w:rPr>
              <w:t>00</w:t>
            </w:r>
          </w:p>
        </w:tc>
        <w:tc>
          <w:tcPr>
            <w:tcW w:w="486" w:type="pct"/>
            <w:hideMark/>
          </w:tcPr>
          <w:p w14:paraId="5044749C" w14:textId="77777777" w:rsidR="00366466" w:rsidRPr="00B65973" w:rsidRDefault="00366466" w:rsidP="00117C75">
            <w:pPr>
              <w:pStyle w:val="Table"/>
              <w:jc w:val="right"/>
              <w:rPr>
                <w:szCs w:val="24"/>
                <w:lang w:val="en-US"/>
              </w:rPr>
            </w:pPr>
            <w:r w:rsidRPr="00B65973">
              <w:rPr>
                <w:szCs w:val="24"/>
                <w:lang w:val="en-US"/>
              </w:rPr>
              <w:t>29</w:t>
            </w:r>
            <w:r w:rsidR="005962BF" w:rsidRPr="00B65973">
              <w:rPr>
                <w:szCs w:val="24"/>
                <w:lang w:val="en-US"/>
              </w:rPr>
              <w:t>.000</w:t>
            </w:r>
          </w:p>
        </w:tc>
      </w:tr>
      <w:tr w:rsidR="00366466" w:rsidRPr="00B65973" w14:paraId="33BEA641" w14:textId="77777777" w:rsidTr="00117C75">
        <w:trPr>
          <w:tblCellSpacing w:w="15" w:type="dxa"/>
        </w:trPr>
        <w:tc>
          <w:tcPr>
            <w:tcW w:w="1865" w:type="pct"/>
            <w:hideMark/>
          </w:tcPr>
          <w:p w14:paraId="76819424" w14:textId="77777777" w:rsidR="00366466" w:rsidRPr="00B65973" w:rsidRDefault="00366466" w:rsidP="005962BF">
            <w:pPr>
              <w:pStyle w:val="Table"/>
              <w:rPr>
                <w:szCs w:val="24"/>
                <w:lang w:val="en-US"/>
              </w:rPr>
            </w:pPr>
            <w:r w:rsidRPr="00B65973">
              <w:rPr>
                <w:szCs w:val="24"/>
                <w:lang w:val="en-US"/>
              </w:rPr>
              <w:t>Share, holdings &lt; 2 ha (%)</w:t>
            </w:r>
          </w:p>
        </w:tc>
        <w:tc>
          <w:tcPr>
            <w:tcW w:w="234" w:type="pct"/>
            <w:hideMark/>
          </w:tcPr>
          <w:p w14:paraId="641D2F6C" w14:textId="77777777" w:rsidR="00366466" w:rsidRPr="00B65973" w:rsidRDefault="00366466" w:rsidP="00117C75">
            <w:pPr>
              <w:pStyle w:val="Table"/>
              <w:jc w:val="right"/>
              <w:rPr>
                <w:szCs w:val="24"/>
                <w:lang w:val="en-US"/>
              </w:rPr>
            </w:pPr>
            <w:r w:rsidRPr="00B65973">
              <w:rPr>
                <w:szCs w:val="24"/>
                <w:lang w:val="en-US"/>
              </w:rPr>
              <w:t>156</w:t>
            </w:r>
          </w:p>
        </w:tc>
        <w:tc>
          <w:tcPr>
            <w:tcW w:w="414" w:type="pct"/>
            <w:hideMark/>
          </w:tcPr>
          <w:p w14:paraId="4EB1364C" w14:textId="77777777" w:rsidR="00366466" w:rsidRPr="00B65973" w:rsidRDefault="00366466" w:rsidP="00117C75">
            <w:pPr>
              <w:pStyle w:val="Table"/>
              <w:jc w:val="right"/>
              <w:rPr>
                <w:szCs w:val="24"/>
                <w:lang w:val="en-US"/>
              </w:rPr>
            </w:pPr>
            <w:r w:rsidRPr="00B65973">
              <w:rPr>
                <w:szCs w:val="24"/>
                <w:lang w:val="en-US"/>
              </w:rPr>
              <w:t>27.617</w:t>
            </w:r>
          </w:p>
        </w:tc>
        <w:tc>
          <w:tcPr>
            <w:tcW w:w="486" w:type="pct"/>
            <w:hideMark/>
          </w:tcPr>
          <w:p w14:paraId="7F7CE94E" w14:textId="77777777" w:rsidR="00366466" w:rsidRPr="00B65973" w:rsidRDefault="00366466" w:rsidP="00117C75">
            <w:pPr>
              <w:pStyle w:val="Table"/>
              <w:jc w:val="right"/>
              <w:rPr>
                <w:szCs w:val="24"/>
                <w:lang w:val="en-US"/>
              </w:rPr>
            </w:pPr>
            <w:r w:rsidRPr="00B65973">
              <w:rPr>
                <w:szCs w:val="24"/>
                <w:lang w:val="en-US"/>
              </w:rPr>
              <w:t>28.102</w:t>
            </w:r>
          </w:p>
        </w:tc>
        <w:tc>
          <w:tcPr>
            <w:tcW w:w="390" w:type="pct"/>
            <w:hideMark/>
          </w:tcPr>
          <w:p w14:paraId="760F6485" w14:textId="77777777" w:rsidR="00366466" w:rsidRPr="00B65973" w:rsidRDefault="00366466" w:rsidP="00117C75">
            <w:pPr>
              <w:pStyle w:val="Table"/>
              <w:jc w:val="right"/>
              <w:rPr>
                <w:szCs w:val="24"/>
                <w:lang w:val="en-US"/>
              </w:rPr>
            </w:pPr>
            <w:r w:rsidRPr="00B65973">
              <w:rPr>
                <w:szCs w:val="24"/>
                <w:lang w:val="en-US"/>
              </w:rPr>
              <w:t>0.500</w:t>
            </w:r>
          </w:p>
        </w:tc>
        <w:tc>
          <w:tcPr>
            <w:tcW w:w="482" w:type="pct"/>
            <w:hideMark/>
          </w:tcPr>
          <w:p w14:paraId="47904704" w14:textId="77777777" w:rsidR="00366466" w:rsidRPr="00B65973" w:rsidRDefault="00366466" w:rsidP="00117C75">
            <w:pPr>
              <w:pStyle w:val="Table"/>
              <w:jc w:val="right"/>
              <w:rPr>
                <w:szCs w:val="24"/>
                <w:lang w:val="en-US"/>
              </w:rPr>
            </w:pPr>
            <w:r w:rsidRPr="00B65973">
              <w:rPr>
                <w:szCs w:val="24"/>
                <w:lang w:val="en-US"/>
              </w:rPr>
              <w:t>2.740</w:t>
            </w:r>
          </w:p>
        </w:tc>
        <w:tc>
          <w:tcPr>
            <w:tcW w:w="482" w:type="pct"/>
            <w:hideMark/>
          </w:tcPr>
          <w:p w14:paraId="0501324F" w14:textId="77777777" w:rsidR="00366466" w:rsidRPr="00B65973" w:rsidRDefault="00366466" w:rsidP="00117C75">
            <w:pPr>
              <w:pStyle w:val="Table"/>
              <w:jc w:val="right"/>
              <w:rPr>
                <w:szCs w:val="24"/>
                <w:lang w:val="en-US"/>
              </w:rPr>
            </w:pPr>
            <w:r w:rsidRPr="00B65973">
              <w:rPr>
                <w:szCs w:val="24"/>
                <w:lang w:val="en-US"/>
              </w:rPr>
              <w:t>52.552</w:t>
            </w:r>
          </w:p>
        </w:tc>
        <w:tc>
          <w:tcPr>
            <w:tcW w:w="486" w:type="pct"/>
            <w:hideMark/>
          </w:tcPr>
          <w:p w14:paraId="19F3A99D" w14:textId="77777777" w:rsidR="00366466" w:rsidRPr="00B65973" w:rsidRDefault="00366466" w:rsidP="00117C75">
            <w:pPr>
              <w:pStyle w:val="Table"/>
              <w:jc w:val="right"/>
              <w:rPr>
                <w:szCs w:val="24"/>
                <w:lang w:val="en-US"/>
              </w:rPr>
            </w:pPr>
            <w:r w:rsidRPr="00B65973">
              <w:rPr>
                <w:szCs w:val="24"/>
                <w:lang w:val="en-US"/>
              </w:rPr>
              <w:t>98.384</w:t>
            </w:r>
          </w:p>
        </w:tc>
      </w:tr>
      <w:tr w:rsidR="00366466" w:rsidRPr="00B65973" w14:paraId="640EE26D" w14:textId="77777777" w:rsidTr="00117C75">
        <w:trPr>
          <w:tblCellSpacing w:w="15" w:type="dxa"/>
        </w:trPr>
        <w:tc>
          <w:tcPr>
            <w:tcW w:w="1865" w:type="pct"/>
            <w:hideMark/>
          </w:tcPr>
          <w:p w14:paraId="33FCEAA0" w14:textId="77777777" w:rsidR="00366466" w:rsidRPr="00B65973" w:rsidRDefault="00366466" w:rsidP="005962BF">
            <w:pPr>
              <w:pStyle w:val="Table"/>
              <w:rPr>
                <w:szCs w:val="24"/>
                <w:lang w:val="en-US"/>
              </w:rPr>
            </w:pPr>
            <w:r w:rsidRPr="00B65973">
              <w:rPr>
                <w:szCs w:val="24"/>
                <w:lang w:val="en-US"/>
              </w:rPr>
              <w:t>Area, holdings &lt; 2 ha (%)</w:t>
            </w:r>
          </w:p>
        </w:tc>
        <w:tc>
          <w:tcPr>
            <w:tcW w:w="234" w:type="pct"/>
            <w:hideMark/>
          </w:tcPr>
          <w:p w14:paraId="08C1BBE5" w14:textId="77777777" w:rsidR="00366466" w:rsidRPr="00B65973" w:rsidRDefault="00366466" w:rsidP="00117C75">
            <w:pPr>
              <w:pStyle w:val="Table"/>
              <w:jc w:val="right"/>
              <w:rPr>
                <w:szCs w:val="24"/>
                <w:lang w:val="en-US"/>
              </w:rPr>
            </w:pPr>
            <w:r w:rsidRPr="00B65973">
              <w:rPr>
                <w:szCs w:val="24"/>
                <w:lang w:val="en-US"/>
              </w:rPr>
              <w:t>156</w:t>
            </w:r>
          </w:p>
        </w:tc>
        <w:tc>
          <w:tcPr>
            <w:tcW w:w="414" w:type="pct"/>
            <w:hideMark/>
          </w:tcPr>
          <w:p w14:paraId="0B51E369" w14:textId="77777777" w:rsidR="00366466" w:rsidRPr="00B65973" w:rsidRDefault="00366466" w:rsidP="00117C75">
            <w:pPr>
              <w:pStyle w:val="Table"/>
              <w:jc w:val="right"/>
              <w:rPr>
                <w:szCs w:val="24"/>
                <w:lang w:val="en-US"/>
              </w:rPr>
            </w:pPr>
            <w:r w:rsidRPr="00B65973">
              <w:rPr>
                <w:szCs w:val="24"/>
                <w:lang w:val="en-US"/>
              </w:rPr>
              <w:t>3.759</w:t>
            </w:r>
          </w:p>
        </w:tc>
        <w:tc>
          <w:tcPr>
            <w:tcW w:w="486" w:type="pct"/>
            <w:hideMark/>
          </w:tcPr>
          <w:p w14:paraId="5F8DF4DB" w14:textId="77777777" w:rsidR="00366466" w:rsidRPr="00B65973" w:rsidRDefault="00366466" w:rsidP="00117C75">
            <w:pPr>
              <w:pStyle w:val="Table"/>
              <w:jc w:val="right"/>
              <w:rPr>
                <w:szCs w:val="24"/>
                <w:lang w:val="en-US"/>
              </w:rPr>
            </w:pPr>
            <w:r w:rsidRPr="00B65973">
              <w:rPr>
                <w:szCs w:val="24"/>
                <w:lang w:val="en-US"/>
              </w:rPr>
              <w:t>9.058</w:t>
            </w:r>
          </w:p>
        </w:tc>
        <w:tc>
          <w:tcPr>
            <w:tcW w:w="390" w:type="pct"/>
            <w:hideMark/>
          </w:tcPr>
          <w:p w14:paraId="63F75ADC" w14:textId="77777777" w:rsidR="00366466" w:rsidRPr="00B65973" w:rsidRDefault="00366466" w:rsidP="00117C75">
            <w:pPr>
              <w:pStyle w:val="Table"/>
              <w:jc w:val="right"/>
              <w:rPr>
                <w:szCs w:val="24"/>
                <w:lang w:val="en-US"/>
              </w:rPr>
            </w:pPr>
            <w:r w:rsidRPr="00B65973">
              <w:rPr>
                <w:szCs w:val="24"/>
                <w:lang w:val="en-US"/>
              </w:rPr>
              <w:t>0.006</w:t>
            </w:r>
          </w:p>
        </w:tc>
        <w:tc>
          <w:tcPr>
            <w:tcW w:w="482" w:type="pct"/>
            <w:hideMark/>
          </w:tcPr>
          <w:p w14:paraId="236599F1" w14:textId="77777777" w:rsidR="00366466" w:rsidRPr="00B65973" w:rsidRDefault="00366466" w:rsidP="00117C75">
            <w:pPr>
              <w:pStyle w:val="Table"/>
              <w:jc w:val="right"/>
              <w:rPr>
                <w:szCs w:val="24"/>
                <w:lang w:val="en-US"/>
              </w:rPr>
            </w:pPr>
            <w:r w:rsidRPr="00B65973">
              <w:rPr>
                <w:szCs w:val="24"/>
                <w:lang w:val="en-US"/>
              </w:rPr>
              <w:t>0.034</w:t>
            </w:r>
          </w:p>
        </w:tc>
        <w:tc>
          <w:tcPr>
            <w:tcW w:w="482" w:type="pct"/>
            <w:hideMark/>
          </w:tcPr>
          <w:p w14:paraId="0BCF7B3C" w14:textId="77777777" w:rsidR="00366466" w:rsidRPr="00B65973" w:rsidRDefault="00366466" w:rsidP="00117C75">
            <w:pPr>
              <w:pStyle w:val="Table"/>
              <w:jc w:val="right"/>
              <w:rPr>
                <w:szCs w:val="24"/>
                <w:lang w:val="en-US"/>
              </w:rPr>
            </w:pPr>
            <w:r w:rsidRPr="00B65973">
              <w:rPr>
                <w:szCs w:val="24"/>
                <w:lang w:val="en-US"/>
              </w:rPr>
              <w:t>3.650</w:t>
            </w:r>
            <w:r w:rsidR="005962BF" w:rsidRPr="00B65973">
              <w:rPr>
                <w:szCs w:val="24"/>
                <w:lang w:val="en-US"/>
              </w:rPr>
              <w:t>0</w:t>
            </w:r>
          </w:p>
        </w:tc>
        <w:tc>
          <w:tcPr>
            <w:tcW w:w="486" w:type="pct"/>
            <w:hideMark/>
          </w:tcPr>
          <w:p w14:paraId="31B7679E" w14:textId="77777777" w:rsidR="00366466" w:rsidRPr="00B65973" w:rsidRDefault="00366466" w:rsidP="00117C75">
            <w:pPr>
              <w:pStyle w:val="Table"/>
              <w:jc w:val="right"/>
              <w:rPr>
                <w:szCs w:val="24"/>
                <w:lang w:val="en-US"/>
              </w:rPr>
            </w:pPr>
            <w:r w:rsidRPr="00B65973">
              <w:rPr>
                <w:szCs w:val="24"/>
                <w:lang w:val="en-US"/>
              </w:rPr>
              <w:t>83.978</w:t>
            </w:r>
          </w:p>
        </w:tc>
      </w:tr>
      <w:tr w:rsidR="00366466" w:rsidRPr="00B65973" w14:paraId="3D20F8F2" w14:textId="77777777" w:rsidTr="00117C75">
        <w:trPr>
          <w:tblCellSpacing w:w="15" w:type="dxa"/>
        </w:trPr>
        <w:tc>
          <w:tcPr>
            <w:tcW w:w="1865" w:type="pct"/>
            <w:hideMark/>
          </w:tcPr>
          <w:p w14:paraId="2A115B1F" w14:textId="77777777" w:rsidR="00366466" w:rsidRPr="00B65973" w:rsidRDefault="00366466" w:rsidP="005962BF">
            <w:pPr>
              <w:pStyle w:val="Table"/>
              <w:rPr>
                <w:szCs w:val="24"/>
                <w:lang w:val="en-US"/>
              </w:rPr>
            </w:pPr>
            <w:r w:rsidRPr="00B65973">
              <w:rPr>
                <w:szCs w:val="24"/>
                <w:lang w:val="en-US"/>
              </w:rPr>
              <w:t>Employment, NACE2 A (%)</w:t>
            </w:r>
          </w:p>
        </w:tc>
        <w:tc>
          <w:tcPr>
            <w:tcW w:w="234" w:type="pct"/>
            <w:hideMark/>
          </w:tcPr>
          <w:p w14:paraId="76E180D6" w14:textId="77777777" w:rsidR="00366466" w:rsidRPr="00B65973" w:rsidRDefault="00366466" w:rsidP="00117C75">
            <w:pPr>
              <w:pStyle w:val="Table"/>
              <w:jc w:val="right"/>
              <w:rPr>
                <w:szCs w:val="24"/>
                <w:lang w:val="en-US"/>
              </w:rPr>
            </w:pPr>
            <w:r w:rsidRPr="00B65973">
              <w:rPr>
                <w:szCs w:val="24"/>
                <w:lang w:val="en-US"/>
              </w:rPr>
              <w:t>156</w:t>
            </w:r>
          </w:p>
        </w:tc>
        <w:tc>
          <w:tcPr>
            <w:tcW w:w="414" w:type="pct"/>
            <w:hideMark/>
          </w:tcPr>
          <w:p w14:paraId="44188402" w14:textId="77777777" w:rsidR="00366466" w:rsidRPr="00B65973" w:rsidRDefault="00366466" w:rsidP="00117C75">
            <w:pPr>
              <w:pStyle w:val="Table"/>
              <w:jc w:val="right"/>
              <w:rPr>
                <w:szCs w:val="24"/>
                <w:lang w:val="en-US"/>
              </w:rPr>
            </w:pPr>
            <w:r w:rsidRPr="00B65973">
              <w:rPr>
                <w:szCs w:val="24"/>
                <w:lang w:val="en-US"/>
              </w:rPr>
              <w:t>7.318</w:t>
            </w:r>
          </w:p>
        </w:tc>
        <w:tc>
          <w:tcPr>
            <w:tcW w:w="486" w:type="pct"/>
            <w:hideMark/>
          </w:tcPr>
          <w:p w14:paraId="7B8D1AB6" w14:textId="77777777" w:rsidR="00366466" w:rsidRPr="00B65973" w:rsidRDefault="00366466" w:rsidP="00117C75">
            <w:pPr>
              <w:pStyle w:val="Table"/>
              <w:jc w:val="right"/>
              <w:rPr>
                <w:szCs w:val="24"/>
                <w:lang w:val="en-US"/>
              </w:rPr>
            </w:pPr>
            <w:r w:rsidRPr="00B65973">
              <w:rPr>
                <w:szCs w:val="24"/>
                <w:lang w:val="en-US"/>
              </w:rPr>
              <w:t>7.956</w:t>
            </w:r>
          </w:p>
        </w:tc>
        <w:tc>
          <w:tcPr>
            <w:tcW w:w="390" w:type="pct"/>
            <w:hideMark/>
          </w:tcPr>
          <w:p w14:paraId="6F46BE16" w14:textId="77777777" w:rsidR="00366466" w:rsidRPr="00B65973" w:rsidRDefault="00366466" w:rsidP="00117C75">
            <w:pPr>
              <w:pStyle w:val="Table"/>
              <w:jc w:val="right"/>
              <w:rPr>
                <w:szCs w:val="24"/>
                <w:lang w:val="en-US"/>
              </w:rPr>
            </w:pPr>
            <w:r w:rsidRPr="00B65973">
              <w:rPr>
                <w:szCs w:val="24"/>
                <w:lang w:val="en-US"/>
              </w:rPr>
              <w:t>0.012</w:t>
            </w:r>
          </w:p>
        </w:tc>
        <w:tc>
          <w:tcPr>
            <w:tcW w:w="482" w:type="pct"/>
            <w:hideMark/>
          </w:tcPr>
          <w:p w14:paraId="07F74982" w14:textId="77777777" w:rsidR="00366466" w:rsidRPr="00B65973" w:rsidRDefault="00366466" w:rsidP="00117C75">
            <w:pPr>
              <w:pStyle w:val="Table"/>
              <w:jc w:val="right"/>
              <w:rPr>
                <w:szCs w:val="24"/>
                <w:lang w:val="en-US"/>
              </w:rPr>
            </w:pPr>
            <w:r w:rsidRPr="00B65973">
              <w:rPr>
                <w:szCs w:val="24"/>
                <w:lang w:val="en-US"/>
              </w:rPr>
              <w:t>2.329</w:t>
            </w:r>
          </w:p>
        </w:tc>
        <w:tc>
          <w:tcPr>
            <w:tcW w:w="482" w:type="pct"/>
            <w:hideMark/>
          </w:tcPr>
          <w:p w14:paraId="34CBA8EA" w14:textId="77777777" w:rsidR="00366466" w:rsidRPr="00B65973" w:rsidRDefault="00366466" w:rsidP="00117C75">
            <w:pPr>
              <w:pStyle w:val="Table"/>
              <w:jc w:val="right"/>
              <w:rPr>
                <w:szCs w:val="24"/>
                <w:lang w:val="en-US"/>
              </w:rPr>
            </w:pPr>
            <w:r w:rsidRPr="00B65973">
              <w:rPr>
                <w:szCs w:val="24"/>
                <w:lang w:val="en-US"/>
              </w:rPr>
              <w:t>8.887</w:t>
            </w:r>
            <w:r w:rsidR="005962BF" w:rsidRPr="00B65973">
              <w:rPr>
                <w:szCs w:val="24"/>
                <w:lang w:val="en-US"/>
              </w:rPr>
              <w:t>0</w:t>
            </w:r>
          </w:p>
        </w:tc>
        <w:tc>
          <w:tcPr>
            <w:tcW w:w="486" w:type="pct"/>
            <w:hideMark/>
          </w:tcPr>
          <w:p w14:paraId="041BE4B0" w14:textId="77777777" w:rsidR="00366466" w:rsidRPr="00B65973" w:rsidRDefault="00366466" w:rsidP="00117C75">
            <w:pPr>
              <w:pStyle w:val="Table"/>
              <w:jc w:val="right"/>
              <w:rPr>
                <w:szCs w:val="24"/>
                <w:lang w:val="en-US"/>
              </w:rPr>
            </w:pPr>
            <w:r w:rsidRPr="00B65973">
              <w:rPr>
                <w:szCs w:val="24"/>
                <w:lang w:val="en-US"/>
              </w:rPr>
              <w:t>48.691</w:t>
            </w:r>
          </w:p>
        </w:tc>
      </w:tr>
      <w:tr w:rsidR="00366466" w:rsidRPr="00B65973" w14:paraId="7B553144" w14:textId="77777777" w:rsidTr="00117C75">
        <w:trPr>
          <w:tblCellSpacing w:w="15" w:type="dxa"/>
        </w:trPr>
        <w:tc>
          <w:tcPr>
            <w:tcW w:w="1865" w:type="pct"/>
            <w:hideMark/>
          </w:tcPr>
          <w:p w14:paraId="34FB40EB" w14:textId="77777777" w:rsidR="00366466" w:rsidRPr="00B65973" w:rsidRDefault="00366466" w:rsidP="005962BF">
            <w:pPr>
              <w:pStyle w:val="Table"/>
              <w:rPr>
                <w:szCs w:val="24"/>
                <w:lang w:val="en-US"/>
              </w:rPr>
            </w:pPr>
            <w:r w:rsidRPr="00B65973">
              <w:rPr>
                <w:szCs w:val="24"/>
                <w:lang w:val="en-US"/>
              </w:rPr>
              <w:t>Investments, NACE2 A (%)</w:t>
            </w:r>
          </w:p>
        </w:tc>
        <w:tc>
          <w:tcPr>
            <w:tcW w:w="234" w:type="pct"/>
            <w:hideMark/>
          </w:tcPr>
          <w:p w14:paraId="25F64B84" w14:textId="77777777" w:rsidR="00366466" w:rsidRPr="00B65973" w:rsidRDefault="00366466" w:rsidP="00117C75">
            <w:pPr>
              <w:pStyle w:val="Table"/>
              <w:jc w:val="right"/>
              <w:rPr>
                <w:szCs w:val="24"/>
                <w:lang w:val="en-US"/>
              </w:rPr>
            </w:pPr>
            <w:r w:rsidRPr="00B65973">
              <w:rPr>
                <w:szCs w:val="24"/>
                <w:lang w:val="en-US"/>
              </w:rPr>
              <w:t>156</w:t>
            </w:r>
          </w:p>
        </w:tc>
        <w:tc>
          <w:tcPr>
            <w:tcW w:w="414" w:type="pct"/>
            <w:hideMark/>
          </w:tcPr>
          <w:p w14:paraId="74BBE01D" w14:textId="77777777" w:rsidR="00366466" w:rsidRPr="00B65973" w:rsidRDefault="00366466" w:rsidP="00117C75">
            <w:pPr>
              <w:pStyle w:val="Table"/>
              <w:jc w:val="right"/>
              <w:rPr>
                <w:szCs w:val="24"/>
                <w:lang w:val="en-US"/>
              </w:rPr>
            </w:pPr>
            <w:r w:rsidRPr="00B65973">
              <w:rPr>
                <w:szCs w:val="24"/>
                <w:lang w:val="en-US"/>
              </w:rPr>
              <w:t>3.493</w:t>
            </w:r>
          </w:p>
        </w:tc>
        <w:tc>
          <w:tcPr>
            <w:tcW w:w="486" w:type="pct"/>
            <w:hideMark/>
          </w:tcPr>
          <w:p w14:paraId="6691BE94" w14:textId="77777777" w:rsidR="00366466" w:rsidRPr="00B65973" w:rsidRDefault="00366466" w:rsidP="00117C75">
            <w:pPr>
              <w:pStyle w:val="Table"/>
              <w:jc w:val="right"/>
              <w:rPr>
                <w:szCs w:val="24"/>
                <w:lang w:val="en-US"/>
              </w:rPr>
            </w:pPr>
            <w:r w:rsidRPr="00B65973">
              <w:rPr>
                <w:szCs w:val="24"/>
                <w:lang w:val="en-US"/>
              </w:rPr>
              <w:t>2.736</w:t>
            </w:r>
          </w:p>
        </w:tc>
        <w:tc>
          <w:tcPr>
            <w:tcW w:w="390" w:type="pct"/>
            <w:hideMark/>
          </w:tcPr>
          <w:p w14:paraId="00493253" w14:textId="77777777" w:rsidR="00366466" w:rsidRPr="00B65973" w:rsidRDefault="00366466" w:rsidP="00117C75">
            <w:pPr>
              <w:pStyle w:val="Table"/>
              <w:jc w:val="right"/>
              <w:rPr>
                <w:szCs w:val="24"/>
                <w:lang w:val="en-US"/>
              </w:rPr>
            </w:pPr>
            <w:r w:rsidRPr="00B65973">
              <w:rPr>
                <w:szCs w:val="24"/>
                <w:lang w:val="en-US"/>
              </w:rPr>
              <w:t>-0.626</w:t>
            </w:r>
          </w:p>
        </w:tc>
        <w:tc>
          <w:tcPr>
            <w:tcW w:w="482" w:type="pct"/>
            <w:hideMark/>
          </w:tcPr>
          <w:p w14:paraId="131C459D" w14:textId="77777777" w:rsidR="00366466" w:rsidRPr="00B65973" w:rsidRDefault="00366466" w:rsidP="00117C75">
            <w:pPr>
              <w:pStyle w:val="Table"/>
              <w:jc w:val="right"/>
              <w:rPr>
                <w:szCs w:val="24"/>
                <w:lang w:val="en-US"/>
              </w:rPr>
            </w:pPr>
            <w:r w:rsidRPr="00B65973">
              <w:rPr>
                <w:szCs w:val="24"/>
                <w:lang w:val="en-US"/>
              </w:rPr>
              <w:t>1.398</w:t>
            </w:r>
          </w:p>
        </w:tc>
        <w:tc>
          <w:tcPr>
            <w:tcW w:w="482" w:type="pct"/>
            <w:hideMark/>
          </w:tcPr>
          <w:p w14:paraId="3EA75900" w14:textId="77777777" w:rsidR="00366466" w:rsidRPr="00B65973" w:rsidRDefault="00366466" w:rsidP="00117C75">
            <w:pPr>
              <w:pStyle w:val="Table"/>
              <w:jc w:val="right"/>
              <w:rPr>
                <w:szCs w:val="24"/>
                <w:lang w:val="en-US"/>
              </w:rPr>
            </w:pPr>
            <w:r w:rsidRPr="00B65973">
              <w:rPr>
                <w:szCs w:val="24"/>
                <w:lang w:val="en-US"/>
              </w:rPr>
              <w:t>4.868</w:t>
            </w:r>
          </w:p>
        </w:tc>
        <w:tc>
          <w:tcPr>
            <w:tcW w:w="486" w:type="pct"/>
            <w:hideMark/>
          </w:tcPr>
          <w:p w14:paraId="350E295A" w14:textId="77777777" w:rsidR="00366466" w:rsidRPr="00B65973" w:rsidRDefault="00366466" w:rsidP="00117C75">
            <w:pPr>
              <w:pStyle w:val="Table"/>
              <w:jc w:val="right"/>
              <w:rPr>
                <w:szCs w:val="24"/>
                <w:lang w:val="en-US"/>
              </w:rPr>
            </w:pPr>
            <w:r w:rsidRPr="00B65973">
              <w:rPr>
                <w:szCs w:val="24"/>
                <w:lang w:val="en-US"/>
              </w:rPr>
              <w:t>18.065</w:t>
            </w:r>
          </w:p>
        </w:tc>
      </w:tr>
      <w:tr w:rsidR="00366466" w:rsidRPr="00B65973" w14:paraId="5327FE5D" w14:textId="77777777" w:rsidTr="00117C75">
        <w:trPr>
          <w:tblCellSpacing w:w="15" w:type="dxa"/>
        </w:trPr>
        <w:tc>
          <w:tcPr>
            <w:tcW w:w="1865" w:type="pct"/>
            <w:hideMark/>
          </w:tcPr>
          <w:p w14:paraId="0E4FFA2A" w14:textId="77777777" w:rsidR="00366466" w:rsidRPr="00B65973" w:rsidRDefault="00366466" w:rsidP="005962BF">
            <w:pPr>
              <w:pStyle w:val="Table"/>
              <w:rPr>
                <w:szCs w:val="24"/>
                <w:lang w:val="en-US"/>
              </w:rPr>
            </w:pPr>
            <w:r w:rsidRPr="00B65973">
              <w:rPr>
                <w:szCs w:val="24"/>
                <w:lang w:val="en-US"/>
              </w:rPr>
              <w:t>Share, organic holdings (%)</w:t>
            </w:r>
          </w:p>
        </w:tc>
        <w:tc>
          <w:tcPr>
            <w:tcW w:w="234" w:type="pct"/>
            <w:hideMark/>
          </w:tcPr>
          <w:p w14:paraId="2D3CC57F" w14:textId="77777777" w:rsidR="00366466" w:rsidRPr="00B65973" w:rsidRDefault="00366466" w:rsidP="00117C75">
            <w:pPr>
              <w:pStyle w:val="Table"/>
              <w:jc w:val="right"/>
              <w:rPr>
                <w:szCs w:val="24"/>
                <w:lang w:val="en-US"/>
              </w:rPr>
            </w:pPr>
            <w:r w:rsidRPr="00B65973">
              <w:rPr>
                <w:szCs w:val="24"/>
                <w:lang w:val="en-US"/>
              </w:rPr>
              <w:t>156</w:t>
            </w:r>
          </w:p>
        </w:tc>
        <w:tc>
          <w:tcPr>
            <w:tcW w:w="414" w:type="pct"/>
            <w:hideMark/>
          </w:tcPr>
          <w:p w14:paraId="0F71615F" w14:textId="77777777" w:rsidR="00366466" w:rsidRPr="00B65973" w:rsidRDefault="00366466" w:rsidP="00117C75">
            <w:pPr>
              <w:pStyle w:val="Table"/>
              <w:jc w:val="right"/>
              <w:rPr>
                <w:szCs w:val="24"/>
                <w:lang w:val="en-US"/>
              </w:rPr>
            </w:pPr>
            <w:r w:rsidRPr="00B65973">
              <w:rPr>
                <w:szCs w:val="24"/>
                <w:lang w:val="en-US"/>
              </w:rPr>
              <w:t>2.844</w:t>
            </w:r>
          </w:p>
        </w:tc>
        <w:tc>
          <w:tcPr>
            <w:tcW w:w="486" w:type="pct"/>
            <w:hideMark/>
          </w:tcPr>
          <w:p w14:paraId="0BB130E3" w14:textId="77777777" w:rsidR="00366466" w:rsidRPr="00B65973" w:rsidRDefault="00366466" w:rsidP="00117C75">
            <w:pPr>
              <w:pStyle w:val="Table"/>
              <w:jc w:val="right"/>
              <w:rPr>
                <w:szCs w:val="24"/>
                <w:lang w:val="en-US"/>
              </w:rPr>
            </w:pPr>
            <w:r w:rsidRPr="00B65973">
              <w:rPr>
                <w:szCs w:val="24"/>
                <w:lang w:val="en-US"/>
              </w:rPr>
              <w:t>4.200</w:t>
            </w:r>
          </w:p>
        </w:tc>
        <w:tc>
          <w:tcPr>
            <w:tcW w:w="390" w:type="pct"/>
            <w:hideMark/>
          </w:tcPr>
          <w:p w14:paraId="27AD30DC" w14:textId="77777777" w:rsidR="00366466" w:rsidRPr="00B65973" w:rsidRDefault="00366466" w:rsidP="00117C75">
            <w:pPr>
              <w:pStyle w:val="Table"/>
              <w:jc w:val="right"/>
              <w:rPr>
                <w:szCs w:val="24"/>
                <w:lang w:val="en-US"/>
              </w:rPr>
            </w:pPr>
            <w:r w:rsidRPr="00B65973">
              <w:rPr>
                <w:szCs w:val="24"/>
                <w:lang w:val="en-US"/>
              </w:rPr>
              <w:t>0.000</w:t>
            </w:r>
          </w:p>
        </w:tc>
        <w:tc>
          <w:tcPr>
            <w:tcW w:w="482" w:type="pct"/>
            <w:hideMark/>
          </w:tcPr>
          <w:p w14:paraId="3A382AD5" w14:textId="77777777" w:rsidR="00366466" w:rsidRPr="00B65973" w:rsidRDefault="00366466" w:rsidP="00117C75">
            <w:pPr>
              <w:pStyle w:val="Table"/>
              <w:jc w:val="right"/>
              <w:rPr>
                <w:szCs w:val="24"/>
                <w:lang w:val="en-US"/>
              </w:rPr>
            </w:pPr>
            <w:r w:rsidRPr="00B65973">
              <w:rPr>
                <w:szCs w:val="24"/>
                <w:lang w:val="en-US"/>
              </w:rPr>
              <w:t>0.483</w:t>
            </w:r>
          </w:p>
        </w:tc>
        <w:tc>
          <w:tcPr>
            <w:tcW w:w="482" w:type="pct"/>
            <w:hideMark/>
          </w:tcPr>
          <w:p w14:paraId="17D00F17" w14:textId="77777777" w:rsidR="00366466" w:rsidRPr="00B65973" w:rsidRDefault="00366466" w:rsidP="00117C75">
            <w:pPr>
              <w:pStyle w:val="Table"/>
              <w:jc w:val="right"/>
              <w:rPr>
                <w:szCs w:val="24"/>
                <w:lang w:val="en-US"/>
              </w:rPr>
            </w:pPr>
            <w:r w:rsidRPr="00B65973">
              <w:rPr>
                <w:szCs w:val="24"/>
                <w:lang w:val="en-US"/>
              </w:rPr>
              <w:t>3.813</w:t>
            </w:r>
          </w:p>
        </w:tc>
        <w:tc>
          <w:tcPr>
            <w:tcW w:w="486" w:type="pct"/>
            <w:hideMark/>
          </w:tcPr>
          <w:p w14:paraId="23DF9370" w14:textId="77777777" w:rsidR="00366466" w:rsidRPr="00B65973" w:rsidRDefault="00366466" w:rsidP="00117C75">
            <w:pPr>
              <w:pStyle w:val="Table"/>
              <w:jc w:val="right"/>
              <w:rPr>
                <w:szCs w:val="24"/>
                <w:lang w:val="en-US"/>
              </w:rPr>
            </w:pPr>
            <w:r w:rsidRPr="00B65973">
              <w:rPr>
                <w:szCs w:val="24"/>
                <w:lang w:val="en-US"/>
              </w:rPr>
              <w:t>38.359</w:t>
            </w:r>
          </w:p>
        </w:tc>
      </w:tr>
      <w:tr w:rsidR="00366466" w:rsidRPr="00B65973" w14:paraId="45AE47B0" w14:textId="77777777" w:rsidTr="00117C75">
        <w:trPr>
          <w:tblCellSpacing w:w="15" w:type="dxa"/>
        </w:trPr>
        <w:tc>
          <w:tcPr>
            <w:tcW w:w="1865" w:type="pct"/>
            <w:hideMark/>
          </w:tcPr>
          <w:p w14:paraId="405604FC" w14:textId="77777777" w:rsidR="00366466" w:rsidRPr="00B65973" w:rsidRDefault="00366466" w:rsidP="005962BF">
            <w:pPr>
              <w:pStyle w:val="Table"/>
              <w:rPr>
                <w:szCs w:val="24"/>
                <w:lang w:val="en-US"/>
              </w:rPr>
            </w:pPr>
            <w:r w:rsidRPr="00B65973">
              <w:rPr>
                <w:szCs w:val="24"/>
                <w:lang w:val="en-US"/>
              </w:rPr>
              <w:t>Area, organic holdings (%)</w:t>
            </w:r>
          </w:p>
        </w:tc>
        <w:tc>
          <w:tcPr>
            <w:tcW w:w="234" w:type="pct"/>
            <w:hideMark/>
          </w:tcPr>
          <w:p w14:paraId="3F0A1129" w14:textId="77777777" w:rsidR="00366466" w:rsidRPr="00B65973" w:rsidRDefault="00366466" w:rsidP="00117C75">
            <w:pPr>
              <w:pStyle w:val="Table"/>
              <w:jc w:val="right"/>
              <w:rPr>
                <w:szCs w:val="24"/>
                <w:lang w:val="en-US"/>
              </w:rPr>
            </w:pPr>
            <w:r w:rsidRPr="00B65973">
              <w:rPr>
                <w:szCs w:val="24"/>
                <w:lang w:val="en-US"/>
              </w:rPr>
              <w:t>156</w:t>
            </w:r>
          </w:p>
        </w:tc>
        <w:tc>
          <w:tcPr>
            <w:tcW w:w="414" w:type="pct"/>
            <w:hideMark/>
          </w:tcPr>
          <w:p w14:paraId="00413507" w14:textId="77777777" w:rsidR="00366466" w:rsidRPr="00B65973" w:rsidRDefault="00366466" w:rsidP="00117C75">
            <w:pPr>
              <w:pStyle w:val="Table"/>
              <w:jc w:val="right"/>
              <w:rPr>
                <w:szCs w:val="24"/>
                <w:lang w:val="en-US"/>
              </w:rPr>
            </w:pPr>
            <w:r w:rsidRPr="00B65973">
              <w:rPr>
                <w:szCs w:val="24"/>
                <w:lang w:val="en-US"/>
              </w:rPr>
              <w:t>3.980</w:t>
            </w:r>
          </w:p>
        </w:tc>
        <w:tc>
          <w:tcPr>
            <w:tcW w:w="486" w:type="pct"/>
            <w:hideMark/>
          </w:tcPr>
          <w:p w14:paraId="609C0CEE" w14:textId="77777777" w:rsidR="00366466" w:rsidRPr="00B65973" w:rsidRDefault="00366466" w:rsidP="00117C75">
            <w:pPr>
              <w:pStyle w:val="Table"/>
              <w:jc w:val="right"/>
              <w:rPr>
                <w:szCs w:val="24"/>
                <w:lang w:val="en-US"/>
              </w:rPr>
            </w:pPr>
            <w:r w:rsidRPr="00B65973">
              <w:rPr>
                <w:szCs w:val="24"/>
                <w:lang w:val="en-US"/>
              </w:rPr>
              <w:t>4.764</w:t>
            </w:r>
          </w:p>
        </w:tc>
        <w:tc>
          <w:tcPr>
            <w:tcW w:w="390" w:type="pct"/>
            <w:hideMark/>
          </w:tcPr>
          <w:p w14:paraId="5DA8F9ED" w14:textId="77777777" w:rsidR="00366466" w:rsidRPr="00B65973" w:rsidRDefault="00366466" w:rsidP="00117C75">
            <w:pPr>
              <w:pStyle w:val="Table"/>
              <w:jc w:val="right"/>
              <w:rPr>
                <w:szCs w:val="24"/>
                <w:lang w:val="en-US"/>
              </w:rPr>
            </w:pPr>
            <w:r w:rsidRPr="00B65973">
              <w:rPr>
                <w:szCs w:val="24"/>
                <w:lang w:val="en-US"/>
              </w:rPr>
              <w:t>0.000</w:t>
            </w:r>
          </w:p>
        </w:tc>
        <w:tc>
          <w:tcPr>
            <w:tcW w:w="482" w:type="pct"/>
            <w:hideMark/>
          </w:tcPr>
          <w:p w14:paraId="3688DDCD" w14:textId="77777777" w:rsidR="00366466" w:rsidRPr="00B65973" w:rsidRDefault="00366466" w:rsidP="00117C75">
            <w:pPr>
              <w:pStyle w:val="Table"/>
              <w:jc w:val="right"/>
              <w:rPr>
                <w:szCs w:val="24"/>
                <w:lang w:val="en-US"/>
              </w:rPr>
            </w:pPr>
            <w:r w:rsidRPr="00B65973">
              <w:rPr>
                <w:szCs w:val="24"/>
                <w:lang w:val="en-US"/>
              </w:rPr>
              <w:t>0.547</w:t>
            </w:r>
          </w:p>
        </w:tc>
        <w:tc>
          <w:tcPr>
            <w:tcW w:w="482" w:type="pct"/>
            <w:hideMark/>
          </w:tcPr>
          <w:p w14:paraId="3BB1E01C" w14:textId="77777777" w:rsidR="00366466" w:rsidRPr="00B65973" w:rsidRDefault="00366466" w:rsidP="00117C75">
            <w:pPr>
              <w:pStyle w:val="Table"/>
              <w:jc w:val="right"/>
              <w:rPr>
                <w:szCs w:val="24"/>
                <w:lang w:val="en-US"/>
              </w:rPr>
            </w:pPr>
            <w:r w:rsidRPr="00B65973">
              <w:rPr>
                <w:szCs w:val="24"/>
                <w:lang w:val="en-US"/>
              </w:rPr>
              <w:t>6.024</w:t>
            </w:r>
          </w:p>
        </w:tc>
        <w:tc>
          <w:tcPr>
            <w:tcW w:w="486" w:type="pct"/>
            <w:hideMark/>
          </w:tcPr>
          <w:p w14:paraId="31EF5575" w14:textId="77777777" w:rsidR="00366466" w:rsidRPr="00B65973" w:rsidRDefault="00366466" w:rsidP="00117C75">
            <w:pPr>
              <w:pStyle w:val="Table"/>
              <w:jc w:val="right"/>
              <w:rPr>
                <w:szCs w:val="24"/>
                <w:lang w:val="en-US"/>
              </w:rPr>
            </w:pPr>
            <w:r w:rsidRPr="00B65973">
              <w:rPr>
                <w:szCs w:val="24"/>
                <w:lang w:val="en-US"/>
              </w:rPr>
              <w:t>26.047</w:t>
            </w:r>
          </w:p>
        </w:tc>
      </w:tr>
      <w:tr w:rsidR="00366466" w:rsidRPr="00B65973" w14:paraId="25FB62A1" w14:textId="77777777" w:rsidTr="00117C75">
        <w:trPr>
          <w:tblCellSpacing w:w="15" w:type="dxa"/>
        </w:trPr>
        <w:tc>
          <w:tcPr>
            <w:tcW w:w="4964" w:type="pct"/>
            <w:gridSpan w:val="8"/>
            <w:tcBorders>
              <w:bottom w:val="single" w:sz="6" w:space="0" w:color="000000"/>
            </w:tcBorders>
            <w:vAlign w:val="center"/>
            <w:hideMark/>
          </w:tcPr>
          <w:p w14:paraId="4A011124" w14:textId="77777777" w:rsidR="00366466" w:rsidRPr="00B65973" w:rsidRDefault="00366466" w:rsidP="005962BF">
            <w:pPr>
              <w:pStyle w:val="Table"/>
              <w:rPr>
                <w:szCs w:val="24"/>
                <w:lang w:val="en-US"/>
              </w:rPr>
            </w:pPr>
          </w:p>
        </w:tc>
      </w:tr>
    </w:tbl>
    <w:p w14:paraId="38037815" w14:textId="77777777" w:rsidR="00366466" w:rsidRPr="00B65973" w:rsidRDefault="00366466" w:rsidP="00366466">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33"/>
        <w:gridCol w:w="454"/>
        <w:gridCol w:w="781"/>
        <w:gridCol w:w="911"/>
        <w:gridCol w:w="651"/>
        <w:gridCol w:w="907"/>
        <w:gridCol w:w="907"/>
        <w:gridCol w:w="1362"/>
      </w:tblGrid>
      <w:tr w:rsidR="00366466" w:rsidRPr="00B65973" w14:paraId="5E20160C" w14:textId="77777777" w:rsidTr="007F6810">
        <w:trPr>
          <w:tblCellSpacing w:w="15" w:type="dxa"/>
        </w:trPr>
        <w:tc>
          <w:tcPr>
            <w:tcW w:w="4968" w:type="pct"/>
            <w:gridSpan w:val="8"/>
            <w:tcBorders>
              <w:top w:val="nil"/>
              <w:left w:val="nil"/>
              <w:bottom w:val="nil"/>
              <w:right w:val="nil"/>
            </w:tcBorders>
            <w:hideMark/>
          </w:tcPr>
          <w:p w14:paraId="78227CF1" w14:textId="77777777" w:rsidR="00366466" w:rsidRPr="00B65973" w:rsidRDefault="00366466" w:rsidP="00117C75">
            <w:pPr>
              <w:pStyle w:val="Table"/>
              <w:jc w:val="center"/>
              <w:rPr>
                <w:szCs w:val="24"/>
                <w:lang w:val="en-US"/>
              </w:rPr>
            </w:pPr>
            <w:r w:rsidRPr="00B65973">
              <w:rPr>
                <w:rStyle w:val="Tugev"/>
                <w:szCs w:val="24"/>
                <w:lang w:val="en-US"/>
              </w:rPr>
              <w:t>2013</w:t>
            </w:r>
          </w:p>
        </w:tc>
      </w:tr>
      <w:tr w:rsidR="00366466" w:rsidRPr="00B65973" w14:paraId="1D91092B" w14:textId="77777777" w:rsidTr="007F6810">
        <w:trPr>
          <w:tblCellSpacing w:w="15" w:type="dxa"/>
        </w:trPr>
        <w:tc>
          <w:tcPr>
            <w:tcW w:w="4968" w:type="pct"/>
            <w:gridSpan w:val="8"/>
            <w:tcBorders>
              <w:bottom w:val="single" w:sz="6" w:space="0" w:color="000000"/>
            </w:tcBorders>
            <w:vAlign w:val="center"/>
            <w:hideMark/>
          </w:tcPr>
          <w:p w14:paraId="0FFAA4CD" w14:textId="77777777" w:rsidR="00366466" w:rsidRPr="00B65973" w:rsidRDefault="00366466" w:rsidP="005962BF">
            <w:pPr>
              <w:pStyle w:val="Table"/>
              <w:rPr>
                <w:szCs w:val="24"/>
                <w:lang w:val="en-US"/>
              </w:rPr>
            </w:pPr>
          </w:p>
        </w:tc>
      </w:tr>
      <w:tr w:rsidR="00366466" w:rsidRPr="00B65973" w14:paraId="012FD4F5" w14:textId="77777777" w:rsidTr="007F6810">
        <w:trPr>
          <w:tblCellSpacing w:w="15" w:type="dxa"/>
        </w:trPr>
        <w:tc>
          <w:tcPr>
            <w:tcW w:w="1842" w:type="pct"/>
            <w:vAlign w:val="center"/>
            <w:hideMark/>
          </w:tcPr>
          <w:p w14:paraId="60196F0A" w14:textId="77777777" w:rsidR="00366466" w:rsidRPr="00B65973" w:rsidRDefault="00366466" w:rsidP="00117C75">
            <w:pPr>
              <w:pStyle w:val="Table"/>
              <w:jc w:val="center"/>
              <w:rPr>
                <w:color w:val="000000"/>
                <w:szCs w:val="24"/>
                <w:lang w:val="en-US"/>
              </w:rPr>
            </w:pPr>
            <w:r w:rsidRPr="00B65973">
              <w:rPr>
                <w:color w:val="000000"/>
                <w:szCs w:val="24"/>
                <w:lang w:val="en-US"/>
              </w:rPr>
              <w:t>Statistic</w:t>
            </w:r>
          </w:p>
        </w:tc>
        <w:tc>
          <w:tcPr>
            <w:tcW w:w="231" w:type="pct"/>
            <w:vAlign w:val="center"/>
            <w:hideMark/>
          </w:tcPr>
          <w:p w14:paraId="4AC5CA38" w14:textId="77777777" w:rsidR="00366466" w:rsidRPr="00B65973" w:rsidRDefault="00366466" w:rsidP="00117C75">
            <w:pPr>
              <w:pStyle w:val="Table"/>
              <w:jc w:val="center"/>
              <w:rPr>
                <w:color w:val="000000"/>
                <w:szCs w:val="24"/>
                <w:lang w:val="en-US"/>
              </w:rPr>
            </w:pPr>
            <w:r w:rsidRPr="00B65973">
              <w:rPr>
                <w:color w:val="000000"/>
                <w:szCs w:val="24"/>
                <w:lang w:val="en-US"/>
              </w:rPr>
              <w:t>N</w:t>
            </w:r>
          </w:p>
        </w:tc>
        <w:tc>
          <w:tcPr>
            <w:tcW w:w="408" w:type="pct"/>
            <w:vAlign w:val="center"/>
            <w:hideMark/>
          </w:tcPr>
          <w:p w14:paraId="20EB9C4A" w14:textId="77777777" w:rsidR="00366466" w:rsidRPr="00B65973" w:rsidRDefault="00366466" w:rsidP="00117C75">
            <w:pPr>
              <w:pStyle w:val="Table"/>
              <w:jc w:val="center"/>
              <w:rPr>
                <w:color w:val="000000"/>
                <w:szCs w:val="24"/>
                <w:lang w:val="en-US"/>
              </w:rPr>
            </w:pPr>
            <w:r w:rsidRPr="00B65973">
              <w:rPr>
                <w:color w:val="000000"/>
                <w:szCs w:val="24"/>
                <w:lang w:val="en-US"/>
              </w:rPr>
              <w:t>Mean</w:t>
            </w:r>
          </w:p>
        </w:tc>
        <w:tc>
          <w:tcPr>
            <w:tcW w:w="479" w:type="pct"/>
            <w:vAlign w:val="center"/>
            <w:hideMark/>
          </w:tcPr>
          <w:p w14:paraId="09D7837A" w14:textId="77777777" w:rsidR="00366466" w:rsidRPr="00B65973" w:rsidRDefault="00366466" w:rsidP="00117C75">
            <w:pPr>
              <w:pStyle w:val="Table"/>
              <w:jc w:val="center"/>
              <w:rPr>
                <w:color w:val="000000"/>
                <w:szCs w:val="24"/>
                <w:lang w:val="en-US"/>
              </w:rPr>
            </w:pPr>
            <w:r w:rsidRPr="00B65973">
              <w:rPr>
                <w:color w:val="000000"/>
                <w:szCs w:val="24"/>
                <w:lang w:val="en-US"/>
              </w:rPr>
              <w:t>St. Dev.</w:t>
            </w:r>
          </w:p>
        </w:tc>
        <w:tc>
          <w:tcPr>
            <w:tcW w:w="338" w:type="pct"/>
            <w:vAlign w:val="center"/>
            <w:hideMark/>
          </w:tcPr>
          <w:p w14:paraId="2BDB8277" w14:textId="77777777" w:rsidR="00366466" w:rsidRPr="00B65973" w:rsidRDefault="00366466" w:rsidP="00117C75">
            <w:pPr>
              <w:pStyle w:val="Table"/>
              <w:jc w:val="center"/>
              <w:rPr>
                <w:color w:val="000000"/>
                <w:szCs w:val="24"/>
                <w:lang w:val="en-US"/>
              </w:rPr>
            </w:pPr>
            <w:r w:rsidRPr="00B65973">
              <w:rPr>
                <w:color w:val="000000"/>
                <w:szCs w:val="24"/>
                <w:lang w:val="en-US"/>
              </w:rPr>
              <w:t>Min</w:t>
            </w:r>
          </w:p>
        </w:tc>
        <w:tc>
          <w:tcPr>
            <w:tcW w:w="477" w:type="pct"/>
            <w:vAlign w:val="center"/>
            <w:hideMark/>
          </w:tcPr>
          <w:p w14:paraId="1F28C9FA" w14:textId="77777777" w:rsidR="00366466" w:rsidRPr="00B65973" w:rsidRDefault="00366466" w:rsidP="00117C75">
            <w:pPr>
              <w:pStyle w:val="Table"/>
              <w:jc w:val="center"/>
              <w:rPr>
                <w:color w:val="000000"/>
                <w:szCs w:val="24"/>
                <w:lang w:val="en-US"/>
              </w:rPr>
            </w:pPr>
            <w:proofErr w:type="spellStart"/>
            <w:r w:rsidRPr="00B65973">
              <w:rPr>
                <w:color w:val="000000"/>
                <w:szCs w:val="24"/>
                <w:lang w:val="en-US"/>
              </w:rPr>
              <w:t>Pctl</w:t>
            </w:r>
            <w:proofErr w:type="spellEnd"/>
            <w:r w:rsidRPr="00B65973">
              <w:rPr>
                <w:color w:val="000000"/>
                <w:szCs w:val="24"/>
                <w:lang w:val="en-US"/>
              </w:rPr>
              <w:t>(25)</w:t>
            </w:r>
          </w:p>
        </w:tc>
        <w:tc>
          <w:tcPr>
            <w:tcW w:w="477" w:type="pct"/>
            <w:vAlign w:val="center"/>
            <w:hideMark/>
          </w:tcPr>
          <w:p w14:paraId="7AD93EE1" w14:textId="77777777" w:rsidR="00366466" w:rsidRPr="00B65973" w:rsidRDefault="00366466" w:rsidP="00117C75">
            <w:pPr>
              <w:pStyle w:val="Table"/>
              <w:jc w:val="center"/>
              <w:rPr>
                <w:color w:val="000000"/>
                <w:szCs w:val="24"/>
                <w:lang w:val="en-US"/>
              </w:rPr>
            </w:pPr>
            <w:proofErr w:type="spellStart"/>
            <w:r w:rsidRPr="00B65973">
              <w:rPr>
                <w:color w:val="000000"/>
                <w:szCs w:val="24"/>
                <w:lang w:val="en-US"/>
              </w:rPr>
              <w:t>Pctl</w:t>
            </w:r>
            <w:proofErr w:type="spellEnd"/>
            <w:r w:rsidRPr="00B65973">
              <w:rPr>
                <w:color w:val="000000"/>
                <w:szCs w:val="24"/>
                <w:lang w:val="en-US"/>
              </w:rPr>
              <w:t>(75)</w:t>
            </w:r>
          </w:p>
        </w:tc>
        <w:tc>
          <w:tcPr>
            <w:tcW w:w="604" w:type="pct"/>
            <w:vAlign w:val="center"/>
            <w:hideMark/>
          </w:tcPr>
          <w:p w14:paraId="7B4E2D61" w14:textId="77777777" w:rsidR="00366466" w:rsidRPr="00B65973" w:rsidRDefault="00366466" w:rsidP="00117C75">
            <w:pPr>
              <w:pStyle w:val="Table"/>
              <w:jc w:val="center"/>
              <w:rPr>
                <w:color w:val="000000"/>
                <w:szCs w:val="24"/>
                <w:lang w:val="en-US"/>
              </w:rPr>
            </w:pPr>
            <w:r w:rsidRPr="00B65973">
              <w:rPr>
                <w:color w:val="000000"/>
                <w:szCs w:val="24"/>
                <w:lang w:val="en-US"/>
              </w:rPr>
              <w:t>Max</w:t>
            </w:r>
          </w:p>
        </w:tc>
      </w:tr>
      <w:tr w:rsidR="00366466" w:rsidRPr="00B65973" w14:paraId="3C6A3026" w14:textId="77777777" w:rsidTr="007F6810">
        <w:trPr>
          <w:tblCellSpacing w:w="15" w:type="dxa"/>
        </w:trPr>
        <w:tc>
          <w:tcPr>
            <w:tcW w:w="4968" w:type="pct"/>
            <w:gridSpan w:val="8"/>
            <w:tcBorders>
              <w:bottom w:val="single" w:sz="6" w:space="0" w:color="000000"/>
            </w:tcBorders>
            <w:vAlign w:val="center"/>
            <w:hideMark/>
          </w:tcPr>
          <w:p w14:paraId="23097214" w14:textId="77777777" w:rsidR="00366466" w:rsidRPr="00B65973" w:rsidRDefault="00366466" w:rsidP="005962BF">
            <w:pPr>
              <w:pStyle w:val="Table"/>
              <w:rPr>
                <w:color w:val="000000"/>
                <w:szCs w:val="24"/>
                <w:lang w:val="en-US"/>
              </w:rPr>
            </w:pPr>
          </w:p>
        </w:tc>
      </w:tr>
      <w:tr w:rsidR="00366466" w:rsidRPr="00B65973" w14:paraId="7A132F86" w14:textId="77777777" w:rsidTr="007F6810">
        <w:trPr>
          <w:tblCellSpacing w:w="15" w:type="dxa"/>
        </w:trPr>
        <w:tc>
          <w:tcPr>
            <w:tcW w:w="1842" w:type="pct"/>
            <w:hideMark/>
          </w:tcPr>
          <w:p w14:paraId="50C600B3" w14:textId="77777777" w:rsidR="00366466" w:rsidRPr="00B65973" w:rsidRDefault="00366466" w:rsidP="005962BF">
            <w:pPr>
              <w:pStyle w:val="Table"/>
              <w:rPr>
                <w:szCs w:val="24"/>
                <w:lang w:val="en-US"/>
              </w:rPr>
            </w:pPr>
            <w:r w:rsidRPr="00B65973">
              <w:rPr>
                <w:szCs w:val="24"/>
                <w:lang w:val="en-US"/>
              </w:rPr>
              <w:t>EAFRD payments (€/person)</w:t>
            </w:r>
          </w:p>
        </w:tc>
        <w:tc>
          <w:tcPr>
            <w:tcW w:w="231" w:type="pct"/>
            <w:hideMark/>
          </w:tcPr>
          <w:p w14:paraId="5715C1EC" w14:textId="77777777" w:rsidR="00366466" w:rsidRPr="00B65973" w:rsidRDefault="00366466" w:rsidP="00117C75">
            <w:pPr>
              <w:pStyle w:val="Table"/>
              <w:jc w:val="right"/>
              <w:rPr>
                <w:color w:val="000000"/>
                <w:szCs w:val="24"/>
                <w:lang w:val="en-US"/>
              </w:rPr>
            </w:pPr>
            <w:r w:rsidRPr="00B65973">
              <w:rPr>
                <w:color w:val="000000"/>
                <w:szCs w:val="24"/>
                <w:lang w:val="en-US"/>
              </w:rPr>
              <w:t>155</w:t>
            </w:r>
          </w:p>
        </w:tc>
        <w:tc>
          <w:tcPr>
            <w:tcW w:w="408" w:type="pct"/>
            <w:hideMark/>
          </w:tcPr>
          <w:p w14:paraId="78BD4DFA" w14:textId="77777777" w:rsidR="00366466" w:rsidRPr="00B65973" w:rsidRDefault="00366466" w:rsidP="00117C75">
            <w:pPr>
              <w:pStyle w:val="Table"/>
              <w:jc w:val="right"/>
              <w:rPr>
                <w:color w:val="000000"/>
                <w:szCs w:val="24"/>
                <w:lang w:val="en-US"/>
              </w:rPr>
            </w:pPr>
            <w:r w:rsidRPr="00B65973">
              <w:rPr>
                <w:color w:val="000000"/>
                <w:szCs w:val="24"/>
                <w:lang w:val="en-US"/>
              </w:rPr>
              <w:t>31.481</w:t>
            </w:r>
          </w:p>
        </w:tc>
        <w:tc>
          <w:tcPr>
            <w:tcW w:w="479" w:type="pct"/>
            <w:hideMark/>
          </w:tcPr>
          <w:p w14:paraId="11656875" w14:textId="77777777" w:rsidR="00366466" w:rsidRPr="00B65973" w:rsidRDefault="00366466" w:rsidP="00117C75">
            <w:pPr>
              <w:pStyle w:val="Table"/>
              <w:jc w:val="right"/>
              <w:rPr>
                <w:color w:val="000000"/>
                <w:szCs w:val="24"/>
                <w:lang w:val="en-US"/>
              </w:rPr>
            </w:pPr>
            <w:r w:rsidRPr="00B65973">
              <w:rPr>
                <w:color w:val="000000"/>
                <w:szCs w:val="24"/>
                <w:lang w:val="en-US"/>
              </w:rPr>
              <w:t>27.204</w:t>
            </w:r>
          </w:p>
        </w:tc>
        <w:tc>
          <w:tcPr>
            <w:tcW w:w="338" w:type="pct"/>
            <w:hideMark/>
          </w:tcPr>
          <w:p w14:paraId="7A65150F" w14:textId="77777777" w:rsidR="00366466" w:rsidRPr="00B65973" w:rsidRDefault="00366466" w:rsidP="00117C75">
            <w:pPr>
              <w:pStyle w:val="Table"/>
              <w:jc w:val="right"/>
              <w:rPr>
                <w:color w:val="000000"/>
                <w:szCs w:val="24"/>
                <w:lang w:val="en-US"/>
              </w:rPr>
            </w:pPr>
            <w:r w:rsidRPr="00B65973">
              <w:rPr>
                <w:color w:val="000000"/>
                <w:szCs w:val="24"/>
                <w:lang w:val="en-US"/>
              </w:rPr>
              <w:t>0.014</w:t>
            </w:r>
          </w:p>
        </w:tc>
        <w:tc>
          <w:tcPr>
            <w:tcW w:w="477" w:type="pct"/>
            <w:hideMark/>
          </w:tcPr>
          <w:p w14:paraId="12E5E85F" w14:textId="77777777" w:rsidR="00366466" w:rsidRPr="00B65973" w:rsidRDefault="00366466" w:rsidP="00117C75">
            <w:pPr>
              <w:pStyle w:val="Table"/>
              <w:jc w:val="right"/>
              <w:rPr>
                <w:color w:val="000000"/>
                <w:szCs w:val="24"/>
                <w:lang w:val="en-US"/>
              </w:rPr>
            </w:pPr>
            <w:r w:rsidRPr="00B65973">
              <w:rPr>
                <w:color w:val="000000"/>
                <w:szCs w:val="24"/>
                <w:lang w:val="en-US"/>
              </w:rPr>
              <w:t>10.015</w:t>
            </w:r>
          </w:p>
        </w:tc>
        <w:tc>
          <w:tcPr>
            <w:tcW w:w="477" w:type="pct"/>
            <w:hideMark/>
          </w:tcPr>
          <w:p w14:paraId="19104B2C" w14:textId="77777777" w:rsidR="00366466" w:rsidRPr="00B65973" w:rsidRDefault="00366466" w:rsidP="00117C75">
            <w:pPr>
              <w:pStyle w:val="Table"/>
              <w:jc w:val="right"/>
              <w:rPr>
                <w:color w:val="000000"/>
                <w:szCs w:val="24"/>
                <w:lang w:val="en-US"/>
              </w:rPr>
            </w:pPr>
            <w:r w:rsidRPr="00B65973">
              <w:rPr>
                <w:color w:val="000000"/>
                <w:szCs w:val="24"/>
                <w:lang w:val="en-US"/>
              </w:rPr>
              <w:t>49.058</w:t>
            </w:r>
          </w:p>
        </w:tc>
        <w:tc>
          <w:tcPr>
            <w:tcW w:w="604" w:type="pct"/>
            <w:hideMark/>
          </w:tcPr>
          <w:p w14:paraId="2120957A" w14:textId="77777777" w:rsidR="00366466" w:rsidRPr="00B65973" w:rsidRDefault="00366466" w:rsidP="00117C75">
            <w:pPr>
              <w:pStyle w:val="Table"/>
              <w:jc w:val="right"/>
              <w:rPr>
                <w:color w:val="000000"/>
                <w:szCs w:val="24"/>
                <w:lang w:val="en-US"/>
              </w:rPr>
            </w:pPr>
            <w:r w:rsidRPr="00B65973">
              <w:rPr>
                <w:color w:val="000000"/>
                <w:szCs w:val="24"/>
                <w:lang w:val="en-US"/>
              </w:rPr>
              <w:t>143.559</w:t>
            </w:r>
          </w:p>
        </w:tc>
      </w:tr>
      <w:tr w:rsidR="00366466" w:rsidRPr="00B65973" w14:paraId="680922D7" w14:textId="77777777" w:rsidTr="007F6810">
        <w:trPr>
          <w:tblCellSpacing w:w="15" w:type="dxa"/>
        </w:trPr>
        <w:tc>
          <w:tcPr>
            <w:tcW w:w="1842" w:type="pct"/>
            <w:hideMark/>
          </w:tcPr>
          <w:p w14:paraId="4D132F73" w14:textId="77777777" w:rsidR="00366466" w:rsidRPr="00B65973" w:rsidRDefault="00366466" w:rsidP="005962BF">
            <w:pPr>
              <w:pStyle w:val="Table"/>
              <w:rPr>
                <w:szCs w:val="24"/>
                <w:lang w:val="en-US"/>
              </w:rPr>
            </w:pPr>
            <w:r w:rsidRPr="00B65973">
              <w:rPr>
                <w:szCs w:val="24"/>
                <w:lang w:val="en-US"/>
              </w:rPr>
              <w:t>GDP (1000 €/person)</w:t>
            </w:r>
          </w:p>
        </w:tc>
        <w:tc>
          <w:tcPr>
            <w:tcW w:w="231" w:type="pct"/>
            <w:hideMark/>
          </w:tcPr>
          <w:p w14:paraId="74102DB5" w14:textId="77777777" w:rsidR="00366466" w:rsidRPr="00B65973" w:rsidRDefault="00366466" w:rsidP="00117C75">
            <w:pPr>
              <w:pStyle w:val="Table"/>
              <w:jc w:val="right"/>
              <w:rPr>
                <w:color w:val="000000"/>
                <w:szCs w:val="24"/>
                <w:lang w:val="en-US"/>
              </w:rPr>
            </w:pPr>
            <w:r w:rsidRPr="00B65973">
              <w:rPr>
                <w:color w:val="000000"/>
                <w:szCs w:val="24"/>
                <w:lang w:val="en-US"/>
              </w:rPr>
              <w:t>155</w:t>
            </w:r>
          </w:p>
        </w:tc>
        <w:tc>
          <w:tcPr>
            <w:tcW w:w="408" w:type="pct"/>
            <w:hideMark/>
          </w:tcPr>
          <w:p w14:paraId="2BB67E47" w14:textId="77777777" w:rsidR="00366466" w:rsidRPr="00B65973" w:rsidRDefault="00366466" w:rsidP="00117C75">
            <w:pPr>
              <w:pStyle w:val="Table"/>
              <w:jc w:val="right"/>
              <w:rPr>
                <w:color w:val="000000"/>
                <w:szCs w:val="24"/>
                <w:lang w:val="en-US"/>
              </w:rPr>
            </w:pPr>
            <w:r w:rsidRPr="00B65973">
              <w:rPr>
                <w:color w:val="000000"/>
                <w:szCs w:val="24"/>
                <w:lang w:val="en-US"/>
              </w:rPr>
              <w:t>25.101</w:t>
            </w:r>
          </w:p>
        </w:tc>
        <w:tc>
          <w:tcPr>
            <w:tcW w:w="479" w:type="pct"/>
            <w:hideMark/>
          </w:tcPr>
          <w:p w14:paraId="131737A6" w14:textId="77777777" w:rsidR="00366466" w:rsidRPr="00B65973" w:rsidRDefault="00366466" w:rsidP="00117C75">
            <w:pPr>
              <w:pStyle w:val="Table"/>
              <w:jc w:val="right"/>
              <w:rPr>
                <w:color w:val="000000"/>
                <w:szCs w:val="24"/>
                <w:lang w:val="en-US"/>
              </w:rPr>
            </w:pPr>
            <w:r w:rsidRPr="00B65973">
              <w:rPr>
                <w:color w:val="000000"/>
                <w:szCs w:val="24"/>
                <w:lang w:val="en-US"/>
              </w:rPr>
              <w:t>13.078</w:t>
            </w:r>
          </w:p>
        </w:tc>
        <w:tc>
          <w:tcPr>
            <w:tcW w:w="338" w:type="pct"/>
            <w:hideMark/>
          </w:tcPr>
          <w:p w14:paraId="7CBE8436" w14:textId="77777777" w:rsidR="00366466" w:rsidRPr="00B65973" w:rsidRDefault="00366466" w:rsidP="00117C75">
            <w:pPr>
              <w:pStyle w:val="Table"/>
              <w:jc w:val="right"/>
              <w:rPr>
                <w:color w:val="000000"/>
                <w:szCs w:val="24"/>
                <w:lang w:val="en-US"/>
              </w:rPr>
            </w:pPr>
            <w:r w:rsidRPr="00B65973">
              <w:rPr>
                <w:color w:val="000000"/>
                <w:szCs w:val="24"/>
                <w:lang w:val="en-US"/>
              </w:rPr>
              <w:t>3.600</w:t>
            </w:r>
          </w:p>
        </w:tc>
        <w:tc>
          <w:tcPr>
            <w:tcW w:w="477" w:type="pct"/>
            <w:hideMark/>
          </w:tcPr>
          <w:p w14:paraId="33E31290" w14:textId="77777777" w:rsidR="00366466" w:rsidRPr="00B65973" w:rsidRDefault="00366466" w:rsidP="00117C75">
            <w:pPr>
              <w:pStyle w:val="Table"/>
              <w:jc w:val="right"/>
              <w:rPr>
                <w:color w:val="000000"/>
                <w:szCs w:val="24"/>
                <w:lang w:val="en-US"/>
              </w:rPr>
            </w:pPr>
            <w:r w:rsidRPr="00B65973">
              <w:rPr>
                <w:color w:val="000000"/>
                <w:szCs w:val="24"/>
                <w:lang w:val="en-US"/>
              </w:rPr>
              <w:t>15.800</w:t>
            </w:r>
          </w:p>
        </w:tc>
        <w:tc>
          <w:tcPr>
            <w:tcW w:w="477" w:type="pct"/>
            <w:hideMark/>
          </w:tcPr>
          <w:p w14:paraId="294BFD66" w14:textId="77777777" w:rsidR="00366466" w:rsidRPr="00B65973" w:rsidRDefault="00366466" w:rsidP="00117C75">
            <w:pPr>
              <w:pStyle w:val="Table"/>
              <w:jc w:val="right"/>
              <w:rPr>
                <w:color w:val="000000"/>
                <w:szCs w:val="24"/>
                <w:lang w:val="en-US"/>
              </w:rPr>
            </w:pPr>
            <w:r w:rsidRPr="00B65973">
              <w:rPr>
                <w:color w:val="000000"/>
                <w:szCs w:val="24"/>
                <w:lang w:val="en-US"/>
              </w:rPr>
              <w:t>32.350</w:t>
            </w:r>
          </w:p>
        </w:tc>
        <w:tc>
          <w:tcPr>
            <w:tcW w:w="604" w:type="pct"/>
            <w:hideMark/>
          </w:tcPr>
          <w:p w14:paraId="6344F8C9" w14:textId="77777777" w:rsidR="00366466" w:rsidRPr="00B65973" w:rsidRDefault="00366466" w:rsidP="00117C75">
            <w:pPr>
              <w:pStyle w:val="Table"/>
              <w:jc w:val="right"/>
              <w:rPr>
                <w:color w:val="000000"/>
                <w:szCs w:val="24"/>
                <w:lang w:val="en-US"/>
              </w:rPr>
            </w:pPr>
            <w:r w:rsidRPr="00B65973">
              <w:rPr>
                <w:color w:val="000000"/>
                <w:szCs w:val="24"/>
                <w:lang w:val="en-US"/>
              </w:rPr>
              <w:t>85.300</w:t>
            </w:r>
          </w:p>
        </w:tc>
      </w:tr>
      <w:tr w:rsidR="00366466" w:rsidRPr="00B65973" w14:paraId="5511E232" w14:textId="77777777" w:rsidTr="007F6810">
        <w:trPr>
          <w:tblCellSpacing w:w="15" w:type="dxa"/>
        </w:trPr>
        <w:tc>
          <w:tcPr>
            <w:tcW w:w="1842" w:type="pct"/>
            <w:hideMark/>
          </w:tcPr>
          <w:p w14:paraId="418A7A8E" w14:textId="77777777" w:rsidR="00366466" w:rsidRPr="00B65973" w:rsidRDefault="00366466" w:rsidP="005962BF">
            <w:pPr>
              <w:pStyle w:val="Table"/>
              <w:rPr>
                <w:szCs w:val="24"/>
                <w:lang w:val="en-US"/>
              </w:rPr>
            </w:pPr>
            <w:r w:rsidRPr="00B65973">
              <w:rPr>
                <w:szCs w:val="24"/>
                <w:lang w:val="en-US"/>
              </w:rPr>
              <w:t>Unemployment, ages 15-74 (%)</w:t>
            </w:r>
          </w:p>
        </w:tc>
        <w:tc>
          <w:tcPr>
            <w:tcW w:w="231" w:type="pct"/>
            <w:hideMark/>
          </w:tcPr>
          <w:p w14:paraId="788C7B5D" w14:textId="77777777" w:rsidR="00366466" w:rsidRPr="00B65973" w:rsidRDefault="00366466" w:rsidP="00117C75">
            <w:pPr>
              <w:pStyle w:val="Table"/>
              <w:jc w:val="right"/>
              <w:rPr>
                <w:color w:val="000000"/>
                <w:szCs w:val="24"/>
                <w:lang w:val="en-US"/>
              </w:rPr>
            </w:pPr>
            <w:r w:rsidRPr="00B65973">
              <w:rPr>
                <w:color w:val="000000"/>
                <w:szCs w:val="24"/>
                <w:lang w:val="en-US"/>
              </w:rPr>
              <w:t>155</w:t>
            </w:r>
          </w:p>
        </w:tc>
        <w:tc>
          <w:tcPr>
            <w:tcW w:w="408" w:type="pct"/>
            <w:hideMark/>
          </w:tcPr>
          <w:p w14:paraId="4065A090" w14:textId="77777777" w:rsidR="00366466" w:rsidRPr="00B65973" w:rsidRDefault="00366466" w:rsidP="00117C75">
            <w:pPr>
              <w:pStyle w:val="Table"/>
              <w:jc w:val="right"/>
              <w:rPr>
                <w:color w:val="000000"/>
                <w:szCs w:val="24"/>
                <w:lang w:val="en-US"/>
              </w:rPr>
            </w:pPr>
            <w:r w:rsidRPr="00B65973">
              <w:rPr>
                <w:color w:val="000000"/>
                <w:szCs w:val="24"/>
                <w:lang w:val="en-US"/>
              </w:rPr>
              <w:t>11.295</w:t>
            </w:r>
          </w:p>
        </w:tc>
        <w:tc>
          <w:tcPr>
            <w:tcW w:w="479" w:type="pct"/>
            <w:hideMark/>
          </w:tcPr>
          <w:p w14:paraId="15CD7EDE" w14:textId="77777777" w:rsidR="00366466" w:rsidRPr="00B65973" w:rsidRDefault="00366466" w:rsidP="00117C75">
            <w:pPr>
              <w:pStyle w:val="Table"/>
              <w:jc w:val="right"/>
              <w:rPr>
                <w:color w:val="000000"/>
                <w:szCs w:val="24"/>
                <w:lang w:val="en-US"/>
              </w:rPr>
            </w:pPr>
            <w:r w:rsidRPr="00B65973">
              <w:rPr>
                <w:color w:val="000000"/>
                <w:szCs w:val="24"/>
                <w:lang w:val="en-US"/>
              </w:rPr>
              <w:t>6.964</w:t>
            </w:r>
          </w:p>
        </w:tc>
        <w:tc>
          <w:tcPr>
            <w:tcW w:w="338" w:type="pct"/>
            <w:hideMark/>
          </w:tcPr>
          <w:p w14:paraId="0788DA3A" w14:textId="77777777" w:rsidR="00366466" w:rsidRPr="00B65973" w:rsidRDefault="00366466" w:rsidP="00117C75">
            <w:pPr>
              <w:pStyle w:val="Table"/>
              <w:jc w:val="right"/>
              <w:rPr>
                <w:color w:val="000000"/>
                <w:szCs w:val="24"/>
                <w:lang w:val="en-US"/>
              </w:rPr>
            </w:pPr>
            <w:r w:rsidRPr="00B65973">
              <w:rPr>
                <w:color w:val="000000"/>
                <w:szCs w:val="24"/>
                <w:lang w:val="en-US"/>
              </w:rPr>
              <w:t>3.100</w:t>
            </w:r>
          </w:p>
        </w:tc>
        <w:tc>
          <w:tcPr>
            <w:tcW w:w="477" w:type="pct"/>
            <w:hideMark/>
          </w:tcPr>
          <w:p w14:paraId="282892CD" w14:textId="77777777" w:rsidR="00366466" w:rsidRPr="00B65973" w:rsidRDefault="00366466" w:rsidP="00117C75">
            <w:pPr>
              <w:pStyle w:val="Table"/>
              <w:jc w:val="right"/>
              <w:rPr>
                <w:color w:val="000000"/>
                <w:szCs w:val="24"/>
                <w:lang w:val="en-US"/>
              </w:rPr>
            </w:pPr>
            <w:r w:rsidRPr="00B65973">
              <w:rPr>
                <w:color w:val="000000"/>
                <w:szCs w:val="24"/>
                <w:lang w:val="en-US"/>
              </w:rPr>
              <w:t>6.400</w:t>
            </w:r>
          </w:p>
        </w:tc>
        <w:tc>
          <w:tcPr>
            <w:tcW w:w="477" w:type="pct"/>
            <w:hideMark/>
          </w:tcPr>
          <w:p w14:paraId="37949100" w14:textId="77777777" w:rsidR="00366466" w:rsidRPr="00B65973" w:rsidRDefault="00366466" w:rsidP="00117C75">
            <w:pPr>
              <w:pStyle w:val="Table"/>
              <w:jc w:val="right"/>
              <w:rPr>
                <w:color w:val="000000"/>
                <w:szCs w:val="24"/>
                <w:lang w:val="en-US"/>
              </w:rPr>
            </w:pPr>
            <w:r w:rsidRPr="00B65973">
              <w:rPr>
                <w:color w:val="000000"/>
                <w:szCs w:val="24"/>
                <w:lang w:val="en-US"/>
              </w:rPr>
              <w:t>15.300</w:t>
            </w:r>
          </w:p>
        </w:tc>
        <w:tc>
          <w:tcPr>
            <w:tcW w:w="604" w:type="pct"/>
            <w:hideMark/>
          </w:tcPr>
          <w:p w14:paraId="598B6E43" w14:textId="77777777" w:rsidR="00366466" w:rsidRPr="00B65973" w:rsidRDefault="00366466" w:rsidP="00117C75">
            <w:pPr>
              <w:pStyle w:val="Table"/>
              <w:jc w:val="right"/>
              <w:rPr>
                <w:color w:val="000000"/>
                <w:szCs w:val="24"/>
                <w:lang w:val="en-US"/>
              </w:rPr>
            </w:pPr>
            <w:r w:rsidRPr="00B65973">
              <w:rPr>
                <w:color w:val="000000"/>
                <w:szCs w:val="24"/>
                <w:lang w:val="en-US"/>
              </w:rPr>
              <w:t>36.200</w:t>
            </w:r>
          </w:p>
        </w:tc>
      </w:tr>
      <w:tr w:rsidR="00366466" w:rsidRPr="00B65973" w14:paraId="0EBC83E1" w14:textId="77777777" w:rsidTr="007F6810">
        <w:trPr>
          <w:tblCellSpacing w:w="15" w:type="dxa"/>
        </w:trPr>
        <w:tc>
          <w:tcPr>
            <w:tcW w:w="1842" w:type="pct"/>
            <w:hideMark/>
          </w:tcPr>
          <w:p w14:paraId="2A1F7A8C" w14:textId="77777777" w:rsidR="00366466" w:rsidRPr="00B65973" w:rsidRDefault="00366466" w:rsidP="005962BF">
            <w:pPr>
              <w:pStyle w:val="Table"/>
              <w:rPr>
                <w:szCs w:val="24"/>
                <w:lang w:val="en-US"/>
              </w:rPr>
            </w:pPr>
            <w:r w:rsidRPr="00B65973">
              <w:rPr>
                <w:szCs w:val="24"/>
                <w:lang w:val="en-US"/>
              </w:rPr>
              <w:t>Share, holdings &lt; 2 ha (%)</w:t>
            </w:r>
          </w:p>
        </w:tc>
        <w:tc>
          <w:tcPr>
            <w:tcW w:w="231" w:type="pct"/>
            <w:hideMark/>
          </w:tcPr>
          <w:p w14:paraId="14AD134C" w14:textId="77777777" w:rsidR="00366466" w:rsidRPr="00B65973" w:rsidRDefault="00366466" w:rsidP="00117C75">
            <w:pPr>
              <w:pStyle w:val="Table"/>
              <w:jc w:val="right"/>
              <w:rPr>
                <w:color w:val="000000"/>
                <w:szCs w:val="24"/>
                <w:lang w:val="en-US"/>
              </w:rPr>
            </w:pPr>
            <w:r w:rsidRPr="00B65973">
              <w:rPr>
                <w:color w:val="000000"/>
                <w:szCs w:val="24"/>
                <w:lang w:val="en-US"/>
              </w:rPr>
              <w:t>155</w:t>
            </w:r>
          </w:p>
        </w:tc>
        <w:tc>
          <w:tcPr>
            <w:tcW w:w="408" w:type="pct"/>
            <w:hideMark/>
          </w:tcPr>
          <w:p w14:paraId="4EC9F432" w14:textId="77777777" w:rsidR="00366466" w:rsidRPr="00B65973" w:rsidRDefault="00366466" w:rsidP="00117C75">
            <w:pPr>
              <w:pStyle w:val="Table"/>
              <w:jc w:val="right"/>
              <w:rPr>
                <w:color w:val="000000"/>
                <w:szCs w:val="24"/>
                <w:lang w:val="en-US"/>
              </w:rPr>
            </w:pPr>
            <w:r w:rsidRPr="00B65973">
              <w:rPr>
                <w:color w:val="000000"/>
                <w:szCs w:val="24"/>
                <w:lang w:val="en-US"/>
              </w:rPr>
              <w:t>22.962</w:t>
            </w:r>
          </w:p>
        </w:tc>
        <w:tc>
          <w:tcPr>
            <w:tcW w:w="479" w:type="pct"/>
            <w:hideMark/>
          </w:tcPr>
          <w:p w14:paraId="34A9F4BC" w14:textId="77777777" w:rsidR="00366466" w:rsidRPr="00B65973" w:rsidRDefault="00366466" w:rsidP="00117C75">
            <w:pPr>
              <w:pStyle w:val="Table"/>
              <w:jc w:val="right"/>
              <w:rPr>
                <w:color w:val="000000"/>
                <w:szCs w:val="24"/>
                <w:lang w:val="en-US"/>
              </w:rPr>
            </w:pPr>
            <w:r w:rsidRPr="00B65973">
              <w:rPr>
                <w:color w:val="000000"/>
                <w:szCs w:val="24"/>
                <w:lang w:val="en-US"/>
              </w:rPr>
              <w:t>25.920</w:t>
            </w:r>
          </w:p>
        </w:tc>
        <w:tc>
          <w:tcPr>
            <w:tcW w:w="338" w:type="pct"/>
            <w:hideMark/>
          </w:tcPr>
          <w:p w14:paraId="771EB094" w14:textId="77777777" w:rsidR="00366466" w:rsidRPr="00B65973" w:rsidRDefault="00366466" w:rsidP="00117C75">
            <w:pPr>
              <w:pStyle w:val="Table"/>
              <w:jc w:val="right"/>
              <w:rPr>
                <w:color w:val="000000"/>
                <w:szCs w:val="24"/>
                <w:lang w:val="en-US"/>
              </w:rPr>
            </w:pPr>
            <w:r w:rsidRPr="00B65973">
              <w:rPr>
                <w:color w:val="000000"/>
                <w:szCs w:val="24"/>
                <w:lang w:val="en-US"/>
              </w:rPr>
              <w:t>0.000</w:t>
            </w:r>
          </w:p>
        </w:tc>
        <w:tc>
          <w:tcPr>
            <w:tcW w:w="477" w:type="pct"/>
            <w:hideMark/>
          </w:tcPr>
          <w:p w14:paraId="6F690743" w14:textId="77777777" w:rsidR="00366466" w:rsidRPr="00B65973" w:rsidRDefault="00366466" w:rsidP="00117C75">
            <w:pPr>
              <w:pStyle w:val="Table"/>
              <w:jc w:val="right"/>
              <w:rPr>
                <w:color w:val="000000"/>
                <w:szCs w:val="24"/>
                <w:lang w:val="en-US"/>
              </w:rPr>
            </w:pPr>
            <w:r w:rsidRPr="00B65973">
              <w:rPr>
                <w:color w:val="000000"/>
                <w:szCs w:val="24"/>
                <w:lang w:val="en-US"/>
              </w:rPr>
              <w:t>2.212</w:t>
            </w:r>
          </w:p>
        </w:tc>
        <w:tc>
          <w:tcPr>
            <w:tcW w:w="477" w:type="pct"/>
            <w:hideMark/>
          </w:tcPr>
          <w:p w14:paraId="2B488BF4" w14:textId="77777777" w:rsidR="00366466" w:rsidRPr="00B65973" w:rsidRDefault="00366466" w:rsidP="00117C75">
            <w:pPr>
              <w:pStyle w:val="Table"/>
              <w:jc w:val="right"/>
              <w:rPr>
                <w:color w:val="000000"/>
                <w:szCs w:val="24"/>
                <w:lang w:val="en-US"/>
              </w:rPr>
            </w:pPr>
            <w:r w:rsidRPr="00B65973">
              <w:rPr>
                <w:color w:val="000000"/>
                <w:szCs w:val="24"/>
                <w:lang w:val="en-US"/>
              </w:rPr>
              <w:t>36.533</w:t>
            </w:r>
          </w:p>
        </w:tc>
        <w:tc>
          <w:tcPr>
            <w:tcW w:w="604" w:type="pct"/>
            <w:hideMark/>
          </w:tcPr>
          <w:p w14:paraId="192DD7CD" w14:textId="77777777" w:rsidR="00366466" w:rsidRPr="00B65973" w:rsidRDefault="00366466" w:rsidP="00117C75">
            <w:pPr>
              <w:pStyle w:val="Table"/>
              <w:jc w:val="right"/>
              <w:rPr>
                <w:color w:val="000000"/>
                <w:szCs w:val="24"/>
                <w:lang w:val="en-US"/>
              </w:rPr>
            </w:pPr>
            <w:r w:rsidRPr="00B65973">
              <w:rPr>
                <w:color w:val="000000"/>
                <w:szCs w:val="24"/>
                <w:lang w:val="en-US"/>
              </w:rPr>
              <w:t>98.592</w:t>
            </w:r>
          </w:p>
        </w:tc>
      </w:tr>
      <w:tr w:rsidR="00366466" w:rsidRPr="00B65973" w14:paraId="23C46F31" w14:textId="77777777" w:rsidTr="007F6810">
        <w:trPr>
          <w:tblCellSpacing w:w="15" w:type="dxa"/>
        </w:trPr>
        <w:tc>
          <w:tcPr>
            <w:tcW w:w="1842" w:type="pct"/>
            <w:hideMark/>
          </w:tcPr>
          <w:p w14:paraId="711C0F40" w14:textId="77777777" w:rsidR="00366466" w:rsidRPr="00B65973" w:rsidRDefault="00366466" w:rsidP="005962BF">
            <w:pPr>
              <w:pStyle w:val="Table"/>
              <w:rPr>
                <w:szCs w:val="24"/>
                <w:lang w:val="en-US"/>
              </w:rPr>
            </w:pPr>
            <w:r w:rsidRPr="00B65973">
              <w:rPr>
                <w:szCs w:val="24"/>
                <w:lang w:val="en-US"/>
              </w:rPr>
              <w:t>Area, holdings &lt; 2 ha (%)</w:t>
            </w:r>
          </w:p>
        </w:tc>
        <w:tc>
          <w:tcPr>
            <w:tcW w:w="231" w:type="pct"/>
            <w:hideMark/>
          </w:tcPr>
          <w:p w14:paraId="5C81F326" w14:textId="77777777" w:rsidR="00366466" w:rsidRPr="00B65973" w:rsidRDefault="00366466" w:rsidP="00117C75">
            <w:pPr>
              <w:pStyle w:val="Table"/>
              <w:jc w:val="right"/>
              <w:rPr>
                <w:color w:val="000000"/>
                <w:szCs w:val="24"/>
                <w:lang w:val="en-US"/>
              </w:rPr>
            </w:pPr>
            <w:r w:rsidRPr="00B65973">
              <w:rPr>
                <w:color w:val="000000"/>
                <w:szCs w:val="24"/>
                <w:lang w:val="en-US"/>
              </w:rPr>
              <w:t>155</w:t>
            </w:r>
          </w:p>
        </w:tc>
        <w:tc>
          <w:tcPr>
            <w:tcW w:w="408" w:type="pct"/>
            <w:hideMark/>
          </w:tcPr>
          <w:p w14:paraId="0059DE09" w14:textId="77777777" w:rsidR="00366466" w:rsidRPr="00B65973" w:rsidRDefault="00366466" w:rsidP="00117C75">
            <w:pPr>
              <w:pStyle w:val="Table"/>
              <w:jc w:val="right"/>
              <w:rPr>
                <w:color w:val="000000"/>
                <w:szCs w:val="24"/>
                <w:lang w:val="en-US"/>
              </w:rPr>
            </w:pPr>
            <w:r w:rsidRPr="00B65973">
              <w:rPr>
                <w:color w:val="000000"/>
                <w:szCs w:val="24"/>
                <w:lang w:val="en-US"/>
              </w:rPr>
              <w:t>2.794</w:t>
            </w:r>
          </w:p>
        </w:tc>
        <w:tc>
          <w:tcPr>
            <w:tcW w:w="479" w:type="pct"/>
            <w:hideMark/>
          </w:tcPr>
          <w:p w14:paraId="12A7C1F5" w14:textId="77777777" w:rsidR="00366466" w:rsidRPr="00B65973" w:rsidRDefault="00366466" w:rsidP="00117C75">
            <w:pPr>
              <w:pStyle w:val="Table"/>
              <w:jc w:val="right"/>
              <w:rPr>
                <w:color w:val="000000"/>
                <w:szCs w:val="24"/>
                <w:lang w:val="en-US"/>
              </w:rPr>
            </w:pPr>
            <w:r w:rsidRPr="00B65973">
              <w:rPr>
                <w:color w:val="000000"/>
                <w:szCs w:val="24"/>
                <w:lang w:val="en-US"/>
              </w:rPr>
              <w:t>7.919</w:t>
            </w:r>
          </w:p>
        </w:tc>
        <w:tc>
          <w:tcPr>
            <w:tcW w:w="338" w:type="pct"/>
            <w:hideMark/>
          </w:tcPr>
          <w:p w14:paraId="48C8A0CF" w14:textId="77777777" w:rsidR="00366466" w:rsidRPr="00B65973" w:rsidRDefault="00366466" w:rsidP="00117C75">
            <w:pPr>
              <w:pStyle w:val="Table"/>
              <w:jc w:val="right"/>
              <w:rPr>
                <w:color w:val="000000"/>
                <w:szCs w:val="24"/>
                <w:lang w:val="en-US"/>
              </w:rPr>
            </w:pPr>
            <w:r w:rsidRPr="00B65973">
              <w:rPr>
                <w:color w:val="000000"/>
                <w:szCs w:val="24"/>
                <w:lang w:val="en-US"/>
              </w:rPr>
              <w:t>0.000</w:t>
            </w:r>
          </w:p>
        </w:tc>
        <w:tc>
          <w:tcPr>
            <w:tcW w:w="477" w:type="pct"/>
            <w:hideMark/>
          </w:tcPr>
          <w:p w14:paraId="53CDEE03" w14:textId="77777777" w:rsidR="00366466" w:rsidRPr="00B65973" w:rsidRDefault="00366466" w:rsidP="00117C75">
            <w:pPr>
              <w:pStyle w:val="Table"/>
              <w:jc w:val="right"/>
              <w:rPr>
                <w:color w:val="000000"/>
                <w:szCs w:val="24"/>
                <w:lang w:val="en-US"/>
              </w:rPr>
            </w:pPr>
            <w:r w:rsidRPr="00B65973">
              <w:rPr>
                <w:color w:val="000000"/>
                <w:szCs w:val="24"/>
                <w:lang w:val="en-US"/>
              </w:rPr>
              <w:t>0.027</w:t>
            </w:r>
          </w:p>
        </w:tc>
        <w:tc>
          <w:tcPr>
            <w:tcW w:w="477" w:type="pct"/>
            <w:hideMark/>
          </w:tcPr>
          <w:p w14:paraId="1E30B9B7" w14:textId="77777777" w:rsidR="00366466" w:rsidRPr="00B65973" w:rsidRDefault="00366466" w:rsidP="00117C75">
            <w:pPr>
              <w:pStyle w:val="Table"/>
              <w:jc w:val="right"/>
              <w:rPr>
                <w:color w:val="000000"/>
                <w:szCs w:val="24"/>
                <w:lang w:val="en-US"/>
              </w:rPr>
            </w:pPr>
            <w:r w:rsidRPr="00B65973">
              <w:rPr>
                <w:color w:val="000000"/>
                <w:szCs w:val="24"/>
                <w:lang w:val="en-US"/>
              </w:rPr>
              <w:t>2.549</w:t>
            </w:r>
          </w:p>
        </w:tc>
        <w:tc>
          <w:tcPr>
            <w:tcW w:w="604" w:type="pct"/>
            <w:hideMark/>
          </w:tcPr>
          <w:p w14:paraId="4E51660A" w14:textId="77777777" w:rsidR="00366466" w:rsidRPr="00B65973" w:rsidRDefault="00366466" w:rsidP="00117C75">
            <w:pPr>
              <w:pStyle w:val="Table"/>
              <w:jc w:val="right"/>
              <w:rPr>
                <w:color w:val="000000"/>
                <w:szCs w:val="24"/>
                <w:lang w:val="en-US"/>
              </w:rPr>
            </w:pPr>
            <w:r w:rsidRPr="00B65973">
              <w:rPr>
                <w:color w:val="000000"/>
                <w:szCs w:val="24"/>
                <w:lang w:val="en-US"/>
              </w:rPr>
              <w:t>86.692</w:t>
            </w:r>
          </w:p>
        </w:tc>
      </w:tr>
      <w:tr w:rsidR="00366466" w:rsidRPr="00B65973" w14:paraId="2DD9D799" w14:textId="77777777" w:rsidTr="007F6810">
        <w:trPr>
          <w:tblCellSpacing w:w="15" w:type="dxa"/>
        </w:trPr>
        <w:tc>
          <w:tcPr>
            <w:tcW w:w="1842" w:type="pct"/>
            <w:hideMark/>
          </w:tcPr>
          <w:p w14:paraId="41EA714F" w14:textId="77777777" w:rsidR="00366466" w:rsidRPr="00B65973" w:rsidRDefault="00366466" w:rsidP="005962BF">
            <w:pPr>
              <w:pStyle w:val="Table"/>
              <w:rPr>
                <w:szCs w:val="24"/>
                <w:lang w:val="en-US"/>
              </w:rPr>
            </w:pPr>
            <w:r w:rsidRPr="00B65973">
              <w:rPr>
                <w:szCs w:val="24"/>
                <w:lang w:val="en-US"/>
              </w:rPr>
              <w:t>Employment, NACE2 A (%)</w:t>
            </w:r>
          </w:p>
        </w:tc>
        <w:tc>
          <w:tcPr>
            <w:tcW w:w="231" w:type="pct"/>
            <w:hideMark/>
          </w:tcPr>
          <w:p w14:paraId="5A09BA9D" w14:textId="77777777" w:rsidR="00366466" w:rsidRPr="00B65973" w:rsidRDefault="00366466" w:rsidP="00117C75">
            <w:pPr>
              <w:pStyle w:val="Table"/>
              <w:jc w:val="right"/>
              <w:rPr>
                <w:color w:val="000000"/>
                <w:szCs w:val="24"/>
                <w:lang w:val="en-US"/>
              </w:rPr>
            </w:pPr>
            <w:r w:rsidRPr="00B65973">
              <w:rPr>
                <w:color w:val="000000"/>
                <w:szCs w:val="24"/>
                <w:lang w:val="en-US"/>
              </w:rPr>
              <w:t>155</w:t>
            </w:r>
          </w:p>
        </w:tc>
        <w:tc>
          <w:tcPr>
            <w:tcW w:w="408" w:type="pct"/>
            <w:hideMark/>
          </w:tcPr>
          <w:p w14:paraId="42490DD9" w14:textId="77777777" w:rsidR="00366466" w:rsidRPr="00B65973" w:rsidRDefault="00366466" w:rsidP="00117C75">
            <w:pPr>
              <w:pStyle w:val="Table"/>
              <w:jc w:val="right"/>
              <w:rPr>
                <w:color w:val="000000"/>
                <w:szCs w:val="24"/>
                <w:lang w:val="en-US"/>
              </w:rPr>
            </w:pPr>
            <w:r w:rsidRPr="00B65973">
              <w:rPr>
                <w:color w:val="000000"/>
                <w:szCs w:val="24"/>
                <w:lang w:val="en-US"/>
              </w:rPr>
              <w:t>7.025</w:t>
            </w:r>
          </w:p>
        </w:tc>
        <w:tc>
          <w:tcPr>
            <w:tcW w:w="479" w:type="pct"/>
            <w:hideMark/>
          </w:tcPr>
          <w:p w14:paraId="07A51E7E" w14:textId="77777777" w:rsidR="00366466" w:rsidRPr="00B65973" w:rsidRDefault="00366466" w:rsidP="00117C75">
            <w:pPr>
              <w:pStyle w:val="Table"/>
              <w:jc w:val="right"/>
              <w:rPr>
                <w:color w:val="000000"/>
                <w:szCs w:val="24"/>
                <w:lang w:val="en-US"/>
              </w:rPr>
            </w:pPr>
            <w:r w:rsidRPr="00B65973">
              <w:rPr>
                <w:color w:val="000000"/>
                <w:szCs w:val="24"/>
                <w:lang w:val="en-US"/>
              </w:rPr>
              <w:t>7.494</w:t>
            </w:r>
          </w:p>
        </w:tc>
        <w:tc>
          <w:tcPr>
            <w:tcW w:w="338" w:type="pct"/>
            <w:hideMark/>
          </w:tcPr>
          <w:p w14:paraId="648F8763" w14:textId="77777777" w:rsidR="00366466" w:rsidRPr="00B65973" w:rsidRDefault="00366466" w:rsidP="00117C75">
            <w:pPr>
              <w:pStyle w:val="Table"/>
              <w:jc w:val="right"/>
              <w:rPr>
                <w:color w:val="000000"/>
                <w:szCs w:val="24"/>
                <w:lang w:val="en-US"/>
              </w:rPr>
            </w:pPr>
            <w:r w:rsidRPr="00B65973">
              <w:rPr>
                <w:color w:val="000000"/>
                <w:szCs w:val="24"/>
                <w:lang w:val="en-US"/>
              </w:rPr>
              <w:t>0.023</w:t>
            </w:r>
          </w:p>
        </w:tc>
        <w:tc>
          <w:tcPr>
            <w:tcW w:w="477" w:type="pct"/>
            <w:hideMark/>
          </w:tcPr>
          <w:p w14:paraId="7149C2F8" w14:textId="77777777" w:rsidR="00366466" w:rsidRPr="00B65973" w:rsidRDefault="00366466" w:rsidP="00117C75">
            <w:pPr>
              <w:pStyle w:val="Table"/>
              <w:jc w:val="right"/>
              <w:rPr>
                <w:color w:val="000000"/>
                <w:szCs w:val="24"/>
                <w:lang w:val="en-US"/>
              </w:rPr>
            </w:pPr>
            <w:r w:rsidRPr="00B65973">
              <w:rPr>
                <w:color w:val="000000"/>
                <w:szCs w:val="24"/>
                <w:lang w:val="en-US"/>
              </w:rPr>
              <w:t>2.089</w:t>
            </w:r>
          </w:p>
        </w:tc>
        <w:tc>
          <w:tcPr>
            <w:tcW w:w="477" w:type="pct"/>
            <w:hideMark/>
          </w:tcPr>
          <w:p w14:paraId="35C9946A" w14:textId="77777777" w:rsidR="00366466" w:rsidRPr="00B65973" w:rsidRDefault="00366466" w:rsidP="00117C75">
            <w:pPr>
              <w:pStyle w:val="Table"/>
              <w:jc w:val="right"/>
              <w:rPr>
                <w:color w:val="000000"/>
                <w:szCs w:val="24"/>
                <w:lang w:val="en-US"/>
              </w:rPr>
            </w:pPr>
            <w:r w:rsidRPr="00B65973">
              <w:rPr>
                <w:color w:val="000000"/>
                <w:szCs w:val="24"/>
                <w:lang w:val="en-US"/>
              </w:rPr>
              <w:t>8.904</w:t>
            </w:r>
          </w:p>
        </w:tc>
        <w:tc>
          <w:tcPr>
            <w:tcW w:w="604" w:type="pct"/>
            <w:hideMark/>
          </w:tcPr>
          <w:p w14:paraId="114F64C7" w14:textId="77777777" w:rsidR="00366466" w:rsidRPr="00B65973" w:rsidRDefault="00366466" w:rsidP="00117C75">
            <w:pPr>
              <w:pStyle w:val="Table"/>
              <w:jc w:val="right"/>
              <w:rPr>
                <w:color w:val="000000"/>
                <w:szCs w:val="24"/>
                <w:lang w:val="en-US"/>
              </w:rPr>
            </w:pPr>
            <w:r w:rsidRPr="00B65973">
              <w:rPr>
                <w:color w:val="000000"/>
                <w:szCs w:val="24"/>
                <w:lang w:val="en-US"/>
              </w:rPr>
              <w:t>45.100</w:t>
            </w:r>
          </w:p>
        </w:tc>
      </w:tr>
      <w:tr w:rsidR="00366466" w:rsidRPr="00B65973" w14:paraId="5D3C2F89" w14:textId="77777777" w:rsidTr="007F6810">
        <w:trPr>
          <w:tblCellSpacing w:w="15" w:type="dxa"/>
        </w:trPr>
        <w:tc>
          <w:tcPr>
            <w:tcW w:w="1842" w:type="pct"/>
            <w:hideMark/>
          </w:tcPr>
          <w:p w14:paraId="1930CFFE" w14:textId="77777777" w:rsidR="00366466" w:rsidRPr="00B65973" w:rsidRDefault="00366466" w:rsidP="005962BF">
            <w:pPr>
              <w:pStyle w:val="Table"/>
              <w:rPr>
                <w:szCs w:val="24"/>
                <w:lang w:val="en-US"/>
              </w:rPr>
            </w:pPr>
            <w:r w:rsidRPr="00B65973">
              <w:rPr>
                <w:szCs w:val="24"/>
                <w:lang w:val="en-US"/>
              </w:rPr>
              <w:t>Investments, NACE2 A (%)</w:t>
            </w:r>
          </w:p>
        </w:tc>
        <w:tc>
          <w:tcPr>
            <w:tcW w:w="231" w:type="pct"/>
            <w:hideMark/>
          </w:tcPr>
          <w:p w14:paraId="00A7FAB9" w14:textId="77777777" w:rsidR="00366466" w:rsidRPr="00B65973" w:rsidRDefault="00366466" w:rsidP="00117C75">
            <w:pPr>
              <w:pStyle w:val="Table"/>
              <w:jc w:val="right"/>
              <w:rPr>
                <w:color w:val="000000"/>
                <w:szCs w:val="24"/>
                <w:lang w:val="en-US"/>
              </w:rPr>
            </w:pPr>
            <w:r w:rsidRPr="00B65973">
              <w:rPr>
                <w:color w:val="000000"/>
                <w:szCs w:val="24"/>
                <w:lang w:val="en-US"/>
              </w:rPr>
              <w:t>155</w:t>
            </w:r>
          </w:p>
        </w:tc>
        <w:tc>
          <w:tcPr>
            <w:tcW w:w="408" w:type="pct"/>
            <w:hideMark/>
          </w:tcPr>
          <w:p w14:paraId="474A4E91" w14:textId="77777777" w:rsidR="00366466" w:rsidRPr="00B65973" w:rsidRDefault="00366466" w:rsidP="00117C75">
            <w:pPr>
              <w:pStyle w:val="Table"/>
              <w:jc w:val="right"/>
              <w:rPr>
                <w:color w:val="000000"/>
                <w:szCs w:val="24"/>
                <w:lang w:val="en-US"/>
              </w:rPr>
            </w:pPr>
            <w:r w:rsidRPr="00B65973">
              <w:rPr>
                <w:color w:val="000000"/>
                <w:szCs w:val="24"/>
                <w:lang w:val="en-US"/>
              </w:rPr>
              <w:t>4.074</w:t>
            </w:r>
          </w:p>
        </w:tc>
        <w:tc>
          <w:tcPr>
            <w:tcW w:w="479" w:type="pct"/>
            <w:hideMark/>
          </w:tcPr>
          <w:p w14:paraId="08B4F5D5" w14:textId="77777777" w:rsidR="00366466" w:rsidRPr="00B65973" w:rsidRDefault="00366466" w:rsidP="00117C75">
            <w:pPr>
              <w:pStyle w:val="Table"/>
              <w:jc w:val="right"/>
              <w:rPr>
                <w:color w:val="000000"/>
                <w:szCs w:val="24"/>
                <w:lang w:val="en-US"/>
              </w:rPr>
            </w:pPr>
            <w:r w:rsidRPr="00B65973">
              <w:rPr>
                <w:color w:val="000000"/>
                <w:szCs w:val="24"/>
                <w:lang w:val="en-US"/>
              </w:rPr>
              <w:t>3.466</w:t>
            </w:r>
          </w:p>
        </w:tc>
        <w:tc>
          <w:tcPr>
            <w:tcW w:w="338" w:type="pct"/>
            <w:hideMark/>
          </w:tcPr>
          <w:p w14:paraId="2147B390" w14:textId="77777777" w:rsidR="00366466" w:rsidRPr="00B65973" w:rsidRDefault="00366466" w:rsidP="00117C75">
            <w:pPr>
              <w:pStyle w:val="Table"/>
              <w:jc w:val="right"/>
              <w:rPr>
                <w:color w:val="000000"/>
                <w:szCs w:val="24"/>
                <w:lang w:val="en-US"/>
              </w:rPr>
            </w:pPr>
            <w:r w:rsidRPr="00B65973">
              <w:rPr>
                <w:color w:val="000000"/>
                <w:szCs w:val="24"/>
                <w:lang w:val="en-US"/>
              </w:rPr>
              <w:t>0.038</w:t>
            </w:r>
          </w:p>
        </w:tc>
        <w:tc>
          <w:tcPr>
            <w:tcW w:w="477" w:type="pct"/>
            <w:hideMark/>
          </w:tcPr>
          <w:p w14:paraId="56C06437" w14:textId="77777777" w:rsidR="00366466" w:rsidRPr="00B65973" w:rsidRDefault="00366466" w:rsidP="00117C75">
            <w:pPr>
              <w:pStyle w:val="Table"/>
              <w:jc w:val="right"/>
              <w:rPr>
                <w:color w:val="000000"/>
                <w:szCs w:val="24"/>
                <w:lang w:val="en-US"/>
              </w:rPr>
            </w:pPr>
            <w:r w:rsidRPr="00B65973">
              <w:rPr>
                <w:color w:val="000000"/>
                <w:szCs w:val="24"/>
                <w:lang w:val="en-US"/>
              </w:rPr>
              <w:t>1.817</w:t>
            </w:r>
          </w:p>
        </w:tc>
        <w:tc>
          <w:tcPr>
            <w:tcW w:w="477" w:type="pct"/>
            <w:hideMark/>
          </w:tcPr>
          <w:p w14:paraId="2DD18812" w14:textId="77777777" w:rsidR="00366466" w:rsidRPr="00B65973" w:rsidRDefault="00366466" w:rsidP="00117C75">
            <w:pPr>
              <w:pStyle w:val="Table"/>
              <w:jc w:val="right"/>
              <w:rPr>
                <w:color w:val="000000"/>
                <w:szCs w:val="24"/>
                <w:lang w:val="en-US"/>
              </w:rPr>
            </w:pPr>
            <w:r w:rsidRPr="00B65973">
              <w:rPr>
                <w:color w:val="000000"/>
                <w:szCs w:val="24"/>
                <w:lang w:val="en-US"/>
              </w:rPr>
              <w:t>5.195</w:t>
            </w:r>
          </w:p>
        </w:tc>
        <w:tc>
          <w:tcPr>
            <w:tcW w:w="604" w:type="pct"/>
            <w:hideMark/>
          </w:tcPr>
          <w:p w14:paraId="5A5DD834" w14:textId="77777777" w:rsidR="00366466" w:rsidRPr="00B65973" w:rsidRDefault="00366466" w:rsidP="00117C75">
            <w:pPr>
              <w:pStyle w:val="Table"/>
              <w:jc w:val="right"/>
              <w:rPr>
                <w:color w:val="000000"/>
                <w:szCs w:val="24"/>
                <w:lang w:val="en-US"/>
              </w:rPr>
            </w:pPr>
            <w:r w:rsidRPr="00B65973">
              <w:rPr>
                <w:color w:val="000000"/>
                <w:szCs w:val="24"/>
                <w:lang w:val="en-US"/>
              </w:rPr>
              <w:t>22.364</w:t>
            </w:r>
          </w:p>
        </w:tc>
      </w:tr>
      <w:tr w:rsidR="00366466" w:rsidRPr="00B65973" w14:paraId="7951DF76" w14:textId="77777777" w:rsidTr="007F6810">
        <w:trPr>
          <w:tblCellSpacing w:w="15" w:type="dxa"/>
        </w:trPr>
        <w:tc>
          <w:tcPr>
            <w:tcW w:w="1842" w:type="pct"/>
            <w:hideMark/>
          </w:tcPr>
          <w:p w14:paraId="68F88324" w14:textId="77777777" w:rsidR="00366466" w:rsidRPr="00B65973" w:rsidRDefault="00366466" w:rsidP="005962BF">
            <w:pPr>
              <w:pStyle w:val="Table"/>
              <w:rPr>
                <w:szCs w:val="24"/>
                <w:lang w:val="en-US"/>
              </w:rPr>
            </w:pPr>
            <w:r w:rsidRPr="00B65973">
              <w:rPr>
                <w:szCs w:val="24"/>
                <w:lang w:val="en-US"/>
              </w:rPr>
              <w:t>Share, organic holdings (%)</w:t>
            </w:r>
          </w:p>
        </w:tc>
        <w:tc>
          <w:tcPr>
            <w:tcW w:w="231" w:type="pct"/>
            <w:hideMark/>
          </w:tcPr>
          <w:p w14:paraId="20CBFD42" w14:textId="77777777" w:rsidR="00366466" w:rsidRPr="00B65973" w:rsidRDefault="00366466" w:rsidP="00117C75">
            <w:pPr>
              <w:pStyle w:val="Table"/>
              <w:jc w:val="right"/>
              <w:rPr>
                <w:color w:val="000000"/>
                <w:szCs w:val="24"/>
                <w:lang w:val="en-US"/>
              </w:rPr>
            </w:pPr>
            <w:r w:rsidRPr="00B65973">
              <w:rPr>
                <w:color w:val="000000"/>
                <w:szCs w:val="24"/>
                <w:lang w:val="en-US"/>
              </w:rPr>
              <w:t>155</w:t>
            </w:r>
          </w:p>
        </w:tc>
        <w:tc>
          <w:tcPr>
            <w:tcW w:w="408" w:type="pct"/>
            <w:hideMark/>
          </w:tcPr>
          <w:p w14:paraId="4CBF8625" w14:textId="77777777" w:rsidR="00366466" w:rsidRPr="00B65973" w:rsidRDefault="00366466" w:rsidP="00117C75">
            <w:pPr>
              <w:pStyle w:val="Table"/>
              <w:jc w:val="right"/>
              <w:rPr>
                <w:color w:val="000000"/>
                <w:szCs w:val="24"/>
                <w:lang w:val="en-US"/>
              </w:rPr>
            </w:pPr>
            <w:r w:rsidRPr="00B65973">
              <w:rPr>
                <w:color w:val="000000"/>
                <w:szCs w:val="24"/>
                <w:lang w:val="en-US"/>
              </w:rPr>
              <w:t>3.551</w:t>
            </w:r>
          </w:p>
        </w:tc>
        <w:tc>
          <w:tcPr>
            <w:tcW w:w="479" w:type="pct"/>
            <w:hideMark/>
          </w:tcPr>
          <w:p w14:paraId="6A8A29FB" w14:textId="77777777" w:rsidR="00366466" w:rsidRPr="00B65973" w:rsidRDefault="00366466" w:rsidP="00117C75">
            <w:pPr>
              <w:pStyle w:val="Table"/>
              <w:jc w:val="right"/>
              <w:rPr>
                <w:color w:val="000000"/>
                <w:szCs w:val="24"/>
                <w:lang w:val="en-US"/>
              </w:rPr>
            </w:pPr>
            <w:r w:rsidRPr="00B65973">
              <w:rPr>
                <w:color w:val="000000"/>
                <w:szCs w:val="24"/>
                <w:lang w:val="en-US"/>
              </w:rPr>
              <w:t>4.989</w:t>
            </w:r>
          </w:p>
        </w:tc>
        <w:tc>
          <w:tcPr>
            <w:tcW w:w="338" w:type="pct"/>
            <w:hideMark/>
          </w:tcPr>
          <w:p w14:paraId="51797BA4" w14:textId="77777777" w:rsidR="00366466" w:rsidRPr="00B65973" w:rsidRDefault="00366466" w:rsidP="00117C75">
            <w:pPr>
              <w:pStyle w:val="Table"/>
              <w:jc w:val="right"/>
              <w:rPr>
                <w:color w:val="000000"/>
                <w:szCs w:val="24"/>
                <w:lang w:val="en-US"/>
              </w:rPr>
            </w:pPr>
            <w:r w:rsidRPr="00B65973">
              <w:rPr>
                <w:color w:val="000000"/>
                <w:szCs w:val="24"/>
                <w:lang w:val="en-US"/>
              </w:rPr>
              <w:t>0.000</w:t>
            </w:r>
          </w:p>
        </w:tc>
        <w:tc>
          <w:tcPr>
            <w:tcW w:w="477" w:type="pct"/>
            <w:hideMark/>
          </w:tcPr>
          <w:p w14:paraId="3C892D47" w14:textId="77777777" w:rsidR="00366466" w:rsidRPr="00B65973" w:rsidRDefault="00366466" w:rsidP="00117C75">
            <w:pPr>
              <w:pStyle w:val="Table"/>
              <w:jc w:val="right"/>
              <w:rPr>
                <w:color w:val="000000"/>
                <w:szCs w:val="24"/>
                <w:lang w:val="en-US"/>
              </w:rPr>
            </w:pPr>
            <w:r w:rsidRPr="00B65973">
              <w:rPr>
                <w:color w:val="000000"/>
                <w:szCs w:val="24"/>
                <w:lang w:val="en-US"/>
              </w:rPr>
              <w:t>0.631</w:t>
            </w:r>
          </w:p>
        </w:tc>
        <w:tc>
          <w:tcPr>
            <w:tcW w:w="477" w:type="pct"/>
            <w:hideMark/>
          </w:tcPr>
          <w:p w14:paraId="759AC971" w14:textId="77777777" w:rsidR="00366466" w:rsidRPr="00B65973" w:rsidRDefault="00366466" w:rsidP="00117C75">
            <w:pPr>
              <w:pStyle w:val="Table"/>
              <w:jc w:val="right"/>
              <w:rPr>
                <w:color w:val="000000"/>
                <w:szCs w:val="24"/>
                <w:lang w:val="en-US"/>
              </w:rPr>
            </w:pPr>
            <w:r w:rsidRPr="00B65973">
              <w:rPr>
                <w:color w:val="000000"/>
                <w:szCs w:val="24"/>
                <w:lang w:val="en-US"/>
              </w:rPr>
              <w:t>4.430</w:t>
            </w:r>
          </w:p>
        </w:tc>
        <w:tc>
          <w:tcPr>
            <w:tcW w:w="604" w:type="pct"/>
            <w:hideMark/>
          </w:tcPr>
          <w:p w14:paraId="4E2EED49" w14:textId="77777777" w:rsidR="00366466" w:rsidRPr="00B65973" w:rsidRDefault="00366466" w:rsidP="00117C75">
            <w:pPr>
              <w:pStyle w:val="Table"/>
              <w:jc w:val="right"/>
              <w:rPr>
                <w:color w:val="000000"/>
                <w:szCs w:val="24"/>
                <w:lang w:val="en-US"/>
              </w:rPr>
            </w:pPr>
            <w:r w:rsidRPr="00B65973">
              <w:rPr>
                <w:color w:val="000000"/>
                <w:szCs w:val="24"/>
                <w:lang w:val="en-US"/>
              </w:rPr>
              <w:t>41.743</w:t>
            </w:r>
          </w:p>
        </w:tc>
      </w:tr>
      <w:tr w:rsidR="00366466" w:rsidRPr="00B65973" w14:paraId="1D86C9BA" w14:textId="77777777" w:rsidTr="007F6810">
        <w:trPr>
          <w:tblCellSpacing w:w="15" w:type="dxa"/>
        </w:trPr>
        <w:tc>
          <w:tcPr>
            <w:tcW w:w="1842" w:type="pct"/>
            <w:tcBorders>
              <w:bottom w:val="single" w:sz="4" w:space="0" w:color="auto"/>
            </w:tcBorders>
            <w:hideMark/>
          </w:tcPr>
          <w:p w14:paraId="54F698D1" w14:textId="77777777" w:rsidR="00366466" w:rsidRPr="00B65973" w:rsidRDefault="00366466" w:rsidP="005962BF">
            <w:pPr>
              <w:pStyle w:val="Table"/>
              <w:rPr>
                <w:szCs w:val="24"/>
                <w:lang w:val="en-US"/>
              </w:rPr>
            </w:pPr>
            <w:r w:rsidRPr="00B65973">
              <w:rPr>
                <w:szCs w:val="24"/>
                <w:lang w:val="en-US"/>
              </w:rPr>
              <w:t>Area, organic holdings (%)</w:t>
            </w:r>
          </w:p>
        </w:tc>
        <w:tc>
          <w:tcPr>
            <w:tcW w:w="231" w:type="pct"/>
            <w:tcBorders>
              <w:bottom w:val="single" w:sz="4" w:space="0" w:color="auto"/>
            </w:tcBorders>
            <w:hideMark/>
          </w:tcPr>
          <w:p w14:paraId="135179F2" w14:textId="77777777" w:rsidR="00366466" w:rsidRPr="00B65973" w:rsidRDefault="00366466" w:rsidP="00117C75">
            <w:pPr>
              <w:pStyle w:val="Table"/>
              <w:jc w:val="right"/>
              <w:rPr>
                <w:color w:val="000000"/>
                <w:szCs w:val="24"/>
                <w:lang w:val="en-US"/>
              </w:rPr>
            </w:pPr>
            <w:r w:rsidRPr="00B65973">
              <w:rPr>
                <w:color w:val="000000"/>
                <w:szCs w:val="24"/>
                <w:lang w:val="en-US"/>
              </w:rPr>
              <w:t>155</w:t>
            </w:r>
          </w:p>
        </w:tc>
        <w:tc>
          <w:tcPr>
            <w:tcW w:w="408" w:type="pct"/>
            <w:tcBorders>
              <w:bottom w:val="single" w:sz="4" w:space="0" w:color="auto"/>
            </w:tcBorders>
            <w:hideMark/>
          </w:tcPr>
          <w:p w14:paraId="37C00198" w14:textId="77777777" w:rsidR="00366466" w:rsidRPr="00B65973" w:rsidRDefault="00366466" w:rsidP="00117C75">
            <w:pPr>
              <w:pStyle w:val="Table"/>
              <w:jc w:val="right"/>
              <w:rPr>
                <w:color w:val="000000"/>
                <w:szCs w:val="24"/>
                <w:lang w:val="en-US"/>
              </w:rPr>
            </w:pPr>
            <w:r w:rsidRPr="00B65973">
              <w:rPr>
                <w:color w:val="000000"/>
                <w:szCs w:val="24"/>
                <w:lang w:val="en-US"/>
              </w:rPr>
              <w:t>5.101</w:t>
            </w:r>
          </w:p>
        </w:tc>
        <w:tc>
          <w:tcPr>
            <w:tcW w:w="479" w:type="pct"/>
            <w:tcBorders>
              <w:bottom w:val="single" w:sz="4" w:space="0" w:color="auto"/>
            </w:tcBorders>
            <w:hideMark/>
          </w:tcPr>
          <w:p w14:paraId="5C0A0566" w14:textId="77777777" w:rsidR="00366466" w:rsidRPr="00B65973" w:rsidRDefault="00366466" w:rsidP="00117C75">
            <w:pPr>
              <w:pStyle w:val="Table"/>
              <w:jc w:val="right"/>
              <w:rPr>
                <w:color w:val="000000"/>
                <w:szCs w:val="24"/>
                <w:lang w:val="en-US"/>
              </w:rPr>
            </w:pPr>
            <w:r w:rsidRPr="00B65973">
              <w:rPr>
                <w:color w:val="000000"/>
                <w:szCs w:val="24"/>
                <w:lang w:val="en-US"/>
              </w:rPr>
              <w:t>6.687</w:t>
            </w:r>
          </w:p>
        </w:tc>
        <w:tc>
          <w:tcPr>
            <w:tcW w:w="338" w:type="pct"/>
            <w:tcBorders>
              <w:bottom w:val="single" w:sz="4" w:space="0" w:color="auto"/>
            </w:tcBorders>
            <w:hideMark/>
          </w:tcPr>
          <w:p w14:paraId="077E0A73" w14:textId="77777777" w:rsidR="00366466" w:rsidRPr="00B65973" w:rsidRDefault="00366466" w:rsidP="00117C75">
            <w:pPr>
              <w:pStyle w:val="Table"/>
              <w:jc w:val="right"/>
              <w:rPr>
                <w:color w:val="000000"/>
                <w:szCs w:val="24"/>
                <w:lang w:val="en-US"/>
              </w:rPr>
            </w:pPr>
            <w:r w:rsidRPr="00B65973">
              <w:rPr>
                <w:color w:val="000000"/>
                <w:szCs w:val="24"/>
                <w:lang w:val="en-US"/>
              </w:rPr>
              <w:t>0.000</w:t>
            </w:r>
          </w:p>
        </w:tc>
        <w:tc>
          <w:tcPr>
            <w:tcW w:w="477" w:type="pct"/>
            <w:tcBorders>
              <w:bottom w:val="single" w:sz="4" w:space="0" w:color="auto"/>
            </w:tcBorders>
            <w:hideMark/>
          </w:tcPr>
          <w:p w14:paraId="0963A2F1" w14:textId="77777777" w:rsidR="00366466" w:rsidRPr="00B65973" w:rsidRDefault="00366466" w:rsidP="00117C75">
            <w:pPr>
              <w:pStyle w:val="Table"/>
              <w:jc w:val="right"/>
              <w:rPr>
                <w:color w:val="000000"/>
                <w:szCs w:val="24"/>
                <w:lang w:val="en-US"/>
              </w:rPr>
            </w:pPr>
            <w:r w:rsidRPr="00B65973">
              <w:rPr>
                <w:color w:val="000000"/>
                <w:szCs w:val="24"/>
                <w:lang w:val="en-US"/>
              </w:rPr>
              <w:t>0.610</w:t>
            </w:r>
          </w:p>
        </w:tc>
        <w:tc>
          <w:tcPr>
            <w:tcW w:w="477" w:type="pct"/>
            <w:tcBorders>
              <w:bottom w:val="single" w:sz="4" w:space="0" w:color="auto"/>
            </w:tcBorders>
            <w:hideMark/>
          </w:tcPr>
          <w:p w14:paraId="4E6E9DC3" w14:textId="77777777" w:rsidR="00366466" w:rsidRPr="00B65973" w:rsidRDefault="00366466" w:rsidP="00117C75">
            <w:pPr>
              <w:pStyle w:val="Table"/>
              <w:jc w:val="right"/>
              <w:rPr>
                <w:color w:val="000000"/>
                <w:szCs w:val="24"/>
                <w:lang w:val="en-US"/>
              </w:rPr>
            </w:pPr>
            <w:r w:rsidRPr="00B65973">
              <w:rPr>
                <w:color w:val="000000"/>
                <w:szCs w:val="24"/>
                <w:lang w:val="en-US"/>
              </w:rPr>
              <w:t>7.066</w:t>
            </w:r>
          </w:p>
        </w:tc>
        <w:tc>
          <w:tcPr>
            <w:tcW w:w="604" w:type="pct"/>
            <w:tcBorders>
              <w:bottom w:val="single" w:sz="4" w:space="0" w:color="auto"/>
            </w:tcBorders>
            <w:hideMark/>
          </w:tcPr>
          <w:p w14:paraId="04A7341C" w14:textId="77777777" w:rsidR="00366466" w:rsidRPr="00B65973" w:rsidRDefault="00366466" w:rsidP="00117C75">
            <w:pPr>
              <w:pStyle w:val="Table"/>
              <w:jc w:val="right"/>
              <w:rPr>
                <w:color w:val="000000"/>
                <w:szCs w:val="24"/>
                <w:lang w:val="en-US"/>
              </w:rPr>
            </w:pPr>
            <w:r w:rsidRPr="00B65973">
              <w:rPr>
                <w:color w:val="000000"/>
                <w:szCs w:val="24"/>
                <w:lang w:val="en-US"/>
              </w:rPr>
              <w:t>40.737</w:t>
            </w:r>
          </w:p>
        </w:tc>
      </w:tr>
    </w:tbl>
    <w:p w14:paraId="3DC6C28E" w14:textId="77777777" w:rsidR="002716B0" w:rsidRDefault="002716B0" w:rsidP="007F6810">
      <w:pPr>
        <w:pStyle w:val="Pealdis"/>
        <w:keepNext/>
      </w:pPr>
    </w:p>
    <w:p w14:paraId="052165B8" w14:textId="77777777" w:rsidR="002716B0" w:rsidRDefault="002716B0">
      <w:pPr>
        <w:spacing w:after="0"/>
        <w:jc w:val="left"/>
        <w:rPr>
          <w:iCs/>
          <w:szCs w:val="18"/>
        </w:rPr>
      </w:pPr>
      <w:r>
        <w:br w:type="page"/>
      </w:r>
    </w:p>
    <w:p w14:paraId="56F596D9" w14:textId="0D22A505" w:rsidR="007F6810" w:rsidRPr="00B65973" w:rsidRDefault="007F6810" w:rsidP="007F6810">
      <w:pPr>
        <w:pStyle w:val="Pealdis"/>
        <w:keepNext/>
      </w:pPr>
      <w:r w:rsidRPr="00B65973">
        <w:lastRenderedPageBreak/>
        <w:t xml:space="preserve">Table A2. Summary statistics for the variables used for the calculation of correlations in </w:t>
      </w:r>
      <w:r w:rsidR="008D786F" w:rsidRPr="00B65973">
        <w:t>table 2.</w:t>
      </w:r>
      <w:r w:rsidR="00294EA2">
        <w:t xml:space="preserve"> Payments are represented as millions of euros.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5"/>
        <w:gridCol w:w="420"/>
        <w:gridCol w:w="720"/>
        <w:gridCol w:w="840"/>
        <w:gridCol w:w="600"/>
        <w:gridCol w:w="834"/>
        <w:gridCol w:w="834"/>
        <w:gridCol w:w="1403"/>
      </w:tblGrid>
      <w:tr w:rsidR="00117C75" w:rsidRPr="00B65973" w14:paraId="36772C0C" w14:textId="77777777" w:rsidTr="008B07DE">
        <w:trPr>
          <w:tblCellSpacing w:w="15" w:type="dxa"/>
        </w:trPr>
        <w:tc>
          <w:tcPr>
            <w:tcW w:w="4973" w:type="pct"/>
            <w:gridSpan w:val="8"/>
            <w:tcBorders>
              <w:top w:val="nil"/>
              <w:left w:val="nil"/>
              <w:bottom w:val="nil"/>
              <w:right w:val="nil"/>
            </w:tcBorders>
            <w:vAlign w:val="center"/>
            <w:hideMark/>
          </w:tcPr>
          <w:p w14:paraId="26A8D81A" w14:textId="77777777" w:rsidR="00117C75" w:rsidRPr="00B65973" w:rsidRDefault="00117C75" w:rsidP="00117C75">
            <w:pPr>
              <w:spacing w:after="0"/>
              <w:jc w:val="center"/>
              <w:rPr>
                <w:lang w:eastAsia="et-EE"/>
              </w:rPr>
            </w:pPr>
            <w:r w:rsidRPr="00B65973">
              <w:rPr>
                <w:b/>
                <w:bCs/>
                <w:lang w:eastAsia="et-EE"/>
              </w:rPr>
              <w:t>2007</w:t>
            </w:r>
          </w:p>
        </w:tc>
      </w:tr>
      <w:tr w:rsidR="00117C75" w:rsidRPr="00B65973" w14:paraId="2C74CE98" w14:textId="77777777" w:rsidTr="008B07DE">
        <w:trPr>
          <w:tblCellSpacing w:w="15" w:type="dxa"/>
        </w:trPr>
        <w:tc>
          <w:tcPr>
            <w:tcW w:w="4973" w:type="pct"/>
            <w:gridSpan w:val="8"/>
            <w:tcBorders>
              <w:bottom w:val="single" w:sz="6" w:space="0" w:color="000000"/>
            </w:tcBorders>
            <w:vAlign w:val="center"/>
            <w:hideMark/>
          </w:tcPr>
          <w:p w14:paraId="14E19098" w14:textId="77777777" w:rsidR="00117C75" w:rsidRPr="00B65973" w:rsidRDefault="00117C75" w:rsidP="00117C75">
            <w:pPr>
              <w:spacing w:after="0"/>
              <w:jc w:val="center"/>
              <w:rPr>
                <w:lang w:eastAsia="et-EE"/>
              </w:rPr>
            </w:pPr>
          </w:p>
        </w:tc>
      </w:tr>
      <w:tr w:rsidR="00117C75" w:rsidRPr="00B65973" w14:paraId="4F90F034" w14:textId="77777777" w:rsidTr="008B07DE">
        <w:trPr>
          <w:tblCellSpacing w:w="15" w:type="dxa"/>
        </w:trPr>
        <w:tc>
          <w:tcPr>
            <w:tcW w:w="2034" w:type="pct"/>
            <w:vAlign w:val="center"/>
            <w:hideMark/>
          </w:tcPr>
          <w:p w14:paraId="1826599D" w14:textId="77777777" w:rsidR="00117C75" w:rsidRPr="00B65973" w:rsidRDefault="00117C75" w:rsidP="00117C75">
            <w:pPr>
              <w:spacing w:after="0"/>
              <w:rPr>
                <w:lang w:eastAsia="et-EE"/>
              </w:rPr>
            </w:pPr>
            <w:r w:rsidRPr="00B65973">
              <w:rPr>
                <w:lang w:eastAsia="et-EE"/>
              </w:rPr>
              <w:t>Statistic</w:t>
            </w:r>
          </w:p>
        </w:tc>
        <w:tc>
          <w:tcPr>
            <w:tcW w:w="209" w:type="pct"/>
            <w:vAlign w:val="center"/>
            <w:hideMark/>
          </w:tcPr>
          <w:p w14:paraId="12489EF3" w14:textId="77777777" w:rsidR="00117C75" w:rsidRPr="00B65973" w:rsidRDefault="00117C75" w:rsidP="00117C75">
            <w:pPr>
              <w:spacing w:after="0"/>
              <w:jc w:val="center"/>
              <w:rPr>
                <w:lang w:eastAsia="et-EE"/>
              </w:rPr>
            </w:pPr>
            <w:r w:rsidRPr="00B65973">
              <w:rPr>
                <w:lang w:eastAsia="et-EE"/>
              </w:rPr>
              <w:t>N</w:t>
            </w:r>
          </w:p>
        </w:tc>
        <w:tc>
          <w:tcPr>
            <w:tcW w:w="371" w:type="pct"/>
            <w:vAlign w:val="center"/>
            <w:hideMark/>
          </w:tcPr>
          <w:p w14:paraId="07068BA0" w14:textId="77777777" w:rsidR="00117C75" w:rsidRPr="00B65973" w:rsidRDefault="00117C75" w:rsidP="00117C75">
            <w:pPr>
              <w:spacing w:after="0"/>
              <w:jc w:val="center"/>
              <w:rPr>
                <w:lang w:eastAsia="et-EE"/>
              </w:rPr>
            </w:pPr>
            <w:r w:rsidRPr="00B65973">
              <w:rPr>
                <w:lang w:eastAsia="et-EE"/>
              </w:rPr>
              <w:t>Mean</w:t>
            </w:r>
          </w:p>
        </w:tc>
        <w:tc>
          <w:tcPr>
            <w:tcW w:w="435" w:type="pct"/>
            <w:vAlign w:val="center"/>
            <w:hideMark/>
          </w:tcPr>
          <w:p w14:paraId="21272735" w14:textId="77777777" w:rsidR="00117C75" w:rsidRPr="00B65973" w:rsidRDefault="00117C75" w:rsidP="00117C75">
            <w:pPr>
              <w:spacing w:after="0"/>
              <w:jc w:val="center"/>
              <w:rPr>
                <w:lang w:eastAsia="et-EE"/>
              </w:rPr>
            </w:pPr>
            <w:r w:rsidRPr="00B65973">
              <w:rPr>
                <w:lang w:eastAsia="et-EE"/>
              </w:rPr>
              <w:t>St. Dev.</w:t>
            </w:r>
          </w:p>
        </w:tc>
        <w:tc>
          <w:tcPr>
            <w:tcW w:w="306" w:type="pct"/>
            <w:vAlign w:val="center"/>
            <w:hideMark/>
          </w:tcPr>
          <w:p w14:paraId="7617EAED" w14:textId="77777777" w:rsidR="00117C75" w:rsidRPr="00B65973" w:rsidRDefault="00117C75" w:rsidP="00117C75">
            <w:pPr>
              <w:spacing w:after="0"/>
              <w:jc w:val="center"/>
              <w:rPr>
                <w:lang w:eastAsia="et-EE"/>
              </w:rPr>
            </w:pPr>
            <w:r w:rsidRPr="00B65973">
              <w:rPr>
                <w:lang w:eastAsia="et-EE"/>
              </w:rPr>
              <w:t>Min</w:t>
            </w:r>
          </w:p>
        </w:tc>
        <w:tc>
          <w:tcPr>
            <w:tcW w:w="432" w:type="pct"/>
            <w:vAlign w:val="center"/>
            <w:hideMark/>
          </w:tcPr>
          <w:p w14:paraId="0E9C7BAA" w14:textId="77777777" w:rsidR="00117C75" w:rsidRPr="00B65973" w:rsidRDefault="00117C75" w:rsidP="00117C75">
            <w:pPr>
              <w:spacing w:after="0"/>
              <w:jc w:val="center"/>
              <w:rPr>
                <w:lang w:eastAsia="et-EE"/>
              </w:rPr>
            </w:pPr>
            <w:proofErr w:type="spellStart"/>
            <w:r w:rsidRPr="00B65973">
              <w:rPr>
                <w:lang w:eastAsia="et-EE"/>
              </w:rPr>
              <w:t>Pctl</w:t>
            </w:r>
            <w:proofErr w:type="spellEnd"/>
            <w:r w:rsidRPr="00B65973">
              <w:rPr>
                <w:lang w:eastAsia="et-EE"/>
              </w:rPr>
              <w:t>(25)</w:t>
            </w:r>
          </w:p>
        </w:tc>
        <w:tc>
          <w:tcPr>
            <w:tcW w:w="432" w:type="pct"/>
            <w:vAlign w:val="center"/>
            <w:hideMark/>
          </w:tcPr>
          <w:p w14:paraId="2440DC16" w14:textId="77777777" w:rsidR="00117C75" w:rsidRPr="00B65973" w:rsidRDefault="00117C75" w:rsidP="00117C75">
            <w:pPr>
              <w:spacing w:after="0"/>
              <w:jc w:val="center"/>
              <w:rPr>
                <w:lang w:eastAsia="et-EE"/>
              </w:rPr>
            </w:pPr>
            <w:proofErr w:type="spellStart"/>
            <w:r w:rsidRPr="00B65973">
              <w:rPr>
                <w:lang w:eastAsia="et-EE"/>
              </w:rPr>
              <w:t>Pctl</w:t>
            </w:r>
            <w:proofErr w:type="spellEnd"/>
            <w:r w:rsidRPr="00B65973">
              <w:rPr>
                <w:lang w:eastAsia="et-EE"/>
              </w:rPr>
              <w:t>(75)</w:t>
            </w:r>
          </w:p>
        </w:tc>
        <w:tc>
          <w:tcPr>
            <w:tcW w:w="658" w:type="pct"/>
            <w:vAlign w:val="center"/>
            <w:hideMark/>
          </w:tcPr>
          <w:p w14:paraId="6747FBBA" w14:textId="77777777" w:rsidR="00117C75" w:rsidRPr="00B65973" w:rsidRDefault="00117C75" w:rsidP="00117C75">
            <w:pPr>
              <w:spacing w:after="0"/>
              <w:jc w:val="center"/>
              <w:rPr>
                <w:lang w:eastAsia="et-EE"/>
              </w:rPr>
            </w:pPr>
            <w:r w:rsidRPr="00B65973">
              <w:rPr>
                <w:lang w:eastAsia="et-EE"/>
              </w:rPr>
              <w:t>Max</w:t>
            </w:r>
          </w:p>
        </w:tc>
      </w:tr>
      <w:tr w:rsidR="00117C75" w:rsidRPr="00B65973" w14:paraId="0A2290F3" w14:textId="77777777" w:rsidTr="008B07DE">
        <w:trPr>
          <w:tblCellSpacing w:w="15" w:type="dxa"/>
        </w:trPr>
        <w:tc>
          <w:tcPr>
            <w:tcW w:w="4973" w:type="pct"/>
            <w:gridSpan w:val="8"/>
            <w:tcBorders>
              <w:bottom w:val="single" w:sz="6" w:space="0" w:color="000000"/>
            </w:tcBorders>
            <w:vAlign w:val="center"/>
            <w:hideMark/>
          </w:tcPr>
          <w:p w14:paraId="065BC85F" w14:textId="77777777" w:rsidR="00117C75" w:rsidRPr="00B65973" w:rsidRDefault="00117C75" w:rsidP="00117C75">
            <w:pPr>
              <w:spacing w:after="0"/>
              <w:jc w:val="center"/>
              <w:rPr>
                <w:lang w:eastAsia="et-EE"/>
              </w:rPr>
            </w:pPr>
          </w:p>
        </w:tc>
      </w:tr>
      <w:tr w:rsidR="00117C75" w:rsidRPr="00B65973" w14:paraId="63811D6A" w14:textId="77777777" w:rsidTr="008B07DE">
        <w:trPr>
          <w:tblCellSpacing w:w="15" w:type="dxa"/>
        </w:trPr>
        <w:tc>
          <w:tcPr>
            <w:tcW w:w="2034" w:type="pct"/>
            <w:vAlign w:val="center"/>
            <w:hideMark/>
          </w:tcPr>
          <w:p w14:paraId="6B1F62BC" w14:textId="77777777" w:rsidR="00117C75" w:rsidRPr="00B65973" w:rsidRDefault="00117C75" w:rsidP="00117C75">
            <w:pPr>
              <w:pStyle w:val="Table"/>
              <w:rPr>
                <w:szCs w:val="24"/>
                <w:lang w:val="en-US"/>
              </w:rPr>
            </w:pPr>
            <w:r w:rsidRPr="00B65973">
              <w:rPr>
                <w:szCs w:val="24"/>
                <w:lang w:val="en-US"/>
              </w:rPr>
              <w:t>EAFRD</w:t>
            </w:r>
          </w:p>
        </w:tc>
        <w:tc>
          <w:tcPr>
            <w:tcW w:w="209" w:type="pct"/>
            <w:hideMark/>
          </w:tcPr>
          <w:p w14:paraId="2E1BC9CC" w14:textId="77777777" w:rsidR="00117C75" w:rsidRPr="00B65973" w:rsidRDefault="00117C75" w:rsidP="00117C75">
            <w:pPr>
              <w:spacing w:after="0"/>
              <w:jc w:val="right"/>
              <w:rPr>
                <w:lang w:eastAsia="et-EE"/>
              </w:rPr>
            </w:pPr>
            <w:r w:rsidRPr="00B65973">
              <w:rPr>
                <w:lang w:eastAsia="et-EE"/>
              </w:rPr>
              <w:t>270</w:t>
            </w:r>
          </w:p>
        </w:tc>
        <w:tc>
          <w:tcPr>
            <w:tcW w:w="371" w:type="pct"/>
            <w:hideMark/>
          </w:tcPr>
          <w:p w14:paraId="7B19688E" w14:textId="77777777" w:rsidR="00117C75" w:rsidRPr="00B65973" w:rsidRDefault="00117C75" w:rsidP="00117C75">
            <w:pPr>
              <w:spacing w:after="0"/>
              <w:jc w:val="right"/>
              <w:rPr>
                <w:lang w:eastAsia="et-EE"/>
              </w:rPr>
            </w:pPr>
            <w:r w:rsidRPr="00B65973">
              <w:rPr>
                <w:lang w:eastAsia="et-EE"/>
              </w:rPr>
              <w:t>34.078</w:t>
            </w:r>
          </w:p>
        </w:tc>
        <w:tc>
          <w:tcPr>
            <w:tcW w:w="435" w:type="pct"/>
            <w:hideMark/>
          </w:tcPr>
          <w:p w14:paraId="18CCFA70" w14:textId="77777777" w:rsidR="00117C75" w:rsidRPr="00B65973" w:rsidRDefault="00117C75" w:rsidP="00117C75">
            <w:pPr>
              <w:spacing w:after="0"/>
              <w:jc w:val="right"/>
              <w:rPr>
                <w:lang w:eastAsia="et-EE"/>
              </w:rPr>
            </w:pPr>
            <w:r w:rsidRPr="00B65973">
              <w:rPr>
                <w:lang w:eastAsia="et-EE"/>
              </w:rPr>
              <w:t>39.346</w:t>
            </w:r>
          </w:p>
        </w:tc>
        <w:tc>
          <w:tcPr>
            <w:tcW w:w="306" w:type="pct"/>
            <w:hideMark/>
          </w:tcPr>
          <w:p w14:paraId="0AB04F11" w14:textId="77777777" w:rsidR="00117C75" w:rsidRPr="00B65973" w:rsidRDefault="00117C75" w:rsidP="00117C75">
            <w:pPr>
              <w:spacing w:after="0"/>
              <w:jc w:val="right"/>
              <w:rPr>
                <w:lang w:eastAsia="et-EE"/>
              </w:rPr>
            </w:pPr>
            <w:r w:rsidRPr="00B65973">
              <w:rPr>
                <w:lang w:eastAsia="et-EE"/>
              </w:rPr>
              <w:t>0.102</w:t>
            </w:r>
          </w:p>
        </w:tc>
        <w:tc>
          <w:tcPr>
            <w:tcW w:w="432" w:type="pct"/>
            <w:hideMark/>
          </w:tcPr>
          <w:p w14:paraId="28D5F161" w14:textId="77777777" w:rsidR="00117C75" w:rsidRPr="00B65973" w:rsidRDefault="00117C75" w:rsidP="00117C75">
            <w:pPr>
              <w:spacing w:after="0"/>
              <w:jc w:val="right"/>
              <w:rPr>
                <w:lang w:eastAsia="et-EE"/>
              </w:rPr>
            </w:pPr>
            <w:r w:rsidRPr="00B65973">
              <w:rPr>
                <w:lang w:eastAsia="et-EE"/>
              </w:rPr>
              <w:t>8.971</w:t>
            </w:r>
          </w:p>
        </w:tc>
        <w:tc>
          <w:tcPr>
            <w:tcW w:w="432" w:type="pct"/>
            <w:hideMark/>
          </w:tcPr>
          <w:p w14:paraId="3299E48A" w14:textId="77777777" w:rsidR="00117C75" w:rsidRPr="00B65973" w:rsidRDefault="00117C75" w:rsidP="00117C75">
            <w:pPr>
              <w:spacing w:after="0"/>
              <w:jc w:val="right"/>
              <w:rPr>
                <w:lang w:eastAsia="et-EE"/>
              </w:rPr>
            </w:pPr>
            <w:r w:rsidRPr="00B65973">
              <w:rPr>
                <w:lang w:eastAsia="et-EE"/>
              </w:rPr>
              <w:t>43.070</w:t>
            </w:r>
          </w:p>
        </w:tc>
        <w:tc>
          <w:tcPr>
            <w:tcW w:w="658" w:type="pct"/>
            <w:hideMark/>
          </w:tcPr>
          <w:p w14:paraId="54E154DA" w14:textId="77777777" w:rsidR="00117C75" w:rsidRPr="00B65973" w:rsidRDefault="00117C75" w:rsidP="00117C75">
            <w:pPr>
              <w:spacing w:after="0"/>
              <w:jc w:val="right"/>
              <w:rPr>
                <w:lang w:eastAsia="et-EE"/>
              </w:rPr>
            </w:pPr>
            <w:r w:rsidRPr="00B65973">
              <w:rPr>
                <w:lang w:eastAsia="et-EE"/>
              </w:rPr>
              <w:t>228.875</w:t>
            </w:r>
          </w:p>
        </w:tc>
      </w:tr>
      <w:tr w:rsidR="008B07DE" w:rsidRPr="00B65973" w14:paraId="213E178A" w14:textId="77777777" w:rsidTr="008B07DE">
        <w:trPr>
          <w:tblCellSpacing w:w="15" w:type="dxa"/>
        </w:trPr>
        <w:tc>
          <w:tcPr>
            <w:tcW w:w="2034" w:type="pct"/>
            <w:vAlign w:val="center"/>
            <w:hideMark/>
          </w:tcPr>
          <w:p w14:paraId="6B524CC3" w14:textId="60417427" w:rsidR="008B07DE" w:rsidRPr="00B65973" w:rsidRDefault="008B07DE" w:rsidP="008B07DE">
            <w:pPr>
              <w:pStyle w:val="Table"/>
              <w:rPr>
                <w:szCs w:val="24"/>
                <w:lang w:val="en-US"/>
              </w:rPr>
            </w:pPr>
            <w:r>
              <w:rPr>
                <w:lang w:val="en-US"/>
              </w:rPr>
              <w:t>CF (</w:t>
            </w:r>
            <w:r w:rsidRPr="00B65973">
              <w:rPr>
                <w:lang w:val="en-US"/>
              </w:rPr>
              <w:t>Cohesion Fund</w:t>
            </w:r>
            <w:r>
              <w:rPr>
                <w:lang w:val="en-US"/>
              </w:rPr>
              <w:t>)</w:t>
            </w:r>
          </w:p>
        </w:tc>
        <w:tc>
          <w:tcPr>
            <w:tcW w:w="209" w:type="pct"/>
            <w:hideMark/>
          </w:tcPr>
          <w:p w14:paraId="4F57CC33" w14:textId="77777777" w:rsidR="008B07DE" w:rsidRPr="00B65973" w:rsidRDefault="008B07DE" w:rsidP="008B07DE">
            <w:pPr>
              <w:spacing w:after="0"/>
              <w:jc w:val="right"/>
              <w:rPr>
                <w:lang w:eastAsia="et-EE"/>
              </w:rPr>
            </w:pPr>
            <w:r w:rsidRPr="00B65973">
              <w:rPr>
                <w:lang w:eastAsia="et-EE"/>
              </w:rPr>
              <w:t>97</w:t>
            </w:r>
          </w:p>
        </w:tc>
        <w:tc>
          <w:tcPr>
            <w:tcW w:w="371" w:type="pct"/>
            <w:hideMark/>
          </w:tcPr>
          <w:p w14:paraId="7641A800" w14:textId="77777777" w:rsidR="008B07DE" w:rsidRPr="00B65973" w:rsidRDefault="008B07DE" w:rsidP="008B07DE">
            <w:pPr>
              <w:spacing w:after="0"/>
              <w:jc w:val="right"/>
              <w:rPr>
                <w:lang w:eastAsia="et-EE"/>
              </w:rPr>
            </w:pPr>
            <w:r w:rsidRPr="00B65973">
              <w:rPr>
                <w:lang w:eastAsia="et-EE"/>
              </w:rPr>
              <w:t>65.458</w:t>
            </w:r>
          </w:p>
        </w:tc>
        <w:tc>
          <w:tcPr>
            <w:tcW w:w="435" w:type="pct"/>
            <w:hideMark/>
          </w:tcPr>
          <w:p w14:paraId="4FD70248" w14:textId="77777777" w:rsidR="008B07DE" w:rsidRPr="00B65973" w:rsidRDefault="008B07DE" w:rsidP="008B07DE">
            <w:pPr>
              <w:spacing w:after="0"/>
              <w:jc w:val="right"/>
              <w:rPr>
                <w:lang w:eastAsia="et-EE"/>
              </w:rPr>
            </w:pPr>
            <w:r w:rsidRPr="00B65973">
              <w:rPr>
                <w:lang w:eastAsia="et-EE"/>
              </w:rPr>
              <w:t>60.991</w:t>
            </w:r>
          </w:p>
        </w:tc>
        <w:tc>
          <w:tcPr>
            <w:tcW w:w="306" w:type="pct"/>
            <w:hideMark/>
          </w:tcPr>
          <w:p w14:paraId="067F6EC8" w14:textId="77777777" w:rsidR="008B07DE" w:rsidRPr="00B65973" w:rsidRDefault="008B07DE" w:rsidP="008B07DE">
            <w:pPr>
              <w:spacing w:after="0"/>
              <w:jc w:val="right"/>
              <w:rPr>
                <w:lang w:eastAsia="et-EE"/>
              </w:rPr>
            </w:pPr>
            <w:r w:rsidRPr="00B65973">
              <w:rPr>
                <w:lang w:eastAsia="et-EE"/>
              </w:rPr>
              <w:t>3.794</w:t>
            </w:r>
          </w:p>
        </w:tc>
        <w:tc>
          <w:tcPr>
            <w:tcW w:w="432" w:type="pct"/>
            <w:hideMark/>
          </w:tcPr>
          <w:p w14:paraId="61C9B456" w14:textId="77777777" w:rsidR="008B07DE" w:rsidRPr="00B65973" w:rsidRDefault="008B07DE" w:rsidP="008B07DE">
            <w:pPr>
              <w:spacing w:after="0"/>
              <w:jc w:val="right"/>
              <w:rPr>
                <w:lang w:eastAsia="et-EE"/>
              </w:rPr>
            </w:pPr>
            <w:r w:rsidRPr="00B65973">
              <w:rPr>
                <w:lang w:eastAsia="et-EE"/>
              </w:rPr>
              <w:t>24.028</w:t>
            </w:r>
          </w:p>
        </w:tc>
        <w:tc>
          <w:tcPr>
            <w:tcW w:w="432" w:type="pct"/>
            <w:hideMark/>
          </w:tcPr>
          <w:p w14:paraId="1218449A" w14:textId="77777777" w:rsidR="008B07DE" w:rsidRPr="00B65973" w:rsidRDefault="008B07DE" w:rsidP="008B07DE">
            <w:pPr>
              <w:spacing w:after="0"/>
              <w:jc w:val="right"/>
              <w:rPr>
                <w:lang w:eastAsia="et-EE"/>
              </w:rPr>
            </w:pPr>
            <w:r w:rsidRPr="00B65973">
              <w:rPr>
                <w:lang w:eastAsia="et-EE"/>
              </w:rPr>
              <w:t>91.909</w:t>
            </w:r>
          </w:p>
        </w:tc>
        <w:tc>
          <w:tcPr>
            <w:tcW w:w="658" w:type="pct"/>
            <w:hideMark/>
          </w:tcPr>
          <w:p w14:paraId="480C7700" w14:textId="77777777" w:rsidR="008B07DE" w:rsidRPr="00B65973" w:rsidRDefault="008B07DE" w:rsidP="008B07DE">
            <w:pPr>
              <w:spacing w:after="0"/>
              <w:jc w:val="right"/>
              <w:rPr>
                <w:lang w:eastAsia="et-EE"/>
              </w:rPr>
            </w:pPr>
            <w:r w:rsidRPr="00B65973">
              <w:rPr>
                <w:lang w:eastAsia="et-EE"/>
              </w:rPr>
              <w:t>405.379</w:t>
            </w:r>
          </w:p>
        </w:tc>
      </w:tr>
      <w:tr w:rsidR="008B07DE" w:rsidRPr="00B65973" w14:paraId="3633EAC6" w14:textId="77777777" w:rsidTr="008B07DE">
        <w:trPr>
          <w:tblCellSpacing w:w="15" w:type="dxa"/>
        </w:trPr>
        <w:tc>
          <w:tcPr>
            <w:tcW w:w="2034" w:type="pct"/>
            <w:vAlign w:val="center"/>
            <w:hideMark/>
          </w:tcPr>
          <w:p w14:paraId="6619C91F" w14:textId="2E8A4001" w:rsidR="008B07DE" w:rsidRPr="00B65973" w:rsidRDefault="008B07DE" w:rsidP="008B07DE">
            <w:pPr>
              <w:pStyle w:val="Table"/>
              <w:rPr>
                <w:szCs w:val="24"/>
                <w:lang w:val="en-US"/>
              </w:rPr>
            </w:pPr>
            <w:r>
              <w:rPr>
                <w:lang w:val="en-US"/>
              </w:rPr>
              <w:t>ERDF (</w:t>
            </w:r>
            <w:r w:rsidRPr="00B65973">
              <w:rPr>
                <w:lang w:val="en-US"/>
              </w:rPr>
              <w:t>European Regional Development Fund</w:t>
            </w:r>
            <w:r>
              <w:rPr>
                <w:lang w:val="en-US"/>
              </w:rPr>
              <w:t>)</w:t>
            </w:r>
          </w:p>
        </w:tc>
        <w:tc>
          <w:tcPr>
            <w:tcW w:w="209" w:type="pct"/>
            <w:hideMark/>
          </w:tcPr>
          <w:p w14:paraId="064588C0" w14:textId="77777777" w:rsidR="008B07DE" w:rsidRPr="00B65973" w:rsidRDefault="008B07DE" w:rsidP="008B07DE">
            <w:pPr>
              <w:spacing w:after="0"/>
              <w:jc w:val="right"/>
              <w:rPr>
                <w:lang w:eastAsia="et-EE"/>
              </w:rPr>
            </w:pPr>
            <w:r w:rsidRPr="00B65973">
              <w:rPr>
                <w:lang w:eastAsia="et-EE"/>
              </w:rPr>
              <w:t>272</w:t>
            </w:r>
          </w:p>
        </w:tc>
        <w:tc>
          <w:tcPr>
            <w:tcW w:w="371" w:type="pct"/>
            <w:hideMark/>
          </w:tcPr>
          <w:p w14:paraId="349BE31A" w14:textId="77777777" w:rsidR="008B07DE" w:rsidRPr="00B65973" w:rsidRDefault="008B07DE" w:rsidP="008B07DE">
            <w:pPr>
              <w:spacing w:after="0"/>
              <w:jc w:val="right"/>
              <w:rPr>
                <w:lang w:eastAsia="et-EE"/>
              </w:rPr>
            </w:pPr>
            <w:r w:rsidRPr="00B65973">
              <w:rPr>
                <w:lang w:eastAsia="et-EE"/>
              </w:rPr>
              <w:t>76.990</w:t>
            </w:r>
          </w:p>
        </w:tc>
        <w:tc>
          <w:tcPr>
            <w:tcW w:w="435" w:type="pct"/>
            <w:hideMark/>
          </w:tcPr>
          <w:p w14:paraId="5B641C82" w14:textId="77777777" w:rsidR="008B07DE" w:rsidRPr="00B65973" w:rsidRDefault="008B07DE" w:rsidP="008B07DE">
            <w:pPr>
              <w:spacing w:after="0"/>
              <w:jc w:val="right"/>
              <w:rPr>
                <w:lang w:eastAsia="et-EE"/>
              </w:rPr>
            </w:pPr>
            <w:r w:rsidRPr="00B65973">
              <w:rPr>
                <w:lang w:eastAsia="et-EE"/>
              </w:rPr>
              <w:t>124.527</w:t>
            </w:r>
          </w:p>
        </w:tc>
        <w:tc>
          <w:tcPr>
            <w:tcW w:w="306" w:type="pct"/>
            <w:hideMark/>
          </w:tcPr>
          <w:p w14:paraId="2AA68CAE" w14:textId="77777777" w:rsidR="008B07DE" w:rsidRPr="00B65973" w:rsidRDefault="008B07DE" w:rsidP="008B07DE">
            <w:pPr>
              <w:spacing w:after="0"/>
              <w:jc w:val="right"/>
              <w:rPr>
                <w:lang w:eastAsia="et-EE"/>
              </w:rPr>
            </w:pPr>
            <w:r w:rsidRPr="00B65973">
              <w:rPr>
                <w:lang w:eastAsia="et-EE"/>
              </w:rPr>
              <w:t>0.199</w:t>
            </w:r>
          </w:p>
        </w:tc>
        <w:tc>
          <w:tcPr>
            <w:tcW w:w="432" w:type="pct"/>
            <w:hideMark/>
          </w:tcPr>
          <w:p w14:paraId="526FC6CD" w14:textId="77777777" w:rsidR="008B07DE" w:rsidRPr="00B65973" w:rsidRDefault="008B07DE" w:rsidP="008B07DE">
            <w:pPr>
              <w:spacing w:after="0"/>
              <w:jc w:val="right"/>
              <w:rPr>
                <w:lang w:eastAsia="et-EE"/>
              </w:rPr>
            </w:pPr>
            <w:r w:rsidRPr="00B65973">
              <w:rPr>
                <w:lang w:eastAsia="et-EE"/>
              </w:rPr>
              <w:t>11.845</w:t>
            </w:r>
          </w:p>
        </w:tc>
        <w:tc>
          <w:tcPr>
            <w:tcW w:w="432" w:type="pct"/>
            <w:hideMark/>
          </w:tcPr>
          <w:p w14:paraId="252A8D47" w14:textId="77777777" w:rsidR="008B07DE" w:rsidRPr="00B65973" w:rsidRDefault="008B07DE" w:rsidP="008B07DE">
            <w:pPr>
              <w:spacing w:after="0"/>
              <w:jc w:val="right"/>
              <w:rPr>
                <w:lang w:eastAsia="et-EE"/>
              </w:rPr>
            </w:pPr>
            <w:r w:rsidRPr="00B65973">
              <w:rPr>
                <w:lang w:eastAsia="et-EE"/>
              </w:rPr>
              <w:t>84.478</w:t>
            </w:r>
          </w:p>
        </w:tc>
        <w:tc>
          <w:tcPr>
            <w:tcW w:w="658" w:type="pct"/>
            <w:hideMark/>
          </w:tcPr>
          <w:p w14:paraId="6C7A985C" w14:textId="77777777" w:rsidR="008B07DE" w:rsidRPr="00B65973" w:rsidRDefault="008B07DE" w:rsidP="008B07DE">
            <w:pPr>
              <w:spacing w:after="0"/>
              <w:jc w:val="right"/>
              <w:rPr>
                <w:lang w:eastAsia="et-EE"/>
              </w:rPr>
            </w:pPr>
            <w:r w:rsidRPr="00B65973">
              <w:rPr>
                <w:lang w:eastAsia="et-EE"/>
              </w:rPr>
              <w:t>863.442</w:t>
            </w:r>
          </w:p>
        </w:tc>
      </w:tr>
      <w:tr w:rsidR="008B07DE" w:rsidRPr="00B65973" w14:paraId="2D534B15" w14:textId="77777777" w:rsidTr="008B07DE">
        <w:trPr>
          <w:tblCellSpacing w:w="15" w:type="dxa"/>
        </w:trPr>
        <w:tc>
          <w:tcPr>
            <w:tcW w:w="2034" w:type="pct"/>
            <w:vAlign w:val="center"/>
            <w:hideMark/>
          </w:tcPr>
          <w:p w14:paraId="00C27065" w14:textId="37944855" w:rsidR="008B07DE" w:rsidRPr="00B65973" w:rsidRDefault="008B07DE" w:rsidP="008B07DE">
            <w:pPr>
              <w:pStyle w:val="Table"/>
              <w:rPr>
                <w:szCs w:val="24"/>
                <w:lang w:val="en-US"/>
              </w:rPr>
            </w:pPr>
            <w:r>
              <w:rPr>
                <w:lang w:val="en-US"/>
              </w:rPr>
              <w:t>ESF (</w:t>
            </w:r>
            <w:r w:rsidRPr="00B65973">
              <w:rPr>
                <w:lang w:val="en-US"/>
              </w:rPr>
              <w:t>European Social Fund</w:t>
            </w:r>
            <w:r>
              <w:rPr>
                <w:lang w:val="en-US"/>
              </w:rPr>
              <w:t>)</w:t>
            </w:r>
          </w:p>
        </w:tc>
        <w:tc>
          <w:tcPr>
            <w:tcW w:w="209" w:type="pct"/>
            <w:hideMark/>
          </w:tcPr>
          <w:p w14:paraId="3E5E8A97" w14:textId="77777777" w:rsidR="008B07DE" w:rsidRPr="00B65973" w:rsidRDefault="008B07DE" w:rsidP="008B07DE">
            <w:pPr>
              <w:spacing w:after="0"/>
              <w:jc w:val="right"/>
              <w:rPr>
                <w:lang w:eastAsia="et-EE"/>
              </w:rPr>
            </w:pPr>
            <w:r w:rsidRPr="00B65973">
              <w:rPr>
                <w:lang w:eastAsia="et-EE"/>
              </w:rPr>
              <w:t>272</w:t>
            </w:r>
          </w:p>
        </w:tc>
        <w:tc>
          <w:tcPr>
            <w:tcW w:w="371" w:type="pct"/>
            <w:hideMark/>
          </w:tcPr>
          <w:p w14:paraId="4BF789AA" w14:textId="77777777" w:rsidR="008B07DE" w:rsidRPr="00B65973" w:rsidRDefault="008B07DE" w:rsidP="008B07DE">
            <w:pPr>
              <w:spacing w:after="0"/>
              <w:jc w:val="right"/>
              <w:rPr>
                <w:lang w:eastAsia="et-EE"/>
              </w:rPr>
            </w:pPr>
            <w:r w:rsidRPr="00B65973">
              <w:rPr>
                <w:lang w:eastAsia="et-EE"/>
              </w:rPr>
              <w:t>41.087</w:t>
            </w:r>
          </w:p>
        </w:tc>
        <w:tc>
          <w:tcPr>
            <w:tcW w:w="435" w:type="pct"/>
            <w:hideMark/>
          </w:tcPr>
          <w:p w14:paraId="726916A5" w14:textId="77777777" w:rsidR="008B07DE" w:rsidRPr="00B65973" w:rsidRDefault="008B07DE" w:rsidP="008B07DE">
            <w:pPr>
              <w:spacing w:after="0"/>
              <w:jc w:val="right"/>
              <w:rPr>
                <w:lang w:eastAsia="et-EE"/>
              </w:rPr>
            </w:pPr>
            <w:r w:rsidRPr="00B65973">
              <w:rPr>
                <w:lang w:eastAsia="et-EE"/>
              </w:rPr>
              <w:t>41.025</w:t>
            </w:r>
          </w:p>
        </w:tc>
        <w:tc>
          <w:tcPr>
            <w:tcW w:w="306" w:type="pct"/>
            <w:hideMark/>
          </w:tcPr>
          <w:p w14:paraId="4496BA9E" w14:textId="77777777" w:rsidR="008B07DE" w:rsidRPr="00B65973" w:rsidRDefault="008B07DE" w:rsidP="008B07DE">
            <w:pPr>
              <w:spacing w:after="0"/>
              <w:jc w:val="right"/>
              <w:rPr>
                <w:lang w:eastAsia="et-EE"/>
              </w:rPr>
            </w:pPr>
            <w:r w:rsidRPr="00B65973">
              <w:rPr>
                <w:lang w:eastAsia="et-EE"/>
              </w:rPr>
              <w:t>0.163</w:t>
            </w:r>
          </w:p>
        </w:tc>
        <w:tc>
          <w:tcPr>
            <w:tcW w:w="432" w:type="pct"/>
            <w:hideMark/>
          </w:tcPr>
          <w:p w14:paraId="658210D8" w14:textId="77777777" w:rsidR="008B07DE" w:rsidRPr="00B65973" w:rsidRDefault="008B07DE" w:rsidP="008B07DE">
            <w:pPr>
              <w:spacing w:after="0"/>
              <w:jc w:val="right"/>
              <w:rPr>
                <w:lang w:eastAsia="et-EE"/>
              </w:rPr>
            </w:pPr>
            <w:r w:rsidRPr="00B65973">
              <w:rPr>
                <w:lang w:eastAsia="et-EE"/>
              </w:rPr>
              <w:t>17.376</w:t>
            </w:r>
          </w:p>
        </w:tc>
        <w:tc>
          <w:tcPr>
            <w:tcW w:w="432" w:type="pct"/>
            <w:hideMark/>
          </w:tcPr>
          <w:p w14:paraId="49CD1951" w14:textId="77777777" w:rsidR="008B07DE" w:rsidRPr="00B65973" w:rsidRDefault="008B07DE" w:rsidP="008B07DE">
            <w:pPr>
              <w:spacing w:after="0"/>
              <w:jc w:val="right"/>
              <w:rPr>
                <w:lang w:eastAsia="et-EE"/>
              </w:rPr>
            </w:pPr>
            <w:r w:rsidRPr="00B65973">
              <w:rPr>
                <w:lang w:eastAsia="et-EE"/>
              </w:rPr>
              <w:t>50.342</w:t>
            </w:r>
          </w:p>
        </w:tc>
        <w:tc>
          <w:tcPr>
            <w:tcW w:w="658" w:type="pct"/>
            <w:hideMark/>
          </w:tcPr>
          <w:p w14:paraId="5C511303" w14:textId="77777777" w:rsidR="008B07DE" w:rsidRPr="00B65973" w:rsidRDefault="008B07DE" w:rsidP="008B07DE">
            <w:pPr>
              <w:spacing w:after="0"/>
              <w:jc w:val="right"/>
              <w:rPr>
                <w:lang w:eastAsia="et-EE"/>
              </w:rPr>
            </w:pPr>
            <w:r w:rsidRPr="00B65973">
              <w:rPr>
                <w:lang w:eastAsia="et-EE"/>
              </w:rPr>
              <w:t>396.887</w:t>
            </w:r>
          </w:p>
        </w:tc>
      </w:tr>
      <w:tr w:rsidR="00117C75" w:rsidRPr="00B65973" w14:paraId="590ED8F4" w14:textId="77777777" w:rsidTr="008B07DE">
        <w:trPr>
          <w:tblCellSpacing w:w="15" w:type="dxa"/>
        </w:trPr>
        <w:tc>
          <w:tcPr>
            <w:tcW w:w="4973" w:type="pct"/>
            <w:gridSpan w:val="8"/>
            <w:tcBorders>
              <w:bottom w:val="single" w:sz="6" w:space="0" w:color="000000"/>
            </w:tcBorders>
            <w:vAlign w:val="center"/>
            <w:hideMark/>
          </w:tcPr>
          <w:p w14:paraId="6F743B2B" w14:textId="77777777" w:rsidR="00117C75" w:rsidRPr="00B65973" w:rsidRDefault="00117C75" w:rsidP="00117C75">
            <w:pPr>
              <w:spacing w:after="0"/>
              <w:jc w:val="center"/>
              <w:rPr>
                <w:lang w:eastAsia="et-EE"/>
              </w:rPr>
            </w:pPr>
          </w:p>
        </w:tc>
      </w:tr>
    </w:tbl>
    <w:p w14:paraId="29A5FE0E" w14:textId="77777777" w:rsidR="00117C75" w:rsidRPr="00B65973" w:rsidRDefault="00117C75" w:rsidP="00117C75">
      <w:pPr>
        <w:spacing w:after="0"/>
        <w:rPr>
          <w:vanish/>
          <w:lang w:eastAsia="et-EE"/>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63"/>
        <w:gridCol w:w="423"/>
        <w:gridCol w:w="728"/>
        <w:gridCol w:w="847"/>
        <w:gridCol w:w="606"/>
        <w:gridCol w:w="841"/>
        <w:gridCol w:w="847"/>
        <w:gridCol w:w="1251"/>
      </w:tblGrid>
      <w:tr w:rsidR="00117C75" w:rsidRPr="00B65973" w14:paraId="67456636" w14:textId="77777777" w:rsidTr="008B07DE">
        <w:trPr>
          <w:tblCellSpacing w:w="15" w:type="dxa"/>
        </w:trPr>
        <w:tc>
          <w:tcPr>
            <w:tcW w:w="4973" w:type="pct"/>
            <w:gridSpan w:val="8"/>
            <w:tcBorders>
              <w:top w:val="nil"/>
              <w:left w:val="nil"/>
              <w:bottom w:val="nil"/>
              <w:right w:val="nil"/>
            </w:tcBorders>
            <w:vAlign w:val="center"/>
            <w:hideMark/>
          </w:tcPr>
          <w:p w14:paraId="60102AC3" w14:textId="77777777" w:rsidR="00117C75" w:rsidRPr="00B65973" w:rsidRDefault="00117C75" w:rsidP="00117C75">
            <w:pPr>
              <w:spacing w:after="0"/>
              <w:jc w:val="center"/>
              <w:rPr>
                <w:lang w:eastAsia="et-EE"/>
              </w:rPr>
            </w:pPr>
            <w:r w:rsidRPr="00B65973">
              <w:rPr>
                <w:b/>
                <w:bCs/>
                <w:lang w:eastAsia="et-EE"/>
              </w:rPr>
              <w:t>2010</w:t>
            </w:r>
          </w:p>
        </w:tc>
      </w:tr>
      <w:tr w:rsidR="00117C75" w:rsidRPr="00B65973" w14:paraId="7AF749E7" w14:textId="77777777" w:rsidTr="008B07DE">
        <w:trPr>
          <w:tblCellSpacing w:w="15" w:type="dxa"/>
        </w:trPr>
        <w:tc>
          <w:tcPr>
            <w:tcW w:w="4973" w:type="pct"/>
            <w:gridSpan w:val="8"/>
            <w:tcBorders>
              <w:bottom w:val="single" w:sz="6" w:space="0" w:color="000000"/>
            </w:tcBorders>
            <w:vAlign w:val="center"/>
            <w:hideMark/>
          </w:tcPr>
          <w:p w14:paraId="6C6F0A9E" w14:textId="77777777" w:rsidR="00117C75" w:rsidRPr="00B65973" w:rsidRDefault="00117C75" w:rsidP="00117C75">
            <w:pPr>
              <w:spacing w:after="0"/>
              <w:jc w:val="center"/>
              <w:rPr>
                <w:lang w:eastAsia="et-EE"/>
              </w:rPr>
            </w:pPr>
          </w:p>
        </w:tc>
      </w:tr>
      <w:tr w:rsidR="00117C75" w:rsidRPr="00B65973" w14:paraId="343FCD92" w14:textId="77777777" w:rsidTr="008B07DE">
        <w:trPr>
          <w:tblCellSpacing w:w="15" w:type="dxa"/>
        </w:trPr>
        <w:tc>
          <w:tcPr>
            <w:tcW w:w="2078" w:type="pct"/>
            <w:vAlign w:val="center"/>
            <w:hideMark/>
          </w:tcPr>
          <w:p w14:paraId="7BDB2284" w14:textId="77777777" w:rsidR="00117C75" w:rsidRPr="00B65973" w:rsidRDefault="00117C75" w:rsidP="00117C75">
            <w:pPr>
              <w:spacing w:after="0"/>
              <w:rPr>
                <w:lang w:eastAsia="et-EE"/>
              </w:rPr>
            </w:pPr>
            <w:r w:rsidRPr="00B65973">
              <w:rPr>
                <w:lang w:eastAsia="et-EE"/>
              </w:rPr>
              <w:t>Statistic</w:t>
            </w:r>
          </w:p>
        </w:tc>
        <w:tc>
          <w:tcPr>
            <w:tcW w:w="214" w:type="pct"/>
            <w:vAlign w:val="center"/>
            <w:hideMark/>
          </w:tcPr>
          <w:p w14:paraId="20C82F0C" w14:textId="77777777" w:rsidR="00117C75" w:rsidRPr="00B65973" w:rsidRDefault="00117C75" w:rsidP="00117C75">
            <w:pPr>
              <w:spacing w:after="0"/>
              <w:jc w:val="center"/>
              <w:rPr>
                <w:lang w:eastAsia="et-EE"/>
              </w:rPr>
            </w:pPr>
            <w:r w:rsidRPr="00B65973">
              <w:rPr>
                <w:lang w:eastAsia="et-EE"/>
              </w:rPr>
              <w:t>N</w:t>
            </w:r>
          </w:p>
        </w:tc>
        <w:tc>
          <w:tcPr>
            <w:tcW w:w="380" w:type="pct"/>
            <w:vAlign w:val="center"/>
            <w:hideMark/>
          </w:tcPr>
          <w:p w14:paraId="3AC19409" w14:textId="77777777" w:rsidR="00117C75" w:rsidRPr="00B65973" w:rsidRDefault="00117C75" w:rsidP="00117C75">
            <w:pPr>
              <w:spacing w:after="0"/>
              <w:jc w:val="center"/>
              <w:rPr>
                <w:lang w:eastAsia="et-EE"/>
              </w:rPr>
            </w:pPr>
            <w:r w:rsidRPr="00B65973">
              <w:rPr>
                <w:lang w:eastAsia="et-EE"/>
              </w:rPr>
              <w:t>Mean</w:t>
            </w:r>
          </w:p>
        </w:tc>
        <w:tc>
          <w:tcPr>
            <w:tcW w:w="445" w:type="pct"/>
            <w:vAlign w:val="center"/>
            <w:hideMark/>
          </w:tcPr>
          <w:p w14:paraId="2F58EB59" w14:textId="77777777" w:rsidR="00117C75" w:rsidRPr="00B65973" w:rsidRDefault="00117C75" w:rsidP="00117C75">
            <w:pPr>
              <w:spacing w:after="0"/>
              <w:jc w:val="center"/>
              <w:rPr>
                <w:lang w:eastAsia="et-EE"/>
              </w:rPr>
            </w:pPr>
            <w:r w:rsidRPr="00B65973">
              <w:rPr>
                <w:lang w:eastAsia="et-EE"/>
              </w:rPr>
              <w:t>St. Dev.</w:t>
            </w:r>
          </w:p>
        </w:tc>
        <w:tc>
          <w:tcPr>
            <w:tcW w:w="313" w:type="pct"/>
            <w:vAlign w:val="center"/>
            <w:hideMark/>
          </w:tcPr>
          <w:p w14:paraId="01497327" w14:textId="77777777" w:rsidR="00117C75" w:rsidRPr="00B65973" w:rsidRDefault="00117C75" w:rsidP="00117C75">
            <w:pPr>
              <w:spacing w:after="0"/>
              <w:jc w:val="center"/>
              <w:rPr>
                <w:lang w:eastAsia="et-EE"/>
              </w:rPr>
            </w:pPr>
            <w:r w:rsidRPr="00B65973">
              <w:rPr>
                <w:lang w:eastAsia="et-EE"/>
              </w:rPr>
              <w:t>Min</w:t>
            </w:r>
          </w:p>
        </w:tc>
        <w:tc>
          <w:tcPr>
            <w:tcW w:w="442" w:type="pct"/>
            <w:vAlign w:val="center"/>
            <w:hideMark/>
          </w:tcPr>
          <w:p w14:paraId="79D34D05" w14:textId="77777777" w:rsidR="00117C75" w:rsidRPr="00B65973" w:rsidRDefault="00117C75" w:rsidP="00117C75">
            <w:pPr>
              <w:spacing w:after="0"/>
              <w:jc w:val="center"/>
              <w:rPr>
                <w:lang w:eastAsia="et-EE"/>
              </w:rPr>
            </w:pPr>
            <w:proofErr w:type="spellStart"/>
            <w:r w:rsidRPr="00B65973">
              <w:rPr>
                <w:lang w:eastAsia="et-EE"/>
              </w:rPr>
              <w:t>Pctl</w:t>
            </w:r>
            <w:proofErr w:type="spellEnd"/>
            <w:r w:rsidRPr="00B65973">
              <w:rPr>
                <w:lang w:eastAsia="et-EE"/>
              </w:rPr>
              <w:t>(25)</w:t>
            </w:r>
          </w:p>
        </w:tc>
        <w:tc>
          <w:tcPr>
            <w:tcW w:w="445" w:type="pct"/>
            <w:vAlign w:val="center"/>
            <w:hideMark/>
          </w:tcPr>
          <w:p w14:paraId="3A3EBF51" w14:textId="77777777" w:rsidR="00117C75" w:rsidRPr="00B65973" w:rsidRDefault="00117C75" w:rsidP="00117C75">
            <w:pPr>
              <w:spacing w:after="0"/>
              <w:jc w:val="center"/>
              <w:rPr>
                <w:lang w:eastAsia="et-EE"/>
              </w:rPr>
            </w:pPr>
            <w:proofErr w:type="spellStart"/>
            <w:r w:rsidRPr="00B65973">
              <w:rPr>
                <w:lang w:eastAsia="et-EE"/>
              </w:rPr>
              <w:t>Pctl</w:t>
            </w:r>
            <w:proofErr w:type="spellEnd"/>
            <w:r w:rsidRPr="00B65973">
              <w:rPr>
                <w:lang w:eastAsia="et-EE"/>
              </w:rPr>
              <w:t>(75)</w:t>
            </w:r>
          </w:p>
        </w:tc>
        <w:tc>
          <w:tcPr>
            <w:tcW w:w="561" w:type="pct"/>
            <w:vAlign w:val="center"/>
            <w:hideMark/>
          </w:tcPr>
          <w:p w14:paraId="143E473E" w14:textId="77777777" w:rsidR="00117C75" w:rsidRPr="00B65973" w:rsidRDefault="00117C75" w:rsidP="00117C75">
            <w:pPr>
              <w:spacing w:after="0"/>
              <w:jc w:val="center"/>
              <w:rPr>
                <w:lang w:eastAsia="et-EE"/>
              </w:rPr>
            </w:pPr>
            <w:r w:rsidRPr="00B65973">
              <w:rPr>
                <w:lang w:eastAsia="et-EE"/>
              </w:rPr>
              <w:t>Max</w:t>
            </w:r>
          </w:p>
        </w:tc>
      </w:tr>
      <w:tr w:rsidR="00117C75" w:rsidRPr="00B65973" w14:paraId="31159935" w14:textId="77777777" w:rsidTr="008B07DE">
        <w:trPr>
          <w:tblCellSpacing w:w="15" w:type="dxa"/>
        </w:trPr>
        <w:tc>
          <w:tcPr>
            <w:tcW w:w="4973" w:type="pct"/>
            <w:gridSpan w:val="8"/>
            <w:tcBorders>
              <w:bottom w:val="single" w:sz="6" w:space="0" w:color="000000"/>
            </w:tcBorders>
            <w:vAlign w:val="center"/>
            <w:hideMark/>
          </w:tcPr>
          <w:p w14:paraId="0EBE2EC9" w14:textId="77777777" w:rsidR="00117C75" w:rsidRPr="00B65973" w:rsidRDefault="00117C75" w:rsidP="00117C75">
            <w:pPr>
              <w:spacing w:after="0"/>
              <w:jc w:val="center"/>
              <w:rPr>
                <w:lang w:eastAsia="et-EE"/>
              </w:rPr>
            </w:pPr>
          </w:p>
        </w:tc>
      </w:tr>
      <w:tr w:rsidR="00117C75" w:rsidRPr="00B65973" w14:paraId="3C1B2F71" w14:textId="77777777" w:rsidTr="008B07DE">
        <w:trPr>
          <w:tblCellSpacing w:w="15" w:type="dxa"/>
        </w:trPr>
        <w:tc>
          <w:tcPr>
            <w:tcW w:w="2078" w:type="pct"/>
            <w:vAlign w:val="center"/>
            <w:hideMark/>
          </w:tcPr>
          <w:p w14:paraId="24A344F9" w14:textId="77777777" w:rsidR="00117C75" w:rsidRPr="00B65973" w:rsidRDefault="00117C75" w:rsidP="00117C75">
            <w:pPr>
              <w:pStyle w:val="Table"/>
              <w:rPr>
                <w:szCs w:val="24"/>
                <w:lang w:val="en-US"/>
              </w:rPr>
            </w:pPr>
            <w:r w:rsidRPr="00B65973">
              <w:rPr>
                <w:szCs w:val="24"/>
                <w:lang w:val="en-US"/>
              </w:rPr>
              <w:t>EAFRD</w:t>
            </w:r>
          </w:p>
        </w:tc>
        <w:tc>
          <w:tcPr>
            <w:tcW w:w="214" w:type="pct"/>
            <w:hideMark/>
          </w:tcPr>
          <w:p w14:paraId="2699B935" w14:textId="77777777" w:rsidR="00117C75" w:rsidRPr="00B65973" w:rsidRDefault="00117C75" w:rsidP="00117C75">
            <w:pPr>
              <w:spacing w:after="0"/>
              <w:jc w:val="right"/>
              <w:rPr>
                <w:lang w:eastAsia="et-EE"/>
              </w:rPr>
            </w:pPr>
            <w:r w:rsidRPr="00B65973">
              <w:rPr>
                <w:lang w:eastAsia="et-EE"/>
              </w:rPr>
              <w:t>270</w:t>
            </w:r>
          </w:p>
        </w:tc>
        <w:tc>
          <w:tcPr>
            <w:tcW w:w="380" w:type="pct"/>
            <w:hideMark/>
          </w:tcPr>
          <w:p w14:paraId="7262FB4B" w14:textId="77777777" w:rsidR="00117C75" w:rsidRPr="00B65973" w:rsidRDefault="00117C75" w:rsidP="00117C75">
            <w:pPr>
              <w:spacing w:after="0"/>
              <w:jc w:val="right"/>
              <w:rPr>
                <w:lang w:eastAsia="et-EE"/>
              </w:rPr>
            </w:pPr>
            <w:r w:rsidRPr="00B65973">
              <w:rPr>
                <w:lang w:eastAsia="et-EE"/>
              </w:rPr>
              <w:t>46.960</w:t>
            </w:r>
          </w:p>
        </w:tc>
        <w:tc>
          <w:tcPr>
            <w:tcW w:w="445" w:type="pct"/>
            <w:hideMark/>
          </w:tcPr>
          <w:p w14:paraId="5A4F72AB" w14:textId="77777777" w:rsidR="00117C75" w:rsidRPr="00B65973" w:rsidRDefault="00117C75" w:rsidP="00117C75">
            <w:pPr>
              <w:spacing w:after="0"/>
              <w:jc w:val="right"/>
              <w:rPr>
                <w:lang w:eastAsia="et-EE"/>
              </w:rPr>
            </w:pPr>
            <w:r w:rsidRPr="00B65973">
              <w:rPr>
                <w:lang w:eastAsia="et-EE"/>
              </w:rPr>
              <w:t>56.525</w:t>
            </w:r>
          </w:p>
        </w:tc>
        <w:tc>
          <w:tcPr>
            <w:tcW w:w="313" w:type="pct"/>
            <w:hideMark/>
          </w:tcPr>
          <w:p w14:paraId="34EEDEDE" w14:textId="77777777" w:rsidR="00117C75" w:rsidRPr="00B65973" w:rsidRDefault="00117C75" w:rsidP="00117C75">
            <w:pPr>
              <w:spacing w:after="0"/>
              <w:jc w:val="right"/>
              <w:rPr>
                <w:lang w:eastAsia="et-EE"/>
              </w:rPr>
            </w:pPr>
            <w:r w:rsidRPr="00B65973">
              <w:rPr>
                <w:lang w:eastAsia="et-EE"/>
              </w:rPr>
              <w:t>0.009</w:t>
            </w:r>
          </w:p>
        </w:tc>
        <w:tc>
          <w:tcPr>
            <w:tcW w:w="442" w:type="pct"/>
            <w:hideMark/>
          </w:tcPr>
          <w:p w14:paraId="4AE8AED5" w14:textId="77777777" w:rsidR="00117C75" w:rsidRPr="00B65973" w:rsidRDefault="00117C75" w:rsidP="00117C75">
            <w:pPr>
              <w:spacing w:after="0"/>
              <w:jc w:val="right"/>
              <w:rPr>
                <w:lang w:eastAsia="et-EE"/>
              </w:rPr>
            </w:pPr>
            <w:r w:rsidRPr="00B65973">
              <w:rPr>
                <w:lang w:eastAsia="et-EE"/>
              </w:rPr>
              <w:t>11.081</w:t>
            </w:r>
          </w:p>
        </w:tc>
        <w:tc>
          <w:tcPr>
            <w:tcW w:w="445" w:type="pct"/>
            <w:hideMark/>
          </w:tcPr>
          <w:p w14:paraId="5B880675" w14:textId="77777777" w:rsidR="00117C75" w:rsidRPr="00B65973" w:rsidRDefault="00117C75" w:rsidP="00117C75">
            <w:pPr>
              <w:spacing w:after="0"/>
              <w:jc w:val="right"/>
              <w:rPr>
                <w:lang w:eastAsia="et-EE"/>
              </w:rPr>
            </w:pPr>
            <w:r w:rsidRPr="00B65973">
              <w:rPr>
                <w:lang w:eastAsia="et-EE"/>
              </w:rPr>
              <w:t>58.799</w:t>
            </w:r>
          </w:p>
        </w:tc>
        <w:tc>
          <w:tcPr>
            <w:tcW w:w="561" w:type="pct"/>
            <w:hideMark/>
          </w:tcPr>
          <w:p w14:paraId="0C6C919F" w14:textId="77777777" w:rsidR="00117C75" w:rsidRPr="00B65973" w:rsidRDefault="00117C75" w:rsidP="00117C75">
            <w:pPr>
              <w:spacing w:after="0"/>
              <w:jc w:val="right"/>
              <w:rPr>
                <w:lang w:eastAsia="et-EE"/>
              </w:rPr>
            </w:pPr>
            <w:r w:rsidRPr="00B65973">
              <w:rPr>
                <w:lang w:eastAsia="et-EE"/>
              </w:rPr>
              <w:t>333.917</w:t>
            </w:r>
          </w:p>
        </w:tc>
      </w:tr>
      <w:tr w:rsidR="008B07DE" w:rsidRPr="00B65973" w14:paraId="33EBB031" w14:textId="77777777" w:rsidTr="008B07DE">
        <w:trPr>
          <w:tblCellSpacing w:w="15" w:type="dxa"/>
        </w:trPr>
        <w:tc>
          <w:tcPr>
            <w:tcW w:w="2078" w:type="pct"/>
            <w:vAlign w:val="center"/>
            <w:hideMark/>
          </w:tcPr>
          <w:p w14:paraId="79F7E21B" w14:textId="7F7105AA" w:rsidR="008B07DE" w:rsidRPr="00B65973" w:rsidRDefault="008B07DE" w:rsidP="008B07DE">
            <w:pPr>
              <w:pStyle w:val="Table"/>
              <w:rPr>
                <w:szCs w:val="24"/>
                <w:lang w:val="en-US"/>
              </w:rPr>
            </w:pPr>
            <w:r>
              <w:rPr>
                <w:lang w:val="en-US"/>
              </w:rPr>
              <w:t>CF (</w:t>
            </w:r>
            <w:r w:rsidRPr="00B65973">
              <w:rPr>
                <w:lang w:val="en-US"/>
              </w:rPr>
              <w:t>Cohesion Fund</w:t>
            </w:r>
            <w:r>
              <w:rPr>
                <w:lang w:val="en-US"/>
              </w:rPr>
              <w:t>)</w:t>
            </w:r>
          </w:p>
        </w:tc>
        <w:tc>
          <w:tcPr>
            <w:tcW w:w="214" w:type="pct"/>
            <w:hideMark/>
          </w:tcPr>
          <w:p w14:paraId="35AA20C4" w14:textId="77777777" w:rsidR="008B07DE" w:rsidRPr="00B65973" w:rsidRDefault="008B07DE" w:rsidP="008B07DE">
            <w:pPr>
              <w:spacing w:after="0"/>
              <w:jc w:val="right"/>
              <w:rPr>
                <w:lang w:eastAsia="et-EE"/>
              </w:rPr>
            </w:pPr>
            <w:r w:rsidRPr="00B65973">
              <w:rPr>
                <w:lang w:eastAsia="et-EE"/>
              </w:rPr>
              <w:t>97</w:t>
            </w:r>
          </w:p>
        </w:tc>
        <w:tc>
          <w:tcPr>
            <w:tcW w:w="380" w:type="pct"/>
            <w:hideMark/>
          </w:tcPr>
          <w:p w14:paraId="5AB7DBE3" w14:textId="77777777" w:rsidR="008B07DE" w:rsidRPr="00B65973" w:rsidRDefault="008B07DE" w:rsidP="008B07DE">
            <w:pPr>
              <w:spacing w:after="0"/>
              <w:jc w:val="right"/>
              <w:rPr>
                <w:lang w:eastAsia="et-EE"/>
              </w:rPr>
            </w:pPr>
            <w:r w:rsidRPr="00B65973">
              <w:rPr>
                <w:lang w:eastAsia="et-EE"/>
              </w:rPr>
              <w:t>59.069</w:t>
            </w:r>
          </w:p>
        </w:tc>
        <w:tc>
          <w:tcPr>
            <w:tcW w:w="445" w:type="pct"/>
            <w:hideMark/>
          </w:tcPr>
          <w:p w14:paraId="5A7B87C1" w14:textId="77777777" w:rsidR="008B07DE" w:rsidRPr="00B65973" w:rsidRDefault="008B07DE" w:rsidP="008B07DE">
            <w:pPr>
              <w:spacing w:after="0"/>
              <w:jc w:val="right"/>
              <w:rPr>
                <w:lang w:eastAsia="et-EE"/>
              </w:rPr>
            </w:pPr>
            <w:r w:rsidRPr="00B65973">
              <w:rPr>
                <w:lang w:eastAsia="et-EE"/>
              </w:rPr>
              <w:t>62.193</w:t>
            </w:r>
          </w:p>
        </w:tc>
        <w:tc>
          <w:tcPr>
            <w:tcW w:w="313" w:type="pct"/>
            <w:hideMark/>
          </w:tcPr>
          <w:p w14:paraId="5013CD5B" w14:textId="77777777" w:rsidR="008B07DE" w:rsidRPr="00B65973" w:rsidRDefault="008B07DE" w:rsidP="008B07DE">
            <w:pPr>
              <w:spacing w:after="0"/>
              <w:jc w:val="right"/>
              <w:rPr>
                <w:lang w:eastAsia="et-EE"/>
              </w:rPr>
            </w:pPr>
            <w:r w:rsidRPr="00B65973">
              <w:rPr>
                <w:lang w:eastAsia="et-EE"/>
              </w:rPr>
              <w:t>1.496</w:t>
            </w:r>
          </w:p>
        </w:tc>
        <w:tc>
          <w:tcPr>
            <w:tcW w:w="442" w:type="pct"/>
            <w:hideMark/>
          </w:tcPr>
          <w:p w14:paraId="22B9F886" w14:textId="77777777" w:rsidR="008B07DE" w:rsidRPr="00B65973" w:rsidRDefault="008B07DE" w:rsidP="008B07DE">
            <w:pPr>
              <w:spacing w:after="0"/>
              <w:jc w:val="right"/>
              <w:rPr>
                <w:lang w:eastAsia="et-EE"/>
              </w:rPr>
            </w:pPr>
            <w:r w:rsidRPr="00B65973">
              <w:rPr>
                <w:lang w:eastAsia="et-EE"/>
              </w:rPr>
              <w:t>14.632</w:t>
            </w:r>
          </w:p>
        </w:tc>
        <w:tc>
          <w:tcPr>
            <w:tcW w:w="445" w:type="pct"/>
            <w:hideMark/>
          </w:tcPr>
          <w:p w14:paraId="537FE5B3" w14:textId="77777777" w:rsidR="008B07DE" w:rsidRPr="00B65973" w:rsidRDefault="008B07DE" w:rsidP="008B07DE">
            <w:pPr>
              <w:spacing w:after="0"/>
              <w:jc w:val="right"/>
              <w:rPr>
                <w:lang w:eastAsia="et-EE"/>
              </w:rPr>
            </w:pPr>
            <w:r w:rsidRPr="00B65973">
              <w:rPr>
                <w:lang w:eastAsia="et-EE"/>
              </w:rPr>
              <w:t>81.628</w:t>
            </w:r>
          </w:p>
        </w:tc>
        <w:tc>
          <w:tcPr>
            <w:tcW w:w="561" w:type="pct"/>
            <w:hideMark/>
          </w:tcPr>
          <w:p w14:paraId="6C9BE6A1" w14:textId="77777777" w:rsidR="008B07DE" w:rsidRPr="00B65973" w:rsidRDefault="008B07DE" w:rsidP="008B07DE">
            <w:pPr>
              <w:spacing w:after="0"/>
              <w:jc w:val="right"/>
              <w:rPr>
                <w:lang w:eastAsia="et-EE"/>
              </w:rPr>
            </w:pPr>
            <w:r w:rsidRPr="00B65973">
              <w:rPr>
                <w:lang w:eastAsia="et-EE"/>
              </w:rPr>
              <w:t>326.944</w:t>
            </w:r>
          </w:p>
        </w:tc>
      </w:tr>
      <w:tr w:rsidR="008B07DE" w:rsidRPr="00B65973" w14:paraId="3C7F163D" w14:textId="77777777" w:rsidTr="008B07DE">
        <w:trPr>
          <w:tblCellSpacing w:w="15" w:type="dxa"/>
        </w:trPr>
        <w:tc>
          <w:tcPr>
            <w:tcW w:w="2078" w:type="pct"/>
            <w:vAlign w:val="center"/>
            <w:hideMark/>
          </w:tcPr>
          <w:p w14:paraId="73D30B75" w14:textId="6B24DECD" w:rsidR="008B07DE" w:rsidRPr="00B65973" w:rsidRDefault="008B07DE" w:rsidP="008B07DE">
            <w:pPr>
              <w:pStyle w:val="Table"/>
              <w:rPr>
                <w:szCs w:val="24"/>
                <w:lang w:val="en-US"/>
              </w:rPr>
            </w:pPr>
            <w:r>
              <w:rPr>
                <w:lang w:val="en-US"/>
              </w:rPr>
              <w:t>ERDF (</w:t>
            </w:r>
            <w:r w:rsidRPr="00B65973">
              <w:rPr>
                <w:lang w:val="en-US"/>
              </w:rPr>
              <w:t>European Regional Development Fund</w:t>
            </w:r>
            <w:r>
              <w:rPr>
                <w:lang w:val="en-US"/>
              </w:rPr>
              <w:t>)</w:t>
            </w:r>
          </w:p>
        </w:tc>
        <w:tc>
          <w:tcPr>
            <w:tcW w:w="214" w:type="pct"/>
            <w:hideMark/>
          </w:tcPr>
          <w:p w14:paraId="026B8889" w14:textId="77777777" w:rsidR="008B07DE" w:rsidRPr="00B65973" w:rsidRDefault="008B07DE" w:rsidP="008B07DE">
            <w:pPr>
              <w:spacing w:after="0"/>
              <w:jc w:val="right"/>
              <w:rPr>
                <w:lang w:eastAsia="et-EE"/>
              </w:rPr>
            </w:pPr>
            <w:r w:rsidRPr="00B65973">
              <w:rPr>
                <w:lang w:eastAsia="et-EE"/>
              </w:rPr>
              <w:t>272</w:t>
            </w:r>
          </w:p>
        </w:tc>
        <w:tc>
          <w:tcPr>
            <w:tcW w:w="380" w:type="pct"/>
            <w:hideMark/>
          </w:tcPr>
          <w:p w14:paraId="72619B26" w14:textId="77777777" w:rsidR="008B07DE" w:rsidRPr="00B65973" w:rsidRDefault="008B07DE" w:rsidP="008B07DE">
            <w:pPr>
              <w:spacing w:after="0"/>
              <w:jc w:val="right"/>
              <w:rPr>
                <w:lang w:eastAsia="et-EE"/>
              </w:rPr>
            </w:pPr>
            <w:r w:rsidRPr="00B65973">
              <w:rPr>
                <w:lang w:eastAsia="et-EE"/>
              </w:rPr>
              <w:t>78.458</w:t>
            </w:r>
          </w:p>
        </w:tc>
        <w:tc>
          <w:tcPr>
            <w:tcW w:w="445" w:type="pct"/>
            <w:hideMark/>
          </w:tcPr>
          <w:p w14:paraId="258A0788" w14:textId="77777777" w:rsidR="008B07DE" w:rsidRPr="00B65973" w:rsidRDefault="008B07DE" w:rsidP="008B07DE">
            <w:pPr>
              <w:spacing w:after="0"/>
              <w:jc w:val="right"/>
              <w:rPr>
                <w:lang w:eastAsia="et-EE"/>
              </w:rPr>
            </w:pPr>
            <w:r w:rsidRPr="00B65973">
              <w:rPr>
                <w:lang w:eastAsia="et-EE"/>
              </w:rPr>
              <w:t>115.469</w:t>
            </w:r>
          </w:p>
        </w:tc>
        <w:tc>
          <w:tcPr>
            <w:tcW w:w="313" w:type="pct"/>
            <w:hideMark/>
          </w:tcPr>
          <w:p w14:paraId="3B4FA73A" w14:textId="77777777" w:rsidR="008B07DE" w:rsidRPr="00B65973" w:rsidRDefault="008B07DE" w:rsidP="008B07DE">
            <w:pPr>
              <w:spacing w:after="0"/>
              <w:jc w:val="right"/>
              <w:rPr>
                <w:lang w:eastAsia="et-EE"/>
              </w:rPr>
            </w:pPr>
            <w:r w:rsidRPr="00B65973">
              <w:rPr>
                <w:lang w:eastAsia="et-EE"/>
              </w:rPr>
              <w:t>0.336</w:t>
            </w:r>
          </w:p>
        </w:tc>
        <w:tc>
          <w:tcPr>
            <w:tcW w:w="442" w:type="pct"/>
            <w:hideMark/>
          </w:tcPr>
          <w:p w14:paraId="79CF2619" w14:textId="77777777" w:rsidR="008B07DE" w:rsidRPr="00B65973" w:rsidRDefault="008B07DE" w:rsidP="008B07DE">
            <w:pPr>
              <w:spacing w:after="0"/>
              <w:jc w:val="right"/>
              <w:rPr>
                <w:lang w:eastAsia="et-EE"/>
              </w:rPr>
            </w:pPr>
            <w:r w:rsidRPr="00B65973">
              <w:rPr>
                <w:lang w:eastAsia="et-EE"/>
              </w:rPr>
              <w:t>8.009</w:t>
            </w:r>
          </w:p>
        </w:tc>
        <w:tc>
          <w:tcPr>
            <w:tcW w:w="445" w:type="pct"/>
            <w:hideMark/>
          </w:tcPr>
          <w:p w14:paraId="1AF5789B" w14:textId="77777777" w:rsidR="008B07DE" w:rsidRPr="00B65973" w:rsidRDefault="008B07DE" w:rsidP="008B07DE">
            <w:pPr>
              <w:spacing w:after="0"/>
              <w:jc w:val="right"/>
              <w:rPr>
                <w:lang w:eastAsia="et-EE"/>
              </w:rPr>
            </w:pPr>
            <w:r w:rsidRPr="00B65973">
              <w:rPr>
                <w:lang w:eastAsia="et-EE"/>
              </w:rPr>
              <w:t>107.166</w:t>
            </w:r>
          </w:p>
        </w:tc>
        <w:tc>
          <w:tcPr>
            <w:tcW w:w="561" w:type="pct"/>
            <w:hideMark/>
          </w:tcPr>
          <w:p w14:paraId="56209EF6" w14:textId="77777777" w:rsidR="008B07DE" w:rsidRPr="00B65973" w:rsidRDefault="008B07DE" w:rsidP="008B07DE">
            <w:pPr>
              <w:spacing w:after="0"/>
              <w:jc w:val="right"/>
              <w:rPr>
                <w:lang w:eastAsia="et-EE"/>
              </w:rPr>
            </w:pPr>
            <w:r w:rsidRPr="00B65973">
              <w:rPr>
                <w:lang w:eastAsia="et-EE"/>
              </w:rPr>
              <w:t>883.067</w:t>
            </w:r>
          </w:p>
        </w:tc>
      </w:tr>
      <w:tr w:rsidR="008B07DE" w:rsidRPr="00B65973" w14:paraId="6FB96A64" w14:textId="77777777" w:rsidTr="008B07DE">
        <w:trPr>
          <w:tblCellSpacing w:w="15" w:type="dxa"/>
        </w:trPr>
        <w:tc>
          <w:tcPr>
            <w:tcW w:w="2078" w:type="pct"/>
            <w:vAlign w:val="center"/>
            <w:hideMark/>
          </w:tcPr>
          <w:p w14:paraId="7284F7F3" w14:textId="70480F24" w:rsidR="008B07DE" w:rsidRPr="00B65973" w:rsidRDefault="008B07DE" w:rsidP="008B07DE">
            <w:pPr>
              <w:pStyle w:val="Table"/>
              <w:rPr>
                <w:szCs w:val="24"/>
                <w:lang w:val="en-US"/>
              </w:rPr>
            </w:pPr>
            <w:r>
              <w:rPr>
                <w:lang w:val="en-US"/>
              </w:rPr>
              <w:t>ESF (</w:t>
            </w:r>
            <w:r w:rsidRPr="00B65973">
              <w:rPr>
                <w:lang w:val="en-US"/>
              </w:rPr>
              <w:t>European Social Fund</w:t>
            </w:r>
            <w:r>
              <w:rPr>
                <w:lang w:val="en-US"/>
              </w:rPr>
              <w:t>)</w:t>
            </w:r>
          </w:p>
        </w:tc>
        <w:tc>
          <w:tcPr>
            <w:tcW w:w="214" w:type="pct"/>
            <w:hideMark/>
          </w:tcPr>
          <w:p w14:paraId="722924A7" w14:textId="77777777" w:rsidR="008B07DE" w:rsidRPr="00B65973" w:rsidRDefault="008B07DE" w:rsidP="008B07DE">
            <w:pPr>
              <w:spacing w:after="0"/>
              <w:jc w:val="right"/>
              <w:rPr>
                <w:lang w:eastAsia="et-EE"/>
              </w:rPr>
            </w:pPr>
            <w:r w:rsidRPr="00B65973">
              <w:rPr>
                <w:lang w:eastAsia="et-EE"/>
              </w:rPr>
              <w:t>272</w:t>
            </w:r>
          </w:p>
        </w:tc>
        <w:tc>
          <w:tcPr>
            <w:tcW w:w="380" w:type="pct"/>
            <w:hideMark/>
          </w:tcPr>
          <w:p w14:paraId="2F7012C8" w14:textId="77777777" w:rsidR="008B07DE" w:rsidRPr="00B65973" w:rsidRDefault="008B07DE" w:rsidP="008B07DE">
            <w:pPr>
              <w:spacing w:after="0"/>
              <w:jc w:val="right"/>
              <w:rPr>
                <w:lang w:eastAsia="et-EE"/>
              </w:rPr>
            </w:pPr>
            <w:r w:rsidRPr="00B65973">
              <w:rPr>
                <w:lang w:eastAsia="et-EE"/>
              </w:rPr>
              <w:t>29.506</w:t>
            </w:r>
          </w:p>
        </w:tc>
        <w:tc>
          <w:tcPr>
            <w:tcW w:w="445" w:type="pct"/>
            <w:hideMark/>
          </w:tcPr>
          <w:p w14:paraId="798D3CB9" w14:textId="77777777" w:rsidR="008B07DE" w:rsidRPr="00B65973" w:rsidRDefault="008B07DE" w:rsidP="008B07DE">
            <w:pPr>
              <w:spacing w:after="0"/>
              <w:jc w:val="right"/>
              <w:rPr>
                <w:lang w:eastAsia="et-EE"/>
              </w:rPr>
            </w:pPr>
            <w:r w:rsidRPr="00B65973">
              <w:rPr>
                <w:lang w:eastAsia="et-EE"/>
              </w:rPr>
              <w:t>37.601</w:t>
            </w:r>
          </w:p>
        </w:tc>
        <w:tc>
          <w:tcPr>
            <w:tcW w:w="313" w:type="pct"/>
            <w:hideMark/>
          </w:tcPr>
          <w:p w14:paraId="3A5F7CA5" w14:textId="77777777" w:rsidR="008B07DE" w:rsidRPr="00B65973" w:rsidRDefault="008B07DE" w:rsidP="008B07DE">
            <w:pPr>
              <w:spacing w:after="0"/>
              <w:jc w:val="right"/>
              <w:rPr>
                <w:lang w:eastAsia="et-EE"/>
              </w:rPr>
            </w:pPr>
            <w:r w:rsidRPr="00B65973">
              <w:rPr>
                <w:lang w:eastAsia="et-EE"/>
              </w:rPr>
              <w:t>0.427</w:t>
            </w:r>
          </w:p>
        </w:tc>
        <w:tc>
          <w:tcPr>
            <w:tcW w:w="442" w:type="pct"/>
            <w:hideMark/>
          </w:tcPr>
          <w:p w14:paraId="7C3D8E18" w14:textId="77777777" w:rsidR="008B07DE" w:rsidRPr="00B65973" w:rsidRDefault="008B07DE" w:rsidP="008B07DE">
            <w:pPr>
              <w:spacing w:after="0"/>
              <w:jc w:val="right"/>
              <w:rPr>
                <w:lang w:eastAsia="et-EE"/>
              </w:rPr>
            </w:pPr>
            <w:r w:rsidRPr="00B65973">
              <w:rPr>
                <w:lang w:eastAsia="et-EE"/>
              </w:rPr>
              <w:t>9.648</w:t>
            </w:r>
          </w:p>
        </w:tc>
        <w:tc>
          <w:tcPr>
            <w:tcW w:w="445" w:type="pct"/>
            <w:hideMark/>
          </w:tcPr>
          <w:p w14:paraId="60812BD9" w14:textId="77777777" w:rsidR="008B07DE" w:rsidRPr="00B65973" w:rsidRDefault="008B07DE" w:rsidP="008B07DE">
            <w:pPr>
              <w:spacing w:after="0"/>
              <w:jc w:val="right"/>
              <w:rPr>
                <w:lang w:eastAsia="et-EE"/>
              </w:rPr>
            </w:pPr>
            <w:r w:rsidRPr="00B65973">
              <w:rPr>
                <w:lang w:eastAsia="et-EE"/>
              </w:rPr>
              <w:t>35.772</w:t>
            </w:r>
          </w:p>
        </w:tc>
        <w:tc>
          <w:tcPr>
            <w:tcW w:w="561" w:type="pct"/>
            <w:hideMark/>
          </w:tcPr>
          <w:p w14:paraId="567C0ADB" w14:textId="77777777" w:rsidR="008B07DE" w:rsidRPr="00B65973" w:rsidRDefault="008B07DE" w:rsidP="008B07DE">
            <w:pPr>
              <w:spacing w:after="0"/>
              <w:jc w:val="right"/>
              <w:rPr>
                <w:lang w:eastAsia="et-EE"/>
              </w:rPr>
            </w:pPr>
            <w:r w:rsidRPr="00B65973">
              <w:rPr>
                <w:lang w:eastAsia="et-EE"/>
              </w:rPr>
              <w:t>387.628</w:t>
            </w:r>
          </w:p>
        </w:tc>
      </w:tr>
      <w:tr w:rsidR="00117C75" w:rsidRPr="00B65973" w14:paraId="4E02B3B9" w14:textId="77777777" w:rsidTr="008B07DE">
        <w:trPr>
          <w:tblCellSpacing w:w="15" w:type="dxa"/>
        </w:trPr>
        <w:tc>
          <w:tcPr>
            <w:tcW w:w="4973" w:type="pct"/>
            <w:gridSpan w:val="8"/>
            <w:tcBorders>
              <w:bottom w:val="single" w:sz="6" w:space="0" w:color="000000"/>
            </w:tcBorders>
            <w:vAlign w:val="center"/>
            <w:hideMark/>
          </w:tcPr>
          <w:p w14:paraId="373381AE" w14:textId="77777777" w:rsidR="00117C75" w:rsidRPr="00B65973" w:rsidRDefault="00117C75" w:rsidP="00117C75">
            <w:pPr>
              <w:spacing w:after="0"/>
              <w:jc w:val="center"/>
              <w:rPr>
                <w:lang w:eastAsia="et-EE"/>
              </w:rPr>
            </w:pPr>
          </w:p>
        </w:tc>
      </w:tr>
    </w:tbl>
    <w:p w14:paraId="58B58CEF" w14:textId="77777777" w:rsidR="00117C75" w:rsidRPr="00B65973" w:rsidRDefault="00117C75" w:rsidP="00117C75">
      <w:pPr>
        <w:spacing w:after="0"/>
        <w:rPr>
          <w:vanish/>
          <w:lang w:eastAsia="et-EE"/>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71"/>
        <w:gridCol w:w="420"/>
        <w:gridCol w:w="840"/>
        <w:gridCol w:w="840"/>
        <w:gridCol w:w="600"/>
        <w:gridCol w:w="834"/>
        <w:gridCol w:w="840"/>
        <w:gridCol w:w="1361"/>
      </w:tblGrid>
      <w:tr w:rsidR="00117C75" w:rsidRPr="00B65973" w14:paraId="57F6F96E" w14:textId="77777777" w:rsidTr="008B07DE">
        <w:trPr>
          <w:tblCellSpacing w:w="15" w:type="dxa"/>
        </w:trPr>
        <w:tc>
          <w:tcPr>
            <w:tcW w:w="4973" w:type="pct"/>
            <w:gridSpan w:val="8"/>
            <w:tcBorders>
              <w:top w:val="nil"/>
              <w:left w:val="nil"/>
              <w:bottom w:val="nil"/>
              <w:right w:val="nil"/>
            </w:tcBorders>
            <w:vAlign w:val="center"/>
            <w:hideMark/>
          </w:tcPr>
          <w:p w14:paraId="47EC86AA" w14:textId="77777777" w:rsidR="00117C75" w:rsidRPr="00B65973" w:rsidRDefault="00117C75" w:rsidP="00117C75">
            <w:pPr>
              <w:spacing w:after="0"/>
              <w:jc w:val="center"/>
              <w:rPr>
                <w:lang w:eastAsia="et-EE"/>
              </w:rPr>
            </w:pPr>
            <w:r w:rsidRPr="00B65973">
              <w:rPr>
                <w:b/>
                <w:bCs/>
                <w:lang w:eastAsia="et-EE"/>
              </w:rPr>
              <w:t>2013</w:t>
            </w:r>
          </w:p>
        </w:tc>
      </w:tr>
      <w:tr w:rsidR="00117C75" w:rsidRPr="00B65973" w14:paraId="7D1EACEB" w14:textId="77777777" w:rsidTr="008B07DE">
        <w:trPr>
          <w:tblCellSpacing w:w="15" w:type="dxa"/>
        </w:trPr>
        <w:tc>
          <w:tcPr>
            <w:tcW w:w="4973" w:type="pct"/>
            <w:gridSpan w:val="8"/>
            <w:tcBorders>
              <w:bottom w:val="single" w:sz="6" w:space="0" w:color="000000"/>
            </w:tcBorders>
            <w:vAlign w:val="center"/>
            <w:hideMark/>
          </w:tcPr>
          <w:p w14:paraId="38CBCA5A" w14:textId="77777777" w:rsidR="00117C75" w:rsidRPr="00B65973" w:rsidRDefault="00117C75" w:rsidP="00117C75">
            <w:pPr>
              <w:spacing w:after="0"/>
              <w:jc w:val="center"/>
              <w:rPr>
                <w:lang w:eastAsia="et-EE"/>
              </w:rPr>
            </w:pPr>
          </w:p>
        </w:tc>
      </w:tr>
      <w:tr w:rsidR="00117C75" w:rsidRPr="00B65973" w14:paraId="6E4DA6CD" w14:textId="77777777" w:rsidTr="008B07DE">
        <w:trPr>
          <w:tblCellSpacing w:w="15" w:type="dxa"/>
        </w:trPr>
        <w:tc>
          <w:tcPr>
            <w:tcW w:w="2004" w:type="pct"/>
            <w:vAlign w:val="center"/>
            <w:hideMark/>
          </w:tcPr>
          <w:p w14:paraId="1CDCA57D" w14:textId="77777777" w:rsidR="00117C75" w:rsidRPr="00B65973" w:rsidRDefault="00117C75" w:rsidP="00117C75">
            <w:pPr>
              <w:spacing w:after="0"/>
              <w:rPr>
                <w:color w:val="000000"/>
                <w:lang w:eastAsia="et-EE"/>
              </w:rPr>
            </w:pPr>
            <w:r w:rsidRPr="00B65973">
              <w:rPr>
                <w:color w:val="000000"/>
                <w:lang w:eastAsia="et-EE"/>
              </w:rPr>
              <w:t>Statistic</w:t>
            </w:r>
          </w:p>
        </w:tc>
        <w:tc>
          <w:tcPr>
            <w:tcW w:w="206" w:type="pct"/>
            <w:vAlign w:val="center"/>
            <w:hideMark/>
          </w:tcPr>
          <w:p w14:paraId="57C57876" w14:textId="77777777" w:rsidR="00117C75" w:rsidRPr="00B65973" w:rsidRDefault="00117C75" w:rsidP="00117C75">
            <w:pPr>
              <w:spacing w:after="0"/>
              <w:jc w:val="center"/>
              <w:rPr>
                <w:color w:val="000000"/>
                <w:lang w:eastAsia="et-EE"/>
              </w:rPr>
            </w:pPr>
            <w:r w:rsidRPr="00B65973">
              <w:rPr>
                <w:color w:val="000000"/>
                <w:lang w:eastAsia="et-EE"/>
              </w:rPr>
              <w:t>N</w:t>
            </w:r>
          </w:p>
        </w:tc>
        <w:tc>
          <w:tcPr>
            <w:tcW w:w="429" w:type="pct"/>
            <w:vAlign w:val="center"/>
            <w:hideMark/>
          </w:tcPr>
          <w:p w14:paraId="4DAB2EB8" w14:textId="77777777" w:rsidR="00117C75" w:rsidRPr="00B65973" w:rsidRDefault="00117C75" w:rsidP="00117C75">
            <w:pPr>
              <w:spacing w:after="0"/>
              <w:jc w:val="center"/>
              <w:rPr>
                <w:color w:val="000000"/>
                <w:lang w:eastAsia="et-EE"/>
              </w:rPr>
            </w:pPr>
            <w:r w:rsidRPr="00B65973">
              <w:rPr>
                <w:color w:val="000000"/>
                <w:lang w:eastAsia="et-EE"/>
              </w:rPr>
              <w:t>Mean</w:t>
            </w:r>
          </w:p>
        </w:tc>
        <w:tc>
          <w:tcPr>
            <w:tcW w:w="429" w:type="pct"/>
            <w:vAlign w:val="center"/>
            <w:hideMark/>
          </w:tcPr>
          <w:p w14:paraId="3B2C193E" w14:textId="77777777" w:rsidR="00117C75" w:rsidRPr="00B65973" w:rsidRDefault="00117C75" w:rsidP="00117C75">
            <w:pPr>
              <w:spacing w:after="0"/>
              <w:jc w:val="center"/>
              <w:rPr>
                <w:color w:val="000000"/>
                <w:lang w:eastAsia="et-EE"/>
              </w:rPr>
            </w:pPr>
            <w:r w:rsidRPr="00B65973">
              <w:rPr>
                <w:color w:val="000000"/>
                <w:lang w:eastAsia="et-EE"/>
              </w:rPr>
              <w:t>St. Dev.</w:t>
            </w:r>
          </w:p>
        </w:tc>
        <w:tc>
          <w:tcPr>
            <w:tcW w:w="302" w:type="pct"/>
            <w:vAlign w:val="center"/>
            <w:hideMark/>
          </w:tcPr>
          <w:p w14:paraId="25D1358B" w14:textId="77777777" w:rsidR="00117C75" w:rsidRPr="00B65973" w:rsidRDefault="00117C75" w:rsidP="00117C75">
            <w:pPr>
              <w:spacing w:after="0"/>
              <w:jc w:val="center"/>
              <w:rPr>
                <w:color w:val="000000"/>
                <w:lang w:eastAsia="et-EE"/>
              </w:rPr>
            </w:pPr>
            <w:r w:rsidRPr="00B65973">
              <w:rPr>
                <w:color w:val="000000"/>
                <w:lang w:eastAsia="et-EE"/>
              </w:rPr>
              <w:t>Min</w:t>
            </w:r>
          </w:p>
        </w:tc>
        <w:tc>
          <w:tcPr>
            <w:tcW w:w="427" w:type="pct"/>
            <w:vAlign w:val="center"/>
            <w:hideMark/>
          </w:tcPr>
          <w:p w14:paraId="65FFDD0D" w14:textId="77777777" w:rsidR="00117C75" w:rsidRPr="00B65973" w:rsidRDefault="00117C75" w:rsidP="00117C75">
            <w:pPr>
              <w:spacing w:after="0"/>
              <w:jc w:val="center"/>
              <w:rPr>
                <w:color w:val="000000"/>
                <w:lang w:eastAsia="et-EE"/>
              </w:rPr>
            </w:pPr>
            <w:proofErr w:type="spellStart"/>
            <w:r w:rsidRPr="00B65973">
              <w:rPr>
                <w:color w:val="000000"/>
                <w:lang w:eastAsia="et-EE"/>
              </w:rPr>
              <w:t>Pctl</w:t>
            </w:r>
            <w:proofErr w:type="spellEnd"/>
            <w:r w:rsidRPr="00B65973">
              <w:rPr>
                <w:color w:val="000000"/>
                <w:lang w:eastAsia="et-EE"/>
              </w:rPr>
              <w:t>(25)</w:t>
            </w:r>
          </w:p>
        </w:tc>
        <w:tc>
          <w:tcPr>
            <w:tcW w:w="429" w:type="pct"/>
            <w:vAlign w:val="center"/>
            <w:hideMark/>
          </w:tcPr>
          <w:p w14:paraId="23D02779" w14:textId="77777777" w:rsidR="00117C75" w:rsidRPr="00B65973" w:rsidRDefault="00117C75" w:rsidP="00117C75">
            <w:pPr>
              <w:spacing w:after="0"/>
              <w:jc w:val="center"/>
              <w:rPr>
                <w:color w:val="000000"/>
                <w:lang w:eastAsia="et-EE"/>
              </w:rPr>
            </w:pPr>
            <w:proofErr w:type="spellStart"/>
            <w:r w:rsidRPr="00B65973">
              <w:rPr>
                <w:color w:val="000000"/>
                <w:lang w:eastAsia="et-EE"/>
              </w:rPr>
              <w:t>Pctl</w:t>
            </w:r>
            <w:proofErr w:type="spellEnd"/>
            <w:r w:rsidRPr="00B65973">
              <w:rPr>
                <w:color w:val="000000"/>
                <w:lang w:eastAsia="et-EE"/>
              </w:rPr>
              <w:t>(75)</w:t>
            </w:r>
          </w:p>
        </w:tc>
        <w:tc>
          <w:tcPr>
            <w:tcW w:w="651" w:type="pct"/>
            <w:vAlign w:val="center"/>
            <w:hideMark/>
          </w:tcPr>
          <w:p w14:paraId="03870814" w14:textId="77777777" w:rsidR="00117C75" w:rsidRPr="00B65973" w:rsidRDefault="00117C75" w:rsidP="00117C75">
            <w:pPr>
              <w:spacing w:after="0"/>
              <w:jc w:val="center"/>
              <w:rPr>
                <w:color w:val="000000"/>
                <w:lang w:eastAsia="et-EE"/>
              </w:rPr>
            </w:pPr>
            <w:r w:rsidRPr="00B65973">
              <w:rPr>
                <w:color w:val="000000"/>
                <w:lang w:eastAsia="et-EE"/>
              </w:rPr>
              <w:t>Max</w:t>
            </w:r>
          </w:p>
        </w:tc>
      </w:tr>
      <w:tr w:rsidR="00117C75" w:rsidRPr="00B65973" w14:paraId="400BEA87" w14:textId="77777777" w:rsidTr="008B07DE">
        <w:trPr>
          <w:tblCellSpacing w:w="15" w:type="dxa"/>
        </w:trPr>
        <w:tc>
          <w:tcPr>
            <w:tcW w:w="4973" w:type="pct"/>
            <w:gridSpan w:val="8"/>
            <w:tcBorders>
              <w:bottom w:val="single" w:sz="6" w:space="0" w:color="000000"/>
            </w:tcBorders>
            <w:vAlign w:val="center"/>
            <w:hideMark/>
          </w:tcPr>
          <w:p w14:paraId="340507E0" w14:textId="77777777" w:rsidR="00117C75" w:rsidRPr="00B65973" w:rsidRDefault="00117C75" w:rsidP="00117C75">
            <w:pPr>
              <w:spacing w:after="0"/>
              <w:jc w:val="center"/>
              <w:rPr>
                <w:color w:val="000000"/>
                <w:lang w:eastAsia="et-EE"/>
              </w:rPr>
            </w:pPr>
          </w:p>
        </w:tc>
      </w:tr>
      <w:tr w:rsidR="00117C75" w:rsidRPr="00B65973" w14:paraId="377372BD" w14:textId="77777777" w:rsidTr="008B07DE">
        <w:trPr>
          <w:tblCellSpacing w:w="15" w:type="dxa"/>
        </w:trPr>
        <w:tc>
          <w:tcPr>
            <w:tcW w:w="2004" w:type="pct"/>
            <w:vAlign w:val="center"/>
            <w:hideMark/>
          </w:tcPr>
          <w:p w14:paraId="243101D4" w14:textId="77777777" w:rsidR="00117C75" w:rsidRPr="00B65973" w:rsidRDefault="00117C75" w:rsidP="00117C75">
            <w:pPr>
              <w:pStyle w:val="Table"/>
              <w:rPr>
                <w:szCs w:val="24"/>
                <w:lang w:val="en-US"/>
              </w:rPr>
            </w:pPr>
            <w:r w:rsidRPr="00B65973">
              <w:rPr>
                <w:szCs w:val="24"/>
                <w:lang w:val="en-US"/>
              </w:rPr>
              <w:t>EAFRD</w:t>
            </w:r>
          </w:p>
        </w:tc>
        <w:tc>
          <w:tcPr>
            <w:tcW w:w="206" w:type="pct"/>
            <w:hideMark/>
          </w:tcPr>
          <w:p w14:paraId="071FF21E" w14:textId="77777777" w:rsidR="00117C75" w:rsidRPr="00B65973" w:rsidRDefault="00117C75" w:rsidP="00117C75">
            <w:pPr>
              <w:spacing w:after="0"/>
              <w:jc w:val="right"/>
              <w:rPr>
                <w:color w:val="000000"/>
                <w:lang w:eastAsia="et-EE"/>
              </w:rPr>
            </w:pPr>
            <w:r w:rsidRPr="00B65973">
              <w:rPr>
                <w:color w:val="000000"/>
                <w:lang w:eastAsia="et-EE"/>
              </w:rPr>
              <w:t>270</w:t>
            </w:r>
          </w:p>
        </w:tc>
        <w:tc>
          <w:tcPr>
            <w:tcW w:w="429" w:type="pct"/>
            <w:hideMark/>
          </w:tcPr>
          <w:p w14:paraId="6F98230A" w14:textId="77777777" w:rsidR="00117C75" w:rsidRPr="00B65973" w:rsidRDefault="00117C75" w:rsidP="00117C75">
            <w:pPr>
              <w:spacing w:after="0"/>
              <w:jc w:val="right"/>
              <w:rPr>
                <w:color w:val="000000"/>
                <w:lang w:eastAsia="et-EE"/>
              </w:rPr>
            </w:pPr>
            <w:r w:rsidRPr="00B65973">
              <w:rPr>
                <w:color w:val="000000"/>
                <w:lang w:eastAsia="et-EE"/>
              </w:rPr>
              <w:t>45.659</w:t>
            </w:r>
          </w:p>
        </w:tc>
        <w:tc>
          <w:tcPr>
            <w:tcW w:w="429" w:type="pct"/>
            <w:hideMark/>
          </w:tcPr>
          <w:p w14:paraId="3A85350A" w14:textId="77777777" w:rsidR="00117C75" w:rsidRPr="00B65973" w:rsidRDefault="00117C75" w:rsidP="00117C75">
            <w:pPr>
              <w:spacing w:after="0"/>
              <w:jc w:val="right"/>
              <w:rPr>
                <w:color w:val="000000"/>
                <w:lang w:eastAsia="et-EE"/>
              </w:rPr>
            </w:pPr>
            <w:r w:rsidRPr="00B65973">
              <w:rPr>
                <w:color w:val="000000"/>
                <w:lang w:eastAsia="et-EE"/>
              </w:rPr>
              <w:t>54.555</w:t>
            </w:r>
          </w:p>
        </w:tc>
        <w:tc>
          <w:tcPr>
            <w:tcW w:w="302" w:type="pct"/>
            <w:hideMark/>
          </w:tcPr>
          <w:p w14:paraId="23508498" w14:textId="77777777" w:rsidR="00117C75" w:rsidRPr="00B65973" w:rsidRDefault="00117C75" w:rsidP="00117C75">
            <w:pPr>
              <w:spacing w:after="0"/>
              <w:jc w:val="right"/>
              <w:rPr>
                <w:color w:val="000000"/>
                <w:lang w:eastAsia="et-EE"/>
              </w:rPr>
            </w:pPr>
            <w:r w:rsidRPr="00B65973">
              <w:rPr>
                <w:color w:val="000000"/>
                <w:lang w:eastAsia="et-EE"/>
              </w:rPr>
              <w:t>0.017</w:t>
            </w:r>
          </w:p>
        </w:tc>
        <w:tc>
          <w:tcPr>
            <w:tcW w:w="427" w:type="pct"/>
            <w:hideMark/>
          </w:tcPr>
          <w:p w14:paraId="62FB8B64" w14:textId="77777777" w:rsidR="00117C75" w:rsidRPr="00B65973" w:rsidRDefault="00117C75" w:rsidP="00117C75">
            <w:pPr>
              <w:spacing w:after="0"/>
              <w:jc w:val="right"/>
              <w:rPr>
                <w:color w:val="000000"/>
                <w:lang w:eastAsia="et-EE"/>
              </w:rPr>
            </w:pPr>
            <w:r w:rsidRPr="00B65973">
              <w:rPr>
                <w:color w:val="000000"/>
                <w:lang w:eastAsia="et-EE"/>
              </w:rPr>
              <w:t>10.980</w:t>
            </w:r>
          </w:p>
        </w:tc>
        <w:tc>
          <w:tcPr>
            <w:tcW w:w="429" w:type="pct"/>
            <w:hideMark/>
          </w:tcPr>
          <w:p w14:paraId="671F62CD" w14:textId="77777777" w:rsidR="00117C75" w:rsidRPr="00B65973" w:rsidRDefault="00117C75" w:rsidP="00117C75">
            <w:pPr>
              <w:spacing w:after="0"/>
              <w:jc w:val="right"/>
              <w:rPr>
                <w:color w:val="000000"/>
                <w:lang w:eastAsia="et-EE"/>
              </w:rPr>
            </w:pPr>
            <w:r w:rsidRPr="00B65973">
              <w:rPr>
                <w:color w:val="000000"/>
                <w:lang w:eastAsia="et-EE"/>
              </w:rPr>
              <w:t>57.092</w:t>
            </w:r>
          </w:p>
        </w:tc>
        <w:tc>
          <w:tcPr>
            <w:tcW w:w="651" w:type="pct"/>
            <w:hideMark/>
          </w:tcPr>
          <w:p w14:paraId="3A1E4CC2" w14:textId="77777777" w:rsidR="00117C75" w:rsidRPr="00B65973" w:rsidRDefault="00117C75" w:rsidP="00117C75">
            <w:pPr>
              <w:spacing w:after="0"/>
              <w:jc w:val="right"/>
              <w:rPr>
                <w:color w:val="000000"/>
                <w:lang w:eastAsia="et-EE"/>
              </w:rPr>
            </w:pPr>
            <w:r w:rsidRPr="00B65973">
              <w:rPr>
                <w:color w:val="000000"/>
                <w:lang w:eastAsia="et-EE"/>
              </w:rPr>
              <w:t>345.399</w:t>
            </w:r>
          </w:p>
        </w:tc>
      </w:tr>
      <w:tr w:rsidR="008B07DE" w:rsidRPr="00B65973" w14:paraId="246CF34F" w14:textId="77777777" w:rsidTr="008B07DE">
        <w:trPr>
          <w:tblCellSpacing w:w="15" w:type="dxa"/>
        </w:trPr>
        <w:tc>
          <w:tcPr>
            <w:tcW w:w="2004" w:type="pct"/>
            <w:vAlign w:val="center"/>
            <w:hideMark/>
          </w:tcPr>
          <w:p w14:paraId="63058257" w14:textId="7C78ACF5" w:rsidR="008B07DE" w:rsidRPr="00B65973" w:rsidRDefault="008B07DE" w:rsidP="008B07DE">
            <w:pPr>
              <w:pStyle w:val="Table"/>
              <w:rPr>
                <w:szCs w:val="24"/>
                <w:lang w:val="en-US"/>
              </w:rPr>
            </w:pPr>
            <w:r>
              <w:rPr>
                <w:lang w:val="en-US"/>
              </w:rPr>
              <w:t>CF (</w:t>
            </w:r>
            <w:r w:rsidRPr="00B65973">
              <w:rPr>
                <w:lang w:val="en-US"/>
              </w:rPr>
              <w:t>Cohesion Fund</w:t>
            </w:r>
            <w:r>
              <w:rPr>
                <w:lang w:val="en-US"/>
              </w:rPr>
              <w:t>)</w:t>
            </w:r>
          </w:p>
        </w:tc>
        <w:tc>
          <w:tcPr>
            <w:tcW w:w="206" w:type="pct"/>
            <w:hideMark/>
          </w:tcPr>
          <w:p w14:paraId="656640F5" w14:textId="77777777" w:rsidR="008B07DE" w:rsidRPr="00B65973" w:rsidRDefault="008B07DE" w:rsidP="008B07DE">
            <w:pPr>
              <w:spacing w:after="0"/>
              <w:jc w:val="right"/>
              <w:rPr>
                <w:color w:val="000000"/>
                <w:lang w:eastAsia="et-EE"/>
              </w:rPr>
            </w:pPr>
            <w:r w:rsidRPr="00B65973">
              <w:rPr>
                <w:color w:val="000000"/>
                <w:lang w:eastAsia="et-EE"/>
              </w:rPr>
              <w:t>98</w:t>
            </w:r>
          </w:p>
        </w:tc>
        <w:tc>
          <w:tcPr>
            <w:tcW w:w="429" w:type="pct"/>
            <w:hideMark/>
          </w:tcPr>
          <w:p w14:paraId="1ED6F2CA" w14:textId="77777777" w:rsidR="008B07DE" w:rsidRPr="00B65973" w:rsidRDefault="008B07DE" w:rsidP="008B07DE">
            <w:pPr>
              <w:spacing w:after="0"/>
              <w:jc w:val="right"/>
              <w:rPr>
                <w:color w:val="000000"/>
                <w:lang w:eastAsia="et-EE"/>
              </w:rPr>
            </w:pPr>
            <w:r w:rsidRPr="00B65973">
              <w:rPr>
                <w:color w:val="000000"/>
                <w:lang w:eastAsia="et-EE"/>
              </w:rPr>
              <w:t>124.258</w:t>
            </w:r>
          </w:p>
        </w:tc>
        <w:tc>
          <w:tcPr>
            <w:tcW w:w="429" w:type="pct"/>
            <w:hideMark/>
          </w:tcPr>
          <w:p w14:paraId="372CE58F" w14:textId="77777777" w:rsidR="008B07DE" w:rsidRPr="00B65973" w:rsidRDefault="008B07DE" w:rsidP="008B07DE">
            <w:pPr>
              <w:spacing w:after="0"/>
              <w:jc w:val="right"/>
              <w:rPr>
                <w:color w:val="000000"/>
                <w:lang w:eastAsia="et-EE"/>
              </w:rPr>
            </w:pPr>
            <w:r w:rsidRPr="00B65973">
              <w:rPr>
                <w:color w:val="000000"/>
                <w:lang w:eastAsia="et-EE"/>
              </w:rPr>
              <w:t>123.423</w:t>
            </w:r>
          </w:p>
        </w:tc>
        <w:tc>
          <w:tcPr>
            <w:tcW w:w="302" w:type="pct"/>
            <w:hideMark/>
          </w:tcPr>
          <w:p w14:paraId="506F5EF0" w14:textId="77777777" w:rsidR="008B07DE" w:rsidRPr="00B65973" w:rsidRDefault="008B07DE" w:rsidP="008B07DE">
            <w:pPr>
              <w:spacing w:after="0"/>
              <w:jc w:val="right"/>
              <w:rPr>
                <w:color w:val="000000"/>
                <w:lang w:eastAsia="et-EE"/>
              </w:rPr>
            </w:pPr>
            <w:r w:rsidRPr="00B65973">
              <w:rPr>
                <w:color w:val="000000"/>
                <w:lang w:eastAsia="et-EE"/>
              </w:rPr>
              <w:t>0.000</w:t>
            </w:r>
          </w:p>
        </w:tc>
        <w:tc>
          <w:tcPr>
            <w:tcW w:w="427" w:type="pct"/>
            <w:hideMark/>
          </w:tcPr>
          <w:p w14:paraId="5B99FBAC" w14:textId="77777777" w:rsidR="008B07DE" w:rsidRPr="00B65973" w:rsidRDefault="008B07DE" w:rsidP="008B07DE">
            <w:pPr>
              <w:spacing w:after="0"/>
              <w:jc w:val="right"/>
              <w:rPr>
                <w:color w:val="000000"/>
                <w:lang w:eastAsia="et-EE"/>
              </w:rPr>
            </w:pPr>
            <w:r w:rsidRPr="00B65973">
              <w:rPr>
                <w:color w:val="000000"/>
                <w:lang w:eastAsia="et-EE"/>
              </w:rPr>
              <w:t>24.559</w:t>
            </w:r>
          </w:p>
        </w:tc>
        <w:tc>
          <w:tcPr>
            <w:tcW w:w="429" w:type="pct"/>
            <w:hideMark/>
          </w:tcPr>
          <w:p w14:paraId="3D58D132" w14:textId="77777777" w:rsidR="008B07DE" w:rsidRPr="00B65973" w:rsidRDefault="008B07DE" w:rsidP="008B07DE">
            <w:pPr>
              <w:spacing w:after="0"/>
              <w:jc w:val="right"/>
              <w:rPr>
                <w:color w:val="000000"/>
                <w:lang w:eastAsia="et-EE"/>
              </w:rPr>
            </w:pPr>
            <w:r w:rsidRPr="00B65973">
              <w:rPr>
                <w:color w:val="000000"/>
                <w:lang w:eastAsia="et-EE"/>
              </w:rPr>
              <w:t>189.766</w:t>
            </w:r>
          </w:p>
        </w:tc>
        <w:tc>
          <w:tcPr>
            <w:tcW w:w="651" w:type="pct"/>
            <w:hideMark/>
          </w:tcPr>
          <w:p w14:paraId="135E5198" w14:textId="77777777" w:rsidR="008B07DE" w:rsidRPr="00B65973" w:rsidRDefault="008B07DE" w:rsidP="008B07DE">
            <w:pPr>
              <w:spacing w:after="0"/>
              <w:jc w:val="right"/>
              <w:rPr>
                <w:color w:val="000000"/>
                <w:lang w:eastAsia="et-EE"/>
              </w:rPr>
            </w:pPr>
            <w:r w:rsidRPr="00B65973">
              <w:rPr>
                <w:color w:val="000000"/>
                <w:lang w:eastAsia="et-EE"/>
              </w:rPr>
              <w:t>715.166</w:t>
            </w:r>
          </w:p>
        </w:tc>
      </w:tr>
      <w:tr w:rsidR="008B07DE" w:rsidRPr="00B65973" w14:paraId="0C5B07EE" w14:textId="77777777" w:rsidTr="008B07DE">
        <w:trPr>
          <w:tblCellSpacing w:w="15" w:type="dxa"/>
        </w:trPr>
        <w:tc>
          <w:tcPr>
            <w:tcW w:w="2004" w:type="pct"/>
            <w:vAlign w:val="center"/>
            <w:hideMark/>
          </w:tcPr>
          <w:p w14:paraId="02BEF54B" w14:textId="01D2D7F9" w:rsidR="008B07DE" w:rsidRPr="00B65973" w:rsidRDefault="008B07DE" w:rsidP="008B07DE">
            <w:pPr>
              <w:pStyle w:val="Table"/>
              <w:rPr>
                <w:szCs w:val="24"/>
                <w:lang w:val="en-US"/>
              </w:rPr>
            </w:pPr>
            <w:r>
              <w:rPr>
                <w:lang w:val="en-US"/>
              </w:rPr>
              <w:t>ERDF (</w:t>
            </w:r>
            <w:r w:rsidRPr="00B65973">
              <w:rPr>
                <w:lang w:val="en-US"/>
              </w:rPr>
              <w:t>European Regional Development Fund</w:t>
            </w:r>
            <w:r>
              <w:rPr>
                <w:lang w:val="en-US"/>
              </w:rPr>
              <w:t>)</w:t>
            </w:r>
          </w:p>
        </w:tc>
        <w:tc>
          <w:tcPr>
            <w:tcW w:w="206" w:type="pct"/>
            <w:hideMark/>
          </w:tcPr>
          <w:p w14:paraId="72D4FEAF" w14:textId="77777777" w:rsidR="008B07DE" w:rsidRPr="00B65973" w:rsidRDefault="008B07DE" w:rsidP="008B07DE">
            <w:pPr>
              <w:spacing w:after="0"/>
              <w:jc w:val="right"/>
              <w:rPr>
                <w:color w:val="000000"/>
                <w:lang w:eastAsia="et-EE"/>
              </w:rPr>
            </w:pPr>
            <w:r w:rsidRPr="00B65973">
              <w:rPr>
                <w:color w:val="000000"/>
                <w:lang w:eastAsia="et-EE"/>
              </w:rPr>
              <w:t>272</w:t>
            </w:r>
          </w:p>
        </w:tc>
        <w:tc>
          <w:tcPr>
            <w:tcW w:w="429" w:type="pct"/>
            <w:hideMark/>
          </w:tcPr>
          <w:p w14:paraId="703B6181" w14:textId="77777777" w:rsidR="008B07DE" w:rsidRPr="00B65973" w:rsidRDefault="008B07DE" w:rsidP="008B07DE">
            <w:pPr>
              <w:spacing w:after="0"/>
              <w:jc w:val="right"/>
              <w:rPr>
                <w:color w:val="000000"/>
                <w:lang w:eastAsia="et-EE"/>
              </w:rPr>
            </w:pPr>
            <w:r w:rsidRPr="00B65973">
              <w:rPr>
                <w:color w:val="000000"/>
                <w:lang w:eastAsia="et-EE"/>
              </w:rPr>
              <w:t>106.362</w:t>
            </w:r>
          </w:p>
        </w:tc>
        <w:tc>
          <w:tcPr>
            <w:tcW w:w="429" w:type="pct"/>
            <w:hideMark/>
          </w:tcPr>
          <w:p w14:paraId="31189237" w14:textId="77777777" w:rsidR="008B07DE" w:rsidRPr="00B65973" w:rsidRDefault="008B07DE" w:rsidP="008B07DE">
            <w:pPr>
              <w:spacing w:after="0"/>
              <w:jc w:val="right"/>
              <w:rPr>
                <w:color w:val="000000"/>
                <w:lang w:eastAsia="et-EE"/>
              </w:rPr>
            </w:pPr>
            <w:r w:rsidRPr="00B65973">
              <w:rPr>
                <w:color w:val="000000"/>
                <w:lang w:eastAsia="et-EE"/>
              </w:rPr>
              <w:t>163.892</w:t>
            </w:r>
          </w:p>
        </w:tc>
        <w:tc>
          <w:tcPr>
            <w:tcW w:w="302" w:type="pct"/>
            <w:hideMark/>
          </w:tcPr>
          <w:p w14:paraId="16AE27AB" w14:textId="77777777" w:rsidR="008B07DE" w:rsidRPr="00B65973" w:rsidRDefault="008B07DE" w:rsidP="008B07DE">
            <w:pPr>
              <w:spacing w:after="0"/>
              <w:jc w:val="right"/>
              <w:rPr>
                <w:color w:val="000000"/>
                <w:lang w:eastAsia="et-EE"/>
              </w:rPr>
            </w:pPr>
            <w:r w:rsidRPr="00B65973">
              <w:rPr>
                <w:color w:val="000000"/>
                <w:lang w:eastAsia="et-EE"/>
              </w:rPr>
              <w:t>0.466</w:t>
            </w:r>
          </w:p>
        </w:tc>
        <w:tc>
          <w:tcPr>
            <w:tcW w:w="427" w:type="pct"/>
            <w:hideMark/>
          </w:tcPr>
          <w:p w14:paraId="32347CE0" w14:textId="77777777" w:rsidR="008B07DE" w:rsidRPr="00B65973" w:rsidRDefault="008B07DE" w:rsidP="008B07DE">
            <w:pPr>
              <w:spacing w:after="0"/>
              <w:jc w:val="right"/>
              <w:rPr>
                <w:color w:val="000000"/>
                <w:lang w:eastAsia="et-EE"/>
              </w:rPr>
            </w:pPr>
            <w:r w:rsidRPr="00B65973">
              <w:rPr>
                <w:color w:val="000000"/>
                <w:lang w:eastAsia="et-EE"/>
              </w:rPr>
              <w:t>9.516</w:t>
            </w:r>
          </w:p>
        </w:tc>
        <w:tc>
          <w:tcPr>
            <w:tcW w:w="429" w:type="pct"/>
            <w:hideMark/>
          </w:tcPr>
          <w:p w14:paraId="22A7683B" w14:textId="77777777" w:rsidR="008B07DE" w:rsidRPr="00B65973" w:rsidRDefault="008B07DE" w:rsidP="008B07DE">
            <w:pPr>
              <w:spacing w:after="0"/>
              <w:jc w:val="right"/>
              <w:rPr>
                <w:color w:val="000000"/>
                <w:lang w:eastAsia="et-EE"/>
              </w:rPr>
            </w:pPr>
            <w:r w:rsidRPr="00B65973">
              <w:rPr>
                <w:color w:val="000000"/>
                <w:lang w:eastAsia="et-EE"/>
              </w:rPr>
              <w:t>149.026</w:t>
            </w:r>
          </w:p>
        </w:tc>
        <w:tc>
          <w:tcPr>
            <w:tcW w:w="651" w:type="pct"/>
            <w:hideMark/>
          </w:tcPr>
          <w:p w14:paraId="0B566485" w14:textId="77777777" w:rsidR="008B07DE" w:rsidRPr="00B65973" w:rsidRDefault="008B07DE" w:rsidP="008B07DE">
            <w:pPr>
              <w:spacing w:after="0"/>
              <w:jc w:val="right"/>
              <w:rPr>
                <w:color w:val="000000"/>
                <w:lang w:eastAsia="et-EE"/>
              </w:rPr>
            </w:pPr>
            <w:r w:rsidRPr="00B65973">
              <w:rPr>
                <w:color w:val="000000"/>
                <w:lang w:eastAsia="et-EE"/>
              </w:rPr>
              <w:t>987.354</w:t>
            </w:r>
          </w:p>
        </w:tc>
      </w:tr>
      <w:tr w:rsidR="008B07DE" w:rsidRPr="00B65973" w14:paraId="39392BD9" w14:textId="77777777" w:rsidTr="008B07DE">
        <w:trPr>
          <w:tblCellSpacing w:w="15" w:type="dxa"/>
        </w:trPr>
        <w:tc>
          <w:tcPr>
            <w:tcW w:w="2004" w:type="pct"/>
            <w:tcBorders>
              <w:bottom w:val="single" w:sz="4" w:space="0" w:color="auto"/>
            </w:tcBorders>
            <w:vAlign w:val="center"/>
            <w:hideMark/>
          </w:tcPr>
          <w:p w14:paraId="1B4BDF20" w14:textId="67C337A1" w:rsidR="008B07DE" w:rsidRPr="00B65973" w:rsidRDefault="008B07DE" w:rsidP="008B07DE">
            <w:pPr>
              <w:pStyle w:val="Table"/>
              <w:rPr>
                <w:szCs w:val="24"/>
                <w:lang w:val="en-US"/>
              </w:rPr>
            </w:pPr>
            <w:r>
              <w:rPr>
                <w:lang w:val="en-US"/>
              </w:rPr>
              <w:t>ESF (</w:t>
            </w:r>
            <w:r w:rsidRPr="00B65973">
              <w:rPr>
                <w:lang w:val="en-US"/>
              </w:rPr>
              <w:t>European Social Fund</w:t>
            </w:r>
            <w:r>
              <w:rPr>
                <w:lang w:val="en-US"/>
              </w:rPr>
              <w:t>)</w:t>
            </w:r>
          </w:p>
        </w:tc>
        <w:tc>
          <w:tcPr>
            <w:tcW w:w="206" w:type="pct"/>
            <w:tcBorders>
              <w:bottom w:val="single" w:sz="4" w:space="0" w:color="auto"/>
            </w:tcBorders>
            <w:hideMark/>
          </w:tcPr>
          <w:p w14:paraId="48BB81CD" w14:textId="77777777" w:rsidR="008B07DE" w:rsidRPr="00B65973" w:rsidRDefault="008B07DE" w:rsidP="008B07DE">
            <w:pPr>
              <w:spacing w:after="0"/>
              <w:jc w:val="right"/>
              <w:rPr>
                <w:color w:val="000000"/>
                <w:lang w:eastAsia="et-EE"/>
              </w:rPr>
            </w:pPr>
            <w:r w:rsidRPr="00B65973">
              <w:rPr>
                <w:color w:val="000000"/>
                <w:lang w:eastAsia="et-EE"/>
              </w:rPr>
              <w:t>272</w:t>
            </w:r>
          </w:p>
        </w:tc>
        <w:tc>
          <w:tcPr>
            <w:tcW w:w="429" w:type="pct"/>
            <w:tcBorders>
              <w:bottom w:val="single" w:sz="4" w:space="0" w:color="auto"/>
            </w:tcBorders>
            <w:hideMark/>
          </w:tcPr>
          <w:p w14:paraId="5C6F71A2" w14:textId="77777777" w:rsidR="008B07DE" w:rsidRPr="00B65973" w:rsidRDefault="008B07DE" w:rsidP="008B07DE">
            <w:pPr>
              <w:spacing w:after="0"/>
              <w:jc w:val="right"/>
              <w:rPr>
                <w:color w:val="000000"/>
                <w:lang w:eastAsia="et-EE"/>
              </w:rPr>
            </w:pPr>
            <w:r w:rsidRPr="00B65973">
              <w:rPr>
                <w:color w:val="000000"/>
                <w:lang w:eastAsia="et-EE"/>
              </w:rPr>
              <w:t>42.826</w:t>
            </w:r>
          </w:p>
        </w:tc>
        <w:tc>
          <w:tcPr>
            <w:tcW w:w="429" w:type="pct"/>
            <w:tcBorders>
              <w:bottom w:val="single" w:sz="4" w:space="0" w:color="auto"/>
            </w:tcBorders>
            <w:hideMark/>
          </w:tcPr>
          <w:p w14:paraId="3A673DBA" w14:textId="77777777" w:rsidR="008B07DE" w:rsidRPr="00B65973" w:rsidRDefault="008B07DE" w:rsidP="008B07DE">
            <w:pPr>
              <w:spacing w:after="0"/>
              <w:jc w:val="right"/>
              <w:rPr>
                <w:color w:val="000000"/>
                <w:lang w:eastAsia="et-EE"/>
              </w:rPr>
            </w:pPr>
            <w:r w:rsidRPr="00B65973">
              <w:rPr>
                <w:color w:val="000000"/>
                <w:lang w:eastAsia="et-EE"/>
              </w:rPr>
              <w:t>48.422</w:t>
            </w:r>
          </w:p>
        </w:tc>
        <w:tc>
          <w:tcPr>
            <w:tcW w:w="302" w:type="pct"/>
            <w:tcBorders>
              <w:bottom w:val="single" w:sz="4" w:space="0" w:color="auto"/>
            </w:tcBorders>
            <w:hideMark/>
          </w:tcPr>
          <w:p w14:paraId="25B7D54C" w14:textId="77777777" w:rsidR="008B07DE" w:rsidRPr="00B65973" w:rsidRDefault="008B07DE" w:rsidP="008B07DE">
            <w:pPr>
              <w:spacing w:after="0"/>
              <w:jc w:val="right"/>
              <w:rPr>
                <w:color w:val="000000"/>
                <w:lang w:eastAsia="et-EE"/>
              </w:rPr>
            </w:pPr>
            <w:r w:rsidRPr="00B65973">
              <w:rPr>
                <w:color w:val="000000"/>
                <w:lang w:eastAsia="et-EE"/>
              </w:rPr>
              <w:t>0.784</w:t>
            </w:r>
          </w:p>
        </w:tc>
        <w:tc>
          <w:tcPr>
            <w:tcW w:w="427" w:type="pct"/>
            <w:tcBorders>
              <w:bottom w:val="single" w:sz="4" w:space="0" w:color="auto"/>
            </w:tcBorders>
            <w:hideMark/>
          </w:tcPr>
          <w:p w14:paraId="187E9E73" w14:textId="77777777" w:rsidR="008B07DE" w:rsidRPr="00B65973" w:rsidRDefault="008B07DE" w:rsidP="008B07DE">
            <w:pPr>
              <w:spacing w:after="0"/>
              <w:jc w:val="right"/>
              <w:rPr>
                <w:color w:val="000000"/>
                <w:lang w:eastAsia="et-EE"/>
              </w:rPr>
            </w:pPr>
            <w:r w:rsidRPr="00B65973">
              <w:rPr>
                <w:color w:val="000000"/>
                <w:lang w:eastAsia="et-EE"/>
              </w:rPr>
              <w:t>10.455</w:t>
            </w:r>
          </w:p>
        </w:tc>
        <w:tc>
          <w:tcPr>
            <w:tcW w:w="429" w:type="pct"/>
            <w:tcBorders>
              <w:bottom w:val="single" w:sz="4" w:space="0" w:color="auto"/>
            </w:tcBorders>
            <w:hideMark/>
          </w:tcPr>
          <w:p w14:paraId="4C917373" w14:textId="77777777" w:rsidR="008B07DE" w:rsidRPr="00B65973" w:rsidRDefault="008B07DE" w:rsidP="008B07DE">
            <w:pPr>
              <w:spacing w:after="0"/>
              <w:jc w:val="right"/>
              <w:rPr>
                <w:color w:val="000000"/>
                <w:lang w:eastAsia="et-EE"/>
              </w:rPr>
            </w:pPr>
            <w:r w:rsidRPr="00B65973">
              <w:rPr>
                <w:color w:val="000000"/>
                <w:lang w:eastAsia="et-EE"/>
              </w:rPr>
              <w:t>57.336</w:t>
            </w:r>
          </w:p>
        </w:tc>
        <w:tc>
          <w:tcPr>
            <w:tcW w:w="651" w:type="pct"/>
            <w:tcBorders>
              <w:bottom w:val="single" w:sz="4" w:space="0" w:color="auto"/>
            </w:tcBorders>
            <w:hideMark/>
          </w:tcPr>
          <w:p w14:paraId="0306DC2C" w14:textId="77777777" w:rsidR="008B07DE" w:rsidRPr="00B65973" w:rsidRDefault="008B07DE" w:rsidP="008B07DE">
            <w:pPr>
              <w:spacing w:after="0"/>
              <w:jc w:val="right"/>
              <w:rPr>
                <w:color w:val="000000"/>
                <w:lang w:eastAsia="et-EE"/>
              </w:rPr>
            </w:pPr>
            <w:r w:rsidRPr="00B65973">
              <w:rPr>
                <w:color w:val="000000"/>
                <w:lang w:eastAsia="et-EE"/>
              </w:rPr>
              <w:t>447.344</w:t>
            </w:r>
          </w:p>
        </w:tc>
      </w:tr>
    </w:tbl>
    <w:p w14:paraId="6153EF96" w14:textId="1F21E00F" w:rsidR="00117C75" w:rsidRPr="00B65973" w:rsidRDefault="00117C75" w:rsidP="00B824B2">
      <w:pPr>
        <w:pStyle w:val="Source"/>
      </w:pPr>
    </w:p>
    <w:sectPr w:rsidR="00117C75" w:rsidRPr="00B65973" w:rsidSect="00A832BB">
      <w:footerReference w:type="default" r:id="rId15"/>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491B5" w14:textId="77777777" w:rsidR="006353CA" w:rsidRDefault="006353CA" w:rsidP="00D7429D">
      <w:r>
        <w:separator/>
      </w:r>
    </w:p>
  </w:endnote>
  <w:endnote w:type="continuationSeparator" w:id="0">
    <w:p w14:paraId="7B814B4D" w14:textId="77777777" w:rsidR="006353CA" w:rsidRDefault="006353CA" w:rsidP="00D74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ews Gothic">
    <w:altName w:val="Arial"/>
    <w:charset w:val="00"/>
    <w:family w:val="swiss"/>
    <w:pitch w:val="variable"/>
    <w:sig w:usb0="00000001"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615501"/>
      <w:docPartObj>
        <w:docPartGallery w:val="Page Numbers (Bottom of Page)"/>
        <w:docPartUnique/>
      </w:docPartObj>
    </w:sdtPr>
    <w:sdtContent>
      <w:p w14:paraId="180DFD05" w14:textId="79BE267D" w:rsidR="00CA5DB4" w:rsidRDefault="00CA5DB4">
        <w:pPr>
          <w:pStyle w:val="Jalus"/>
          <w:jc w:val="center"/>
        </w:pPr>
        <w:r>
          <w:fldChar w:fldCharType="begin"/>
        </w:r>
        <w:r>
          <w:instrText>PAGE   \* MERGEFORMAT</w:instrText>
        </w:r>
        <w:r>
          <w:fldChar w:fldCharType="separate"/>
        </w:r>
        <w:r w:rsidRPr="00586467">
          <w:rPr>
            <w:noProof/>
            <w:lang w:val="et-EE"/>
          </w:rPr>
          <w:t>16</w:t>
        </w:r>
        <w:r>
          <w:fldChar w:fldCharType="end"/>
        </w:r>
      </w:p>
    </w:sdtContent>
  </w:sdt>
  <w:p w14:paraId="6BB06CA0" w14:textId="77777777" w:rsidR="00CA5DB4" w:rsidRDefault="00CA5DB4">
    <w:pPr>
      <w:pStyle w:val="Jalu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83AD5" w14:textId="77777777" w:rsidR="006353CA" w:rsidRDefault="006353CA" w:rsidP="00D7429D">
      <w:r>
        <w:separator/>
      </w:r>
    </w:p>
  </w:footnote>
  <w:footnote w:type="continuationSeparator" w:id="0">
    <w:p w14:paraId="6587F9F0" w14:textId="77777777" w:rsidR="006353CA" w:rsidRDefault="006353CA" w:rsidP="00D7429D">
      <w:r>
        <w:continuationSeparator/>
      </w:r>
    </w:p>
  </w:footnote>
  <w:footnote w:id="1">
    <w:p w14:paraId="6DF8A856" w14:textId="3D4424BA" w:rsidR="00CA5DB4" w:rsidRDefault="00CA5DB4">
      <w:pPr>
        <w:pStyle w:val="Allmrkusetekst"/>
      </w:pPr>
      <w:r>
        <w:rPr>
          <w:rStyle w:val="Allmrkuseviide"/>
        </w:rPr>
        <w:footnoteRef/>
      </w:r>
      <w:r>
        <w:t xml:space="preserve"> Agriculture, forestry and fishing</w:t>
      </w:r>
    </w:p>
  </w:footnote>
  <w:footnote w:id="2">
    <w:p w14:paraId="051BAC19" w14:textId="7B287475" w:rsidR="00CA5DB4" w:rsidRDefault="00CA5DB4">
      <w:pPr>
        <w:pStyle w:val="Allmrkusetekst"/>
      </w:pPr>
      <w:r>
        <w:rPr>
          <w:rStyle w:val="Allmrkuseviide"/>
        </w:rPr>
        <w:footnoteRef/>
      </w:r>
      <w:r>
        <w:t xml:space="preserve"> Gross Fixed Capital 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12F06"/>
    <w:multiLevelType w:val="multilevel"/>
    <w:tmpl w:val="D3EEE564"/>
    <w:lvl w:ilvl="0">
      <w:start w:val="1"/>
      <w:numFmt w:val="decimal"/>
      <w:pStyle w:val="Pealkiri1"/>
      <w:lvlText w:val="%1."/>
      <w:lvlJc w:val="left"/>
      <w:pPr>
        <w:ind w:left="360" w:hanging="360"/>
      </w:pPr>
    </w:lvl>
    <w:lvl w:ilvl="1">
      <w:start w:val="1"/>
      <w:numFmt w:val="decimal"/>
      <w:pStyle w:val="Pealkiri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F9870D1"/>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US" w:vendorID="64" w:dllVersion="0" w:nlCheck="1" w:checkStyle="0"/>
  <w:proofState w:spelling="clean" w:grammar="clean"/>
  <w:defaultTabStop w:val="720"/>
  <w:hyphenationZone w:val="425"/>
  <w:doNotHyphenateCaps/>
  <w:drawingGridHorizontalSpacing w:val="120"/>
  <w:displayHorizontalDrawingGridEvery w:val="2"/>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95C"/>
    <w:rsid w:val="00005C71"/>
    <w:rsid w:val="00014A60"/>
    <w:rsid w:val="0001558A"/>
    <w:rsid w:val="00024AAC"/>
    <w:rsid w:val="00025498"/>
    <w:rsid w:val="0003436C"/>
    <w:rsid w:val="00040C07"/>
    <w:rsid w:val="00047960"/>
    <w:rsid w:val="000530C6"/>
    <w:rsid w:val="00053203"/>
    <w:rsid w:val="00063A2E"/>
    <w:rsid w:val="00063B6D"/>
    <w:rsid w:val="00067DD4"/>
    <w:rsid w:val="000754D4"/>
    <w:rsid w:val="00086DD5"/>
    <w:rsid w:val="00086EFB"/>
    <w:rsid w:val="000A1443"/>
    <w:rsid w:val="000A2891"/>
    <w:rsid w:val="000B439D"/>
    <w:rsid w:val="000B4EF5"/>
    <w:rsid w:val="000C0CF6"/>
    <w:rsid w:val="000D720E"/>
    <w:rsid w:val="000E2F27"/>
    <w:rsid w:val="000F0946"/>
    <w:rsid w:val="000F6455"/>
    <w:rsid w:val="00100861"/>
    <w:rsid w:val="00101A80"/>
    <w:rsid w:val="00112479"/>
    <w:rsid w:val="00112694"/>
    <w:rsid w:val="00116A07"/>
    <w:rsid w:val="00117C75"/>
    <w:rsid w:val="00120A4E"/>
    <w:rsid w:val="00121AEB"/>
    <w:rsid w:val="00124DE7"/>
    <w:rsid w:val="001628F6"/>
    <w:rsid w:val="00166126"/>
    <w:rsid w:val="00171DB1"/>
    <w:rsid w:val="0017333C"/>
    <w:rsid w:val="00184FC1"/>
    <w:rsid w:val="001948C6"/>
    <w:rsid w:val="001A7B7D"/>
    <w:rsid w:val="001B2D04"/>
    <w:rsid w:val="001B3F52"/>
    <w:rsid w:val="001B6FF4"/>
    <w:rsid w:val="001C57FF"/>
    <w:rsid w:val="001D26DC"/>
    <w:rsid w:val="001D6549"/>
    <w:rsid w:val="001E200C"/>
    <w:rsid w:val="001E561E"/>
    <w:rsid w:val="001E5A14"/>
    <w:rsid w:val="001F19CC"/>
    <w:rsid w:val="001F7156"/>
    <w:rsid w:val="002016E8"/>
    <w:rsid w:val="00202AA1"/>
    <w:rsid w:val="00203FBD"/>
    <w:rsid w:val="00205317"/>
    <w:rsid w:val="00205FB5"/>
    <w:rsid w:val="002178DB"/>
    <w:rsid w:val="00221A0C"/>
    <w:rsid w:val="002266CA"/>
    <w:rsid w:val="002413F2"/>
    <w:rsid w:val="00250116"/>
    <w:rsid w:val="00255183"/>
    <w:rsid w:val="00264176"/>
    <w:rsid w:val="0026623C"/>
    <w:rsid w:val="002716B0"/>
    <w:rsid w:val="00271BFC"/>
    <w:rsid w:val="00273232"/>
    <w:rsid w:val="00273F66"/>
    <w:rsid w:val="00276E92"/>
    <w:rsid w:val="002876F1"/>
    <w:rsid w:val="00294EA2"/>
    <w:rsid w:val="002A0B39"/>
    <w:rsid w:val="002A6A11"/>
    <w:rsid w:val="002B0402"/>
    <w:rsid w:val="002B1402"/>
    <w:rsid w:val="002B296B"/>
    <w:rsid w:val="002B5E67"/>
    <w:rsid w:val="002B7EAF"/>
    <w:rsid w:val="002C6306"/>
    <w:rsid w:val="002D4E44"/>
    <w:rsid w:val="002D6C6D"/>
    <w:rsid w:val="002D7257"/>
    <w:rsid w:val="002E33E6"/>
    <w:rsid w:val="002E6CBA"/>
    <w:rsid w:val="002F61E6"/>
    <w:rsid w:val="00302788"/>
    <w:rsid w:val="00310C77"/>
    <w:rsid w:val="00312C0C"/>
    <w:rsid w:val="00314C2E"/>
    <w:rsid w:val="00314FA9"/>
    <w:rsid w:val="00325AE6"/>
    <w:rsid w:val="003343A3"/>
    <w:rsid w:val="0033572B"/>
    <w:rsid w:val="003379B5"/>
    <w:rsid w:val="00341368"/>
    <w:rsid w:val="003422DC"/>
    <w:rsid w:val="00353E41"/>
    <w:rsid w:val="00357568"/>
    <w:rsid w:val="0036019F"/>
    <w:rsid w:val="00366466"/>
    <w:rsid w:val="00367911"/>
    <w:rsid w:val="0037334E"/>
    <w:rsid w:val="00376665"/>
    <w:rsid w:val="003945DC"/>
    <w:rsid w:val="003A6D6A"/>
    <w:rsid w:val="003A74DB"/>
    <w:rsid w:val="003B3CF9"/>
    <w:rsid w:val="003C3780"/>
    <w:rsid w:val="003C51CE"/>
    <w:rsid w:val="003E3DAC"/>
    <w:rsid w:val="003E4F2A"/>
    <w:rsid w:val="003F5BC1"/>
    <w:rsid w:val="00402DFA"/>
    <w:rsid w:val="0041077B"/>
    <w:rsid w:val="004111D2"/>
    <w:rsid w:val="0043565B"/>
    <w:rsid w:val="00436B8B"/>
    <w:rsid w:val="00446075"/>
    <w:rsid w:val="00446D8D"/>
    <w:rsid w:val="00451771"/>
    <w:rsid w:val="004571B7"/>
    <w:rsid w:val="004638F0"/>
    <w:rsid w:val="00470E17"/>
    <w:rsid w:val="00475461"/>
    <w:rsid w:val="00475EA9"/>
    <w:rsid w:val="0047783E"/>
    <w:rsid w:val="00477D9F"/>
    <w:rsid w:val="004979CE"/>
    <w:rsid w:val="004A1361"/>
    <w:rsid w:val="004A4E95"/>
    <w:rsid w:val="004A5229"/>
    <w:rsid w:val="004B3FA2"/>
    <w:rsid w:val="004C0765"/>
    <w:rsid w:val="004C088E"/>
    <w:rsid w:val="004C5A75"/>
    <w:rsid w:val="004E247E"/>
    <w:rsid w:val="004E76CB"/>
    <w:rsid w:val="004F3051"/>
    <w:rsid w:val="004F399F"/>
    <w:rsid w:val="00501859"/>
    <w:rsid w:val="00527E75"/>
    <w:rsid w:val="00537573"/>
    <w:rsid w:val="00541FCE"/>
    <w:rsid w:val="00544BFD"/>
    <w:rsid w:val="00546D93"/>
    <w:rsid w:val="00551A2C"/>
    <w:rsid w:val="00555A28"/>
    <w:rsid w:val="005566DF"/>
    <w:rsid w:val="0057246A"/>
    <w:rsid w:val="0057459C"/>
    <w:rsid w:val="005779E0"/>
    <w:rsid w:val="00586467"/>
    <w:rsid w:val="0059421A"/>
    <w:rsid w:val="005962BF"/>
    <w:rsid w:val="005A0113"/>
    <w:rsid w:val="005A1BAE"/>
    <w:rsid w:val="005B3B96"/>
    <w:rsid w:val="005B4BB0"/>
    <w:rsid w:val="005B6BE9"/>
    <w:rsid w:val="005C357B"/>
    <w:rsid w:val="005C6DE4"/>
    <w:rsid w:val="005E390A"/>
    <w:rsid w:val="005E53EB"/>
    <w:rsid w:val="005F01FD"/>
    <w:rsid w:val="005F2F43"/>
    <w:rsid w:val="005F3AA2"/>
    <w:rsid w:val="005F55EF"/>
    <w:rsid w:val="00623587"/>
    <w:rsid w:val="0063342B"/>
    <w:rsid w:val="00633AE6"/>
    <w:rsid w:val="006353CA"/>
    <w:rsid w:val="00643329"/>
    <w:rsid w:val="006452C2"/>
    <w:rsid w:val="00660286"/>
    <w:rsid w:val="00660378"/>
    <w:rsid w:val="00664B31"/>
    <w:rsid w:val="00666BB3"/>
    <w:rsid w:val="00674E26"/>
    <w:rsid w:val="006828CC"/>
    <w:rsid w:val="00694C7E"/>
    <w:rsid w:val="006A6B61"/>
    <w:rsid w:val="006B5971"/>
    <w:rsid w:val="006B6CAC"/>
    <w:rsid w:val="006C0FD8"/>
    <w:rsid w:val="006C27FB"/>
    <w:rsid w:val="006D17FB"/>
    <w:rsid w:val="006E61A7"/>
    <w:rsid w:val="006F65AE"/>
    <w:rsid w:val="007017B9"/>
    <w:rsid w:val="00703B25"/>
    <w:rsid w:val="00711FD7"/>
    <w:rsid w:val="00716BAC"/>
    <w:rsid w:val="0072433D"/>
    <w:rsid w:val="007268EE"/>
    <w:rsid w:val="007376AA"/>
    <w:rsid w:val="00751AE2"/>
    <w:rsid w:val="007541DE"/>
    <w:rsid w:val="0076310B"/>
    <w:rsid w:val="007744AE"/>
    <w:rsid w:val="00791E1C"/>
    <w:rsid w:val="007923D1"/>
    <w:rsid w:val="00793896"/>
    <w:rsid w:val="00797718"/>
    <w:rsid w:val="007A2B21"/>
    <w:rsid w:val="007A787F"/>
    <w:rsid w:val="007B35CD"/>
    <w:rsid w:val="007C055F"/>
    <w:rsid w:val="007C7BF0"/>
    <w:rsid w:val="007D2542"/>
    <w:rsid w:val="007E2490"/>
    <w:rsid w:val="007E2A6A"/>
    <w:rsid w:val="007E64CB"/>
    <w:rsid w:val="007F532C"/>
    <w:rsid w:val="007F6810"/>
    <w:rsid w:val="007F79E0"/>
    <w:rsid w:val="00806854"/>
    <w:rsid w:val="0081747E"/>
    <w:rsid w:val="008223DC"/>
    <w:rsid w:val="008230D3"/>
    <w:rsid w:val="008260A9"/>
    <w:rsid w:val="008315E9"/>
    <w:rsid w:val="008415CC"/>
    <w:rsid w:val="00843317"/>
    <w:rsid w:val="00847C1A"/>
    <w:rsid w:val="00862745"/>
    <w:rsid w:val="00864375"/>
    <w:rsid w:val="008708F6"/>
    <w:rsid w:val="008724E6"/>
    <w:rsid w:val="008734DC"/>
    <w:rsid w:val="00875B5E"/>
    <w:rsid w:val="008A3A6D"/>
    <w:rsid w:val="008A7BC8"/>
    <w:rsid w:val="008B07DE"/>
    <w:rsid w:val="008C5159"/>
    <w:rsid w:val="008C5694"/>
    <w:rsid w:val="008C5FB5"/>
    <w:rsid w:val="008D5DB6"/>
    <w:rsid w:val="008D786F"/>
    <w:rsid w:val="008E6C04"/>
    <w:rsid w:val="008F0E7F"/>
    <w:rsid w:val="008F1AEF"/>
    <w:rsid w:val="008F2465"/>
    <w:rsid w:val="008F62B2"/>
    <w:rsid w:val="009063B6"/>
    <w:rsid w:val="009074A7"/>
    <w:rsid w:val="00911E21"/>
    <w:rsid w:val="009135EF"/>
    <w:rsid w:val="0091471E"/>
    <w:rsid w:val="009162E7"/>
    <w:rsid w:val="00917E22"/>
    <w:rsid w:val="009215AA"/>
    <w:rsid w:val="00921FDF"/>
    <w:rsid w:val="00932A8B"/>
    <w:rsid w:val="00933747"/>
    <w:rsid w:val="00950F9B"/>
    <w:rsid w:val="009528E1"/>
    <w:rsid w:val="009675A9"/>
    <w:rsid w:val="00975543"/>
    <w:rsid w:val="0097706B"/>
    <w:rsid w:val="00983C05"/>
    <w:rsid w:val="00987327"/>
    <w:rsid w:val="00992FC7"/>
    <w:rsid w:val="0099685B"/>
    <w:rsid w:val="009A18FA"/>
    <w:rsid w:val="009A46D1"/>
    <w:rsid w:val="009A4867"/>
    <w:rsid w:val="009A61E7"/>
    <w:rsid w:val="009B208D"/>
    <w:rsid w:val="009D2D19"/>
    <w:rsid w:val="009D6E2D"/>
    <w:rsid w:val="009E3347"/>
    <w:rsid w:val="009E70D2"/>
    <w:rsid w:val="009F349C"/>
    <w:rsid w:val="00A005DF"/>
    <w:rsid w:val="00A10FEC"/>
    <w:rsid w:val="00A158B7"/>
    <w:rsid w:val="00A1798D"/>
    <w:rsid w:val="00A25351"/>
    <w:rsid w:val="00A27488"/>
    <w:rsid w:val="00A36054"/>
    <w:rsid w:val="00A36619"/>
    <w:rsid w:val="00A36DBF"/>
    <w:rsid w:val="00A41EFC"/>
    <w:rsid w:val="00A47FAC"/>
    <w:rsid w:val="00A51FFE"/>
    <w:rsid w:val="00A54A3B"/>
    <w:rsid w:val="00A65F7C"/>
    <w:rsid w:val="00A66039"/>
    <w:rsid w:val="00A71210"/>
    <w:rsid w:val="00A71DE4"/>
    <w:rsid w:val="00A766F6"/>
    <w:rsid w:val="00A825D8"/>
    <w:rsid w:val="00A832BB"/>
    <w:rsid w:val="00A8331D"/>
    <w:rsid w:val="00AA0DF9"/>
    <w:rsid w:val="00AA18F8"/>
    <w:rsid w:val="00AA43CE"/>
    <w:rsid w:val="00AA6C22"/>
    <w:rsid w:val="00AA70CD"/>
    <w:rsid w:val="00AB48D7"/>
    <w:rsid w:val="00AC22BF"/>
    <w:rsid w:val="00AC4DF6"/>
    <w:rsid w:val="00AC7159"/>
    <w:rsid w:val="00AD1AC6"/>
    <w:rsid w:val="00AD1B64"/>
    <w:rsid w:val="00AD62AA"/>
    <w:rsid w:val="00AE2BE7"/>
    <w:rsid w:val="00AE3A54"/>
    <w:rsid w:val="00AE6C6F"/>
    <w:rsid w:val="00AE7727"/>
    <w:rsid w:val="00AF2D63"/>
    <w:rsid w:val="00AF6101"/>
    <w:rsid w:val="00B02B92"/>
    <w:rsid w:val="00B14EAF"/>
    <w:rsid w:val="00B24A6B"/>
    <w:rsid w:val="00B2520A"/>
    <w:rsid w:val="00B26DED"/>
    <w:rsid w:val="00B27202"/>
    <w:rsid w:val="00B27685"/>
    <w:rsid w:val="00B3393F"/>
    <w:rsid w:val="00B355FA"/>
    <w:rsid w:val="00B449E7"/>
    <w:rsid w:val="00B511D0"/>
    <w:rsid w:val="00B536A5"/>
    <w:rsid w:val="00B65973"/>
    <w:rsid w:val="00B7082D"/>
    <w:rsid w:val="00B73738"/>
    <w:rsid w:val="00B74EB0"/>
    <w:rsid w:val="00B77587"/>
    <w:rsid w:val="00B77DA7"/>
    <w:rsid w:val="00B824B2"/>
    <w:rsid w:val="00B8316C"/>
    <w:rsid w:val="00B86327"/>
    <w:rsid w:val="00B9195C"/>
    <w:rsid w:val="00BA315E"/>
    <w:rsid w:val="00BA78C9"/>
    <w:rsid w:val="00BB32EA"/>
    <w:rsid w:val="00BB336B"/>
    <w:rsid w:val="00BB5838"/>
    <w:rsid w:val="00BB6987"/>
    <w:rsid w:val="00BC42A8"/>
    <w:rsid w:val="00BC5A3A"/>
    <w:rsid w:val="00BC6B9B"/>
    <w:rsid w:val="00BD12D1"/>
    <w:rsid w:val="00BE0930"/>
    <w:rsid w:val="00BF2A19"/>
    <w:rsid w:val="00C01A62"/>
    <w:rsid w:val="00C11420"/>
    <w:rsid w:val="00C135D2"/>
    <w:rsid w:val="00C1488A"/>
    <w:rsid w:val="00C21D56"/>
    <w:rsid w:val="00C220FA"/>
    <w:rsid w:val="00C271CC"/>
    <w:rsid w:val="00C31053"/>
    <w:rsid w:val="00C409C0"/>
    <w:rsid w:val="00C43CD9"/>
    <w:rsid w:val="00C43DE1"/>
    <w:rsid w:val="00C44230"/>
    <w:rsid w:val="00C44344"/>
    <w:rsid w:val="00C45AB3"/>
    <w:rsid w:val="00C5130C"/>
    <w:rsid w:val="00C56894"/>
    <w:rsid w:val="00C62763"/>
    <w:rsid w:val="00C63D2C"/>
    <w:rsid w:val="00C647A8"/>
    <w:rsid w:val="00C65DC7"/>
    <w:rsid w:val="00C6720D"/>
    <w:rsid w:val="00C718CF"/>
    <w:rsid w:val="00C73871"/>
    <w:rsid w:val="00C75B1C"/>
    <w:rsid w:val="00C826FC"/>
    <w:rsid w:val="00C852A4"/>
    <w:rsid w:val="00C85AC3"/>
    <w:rsid w:val="00C872FA"/>
    <w:rsid w:val="00C9375E"/>
    <w:rsid w:val="00C95E3F"/>
    <w:rsid w:val="00C96FC5"/>
    <w:rsid w:val="00CA0BAA"/>
    <w:rsid w:val="00CA3AF2"/>
    <w:rsid w:val="00CA5DB4"/>
    <w:rsid w:val="00CB354F"/>
    <w:rsid w:val="00CC0FE3"/>
    <w:rsid w:val="00CC5943"/>
    <w:rsid w:val="00CD3F93"/>
    <w:rsid w:val="00CE2B2E"/>
    <w:rsid w:val="00CF5C6E"/>
    <w:rsid w:val="00D00498"/>
    <w:rsid w:val="00D006A1"/>
    <w:rsid w:val="00D03B8E"/>
    <w:rsid w:val="00D05C85"/>
    <w:rsid w:val="00D3781D"/>
    <w:rsid w:val="00D401B4"/>
    <w:rsid w:val="00D44AC8"/>
    <w:rsid w:val="00D532DF"/>
    <w:rsid w:val="00D54777"/>
    <w:rsid w:val="00D64561"/>
    <w:rsid w:val="00D64B35"/>
    <w:rsid w:val="00D71678"/>
    <w:rsid w:val="00D7429D"/>
    <w:rsid w:val="00D74B22"/>
    <w:rsid w:val="00D77C84"/>
    <w:rsid w:val="00D80180"/>
    <w:rsid w:val="00D82DD5"/>
    <w:rsid w:val="00D86BE7"/>
    <w:rsid w:val="00D93E30"/>
    <w:rsid w:val="00D94535"/>
    <w:rsid w:val="00DC3B52"/>
    <w:rsid w:val="00DD152E"/>
    <w:rsid w:val="00DD230D"/>
    <w:rsid w:val="00DE019A"/>
    <w:rsid w:val="00DE3BEC"/>
    <w:rsid w:val="00DE783A"/>
    <w:rsid w:val="00DE7B60"/>
    <w:rsid w:val="00DE7BE3"/>
    <w:rsid w:val="00DF2806"/>
    <w:rsid w:val="00DF6EF5"/>
    <w:rsid w:val="00E01D23"/>
    <w:rsid w:val="00E063B0"/>
    <w:rsid w:val="00E07229"/>
    <w:rsid w:val="00E12651"/>
    <w:rsid w:val="00E13D46"/>
    <w:rsid w:val="00E154B2"/>
    <w:rsid w:val="00E2490C"/>
    <w:rsid w:val="00E24B2A"/>
    <w:rsid w:val="00E254AE"/>
    <w:rsid w:val="00E26BA3"/>
    <w:rsid w:val="00E36D1B"/>
    <w:rsid w:val="00E37184"/>
    <w:rsid w:val="00E455C3"/>
    <w:rsid w:val="00E512CF"/>
    <w:rsid w:val="00E52CB2"/>
    <w:rsid w:val="00E61922"/>
    <w:rsid w:val="00E61C56"/>
    <w:rsid w:val="00E6389B"/>
    <w:rsid w:val="00E64411"/>
    <w:rsid w:val="00E70906"/>
    <w:rsid w:val="00E76725"/>
    <w:rsid w:val="00EA17C8"/>
    <w:rsid w:val="00EB1A19"/>
    <w:rsid w:val="00EB746F"/>
    <w:rsid w:val="00EB74D1"/>
    <w:rsid w:val="00EC3385"/>
    <w:rsid w:val="00ED68B7"/>
    <w:rsid w:val="00EF7726"/>
    <w:rsid w:val="00F07D9A"/>
    <w:rsid w:val="00F21B57"/>
    <w:rsid w:val="00F27422"/>
    <w:rsid w:val="00F35D78"/>
    <w:rsid w:val="00F35DA2"/>
    <w:rsid w:val="00F434E6"/>
    <w:rsid w:val="00F444AB"/>
    <w:rsid w:val="00F55118"/>
    <w:rsid w:val="00F57CCF"/>
    <w:rsid w:val="00F60323"/>
    <w:rsid w:val="00F611A5"/>
    <w:rsid w:val="00F632BF"/>
    <w:rsid w:val="00F649E1"/>
    <w:rsid w:val="00F66063"/>
    <w:rsid w:val="00F678B2"/>
    <w:rsid w:val="00F71658"/>
    <w:rsid w:val="00F77337"/>
    <w:rsid w:val="00F82C05"/>
    <w:rsid w:val="00F8387F"/>
    <w:rsid w:val="00F8468E"/>
    <w:rsid w:val="00F874AE"/>
    <w:rsid w:val="00FA0DB7"/>
    <w:rsid w:val="00FB0ADD"/>
    <w:rsid w:val="00FB3535"/>
    <w:rsid w:val="00FB7095"/>
    <w:rsid w:val="00FC57C4"/>
    <w:rsid w:val="00FC6D37"/>
    <w:rsid w:val="00FD43E3"/>
    <w:rsid w:val="00FF6229"/>
    <w:rsid w:val="212C994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73F727"/>
  <w15:docId w15:val="{C00D31C0-BD3C-4DB9-A62A-6B820640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laad">
    <w:name w:val="Normal"/>
    <w:qFormat/>
    <w:rsid w:val="001F7156"/>
    <w:pPr>
      <w:spacing w:after="120"/>
      <w:jc w:val="both"/>
    </w:pPr>
    <w:rPr>
      <w:sz w:val="24"/>
      <w:szCs w:val="24"/>
      <w:lang w:val="en-US" w:eastAsia="en-US"/>
    </w:rPr>
  </w:style>
  <w:style w:type="paragraph" w:styleId="Pealkiri1">
    <w:name w:val="heading 1"/>
    <w:basedOn w:val="Normaallaad"/>
    <w:next w:val="Normaallaad"/>
    <w:link w:val="Pealkiri1Mrk"/>
    <w:qFormat/>
    <w:locked/>
    <w:rsid w:val="00921FDF"/>
    <w:pPr>
      <w:keepNext/>
      <w:keepLines/>
      <w:numPr>
        <w:numId w:val="2"/>
      </w:numPr>
      <w:spacing w:before="240"/>
      <w:outlineLvl w:val="0"/>
    </w:pPr>
    <w:rPr>
      <w:rFonts w:eastAsiaTheme="majorEastAsia" w:cstheme="majorBidi"/>
      <w:b/>
      <w:szCs w:val="32"/>
      <w:lang w:val="en-GB"/>
    </w:rPr>
  </w:style>
  <w:style w:type="paragraph" w:styleId="Pealkiri2">
    <w:name w:val="heading 2"/>
    <w:basedOn w:val="Pealkiri1"/>
    <w:next w:val="Normaallaad"/>
    <w:link w:val="Pealkiri2Mrk"/>
    <w:unhideWhenUsed/>
    <w:qFormat/>
    <w:locked/>
    <w:rsid w:val="00921FDF"/>
    <w:pPr>
      <w:numPr>
        <w:ilvl w:val="1"/>
      </w:numPr>
      <w:outlineLvl w:val="1"/>
    </w:pPr>
  </w:style>
  <w:style w:type="paragraph" w:styleId="Pealkiri3">
    <w:name w:val="heading 3"/>
    <w:basedOn w:val="Normaallaad"/>
    <w:next w:val="Normaallaad"/>
    <w:link w:val="Pealkiri3Mrk"/>
    <w:uiPriority w:val="99"/>
    <w:qFormat/>
    <w:rsid w:val="000B439D"/>
    <w:pPr>
      <w:keepNext/>
      <w:outlineLvl w:val="2"/>
    </w:pPr>
    <w:rPr>
      <w:b/>
      <w:bCs/>
      <w:u w:val="single"/>
    </w:rPr>
  </w:style>
  <w:style w:type="character" w:default="1" w:styleId="Liguvaikefont">
    <w:name w:val="Default Paragraph Font"/>
    <w:uiPriority w:val="1"/>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3Mrk">
    <w:name w:val="Pealkiri 3 Märk"/>
    <w:basedOn w:val="Liguvaikefont"/>
    <w:link w:val="Pealkiri3"/>
    <w:uiPriority w:val="9"/>
    <w:semiHidden/>
    <w:rsid w:val="00DE739F"/>
    <w:rPr>
      <w:rFonts w:ascii="Cambria" w:eastAsia="Times New Roman" w:hAnsi="Cambria" w:cs="Times New Roman"/>
      <w:b/>
      <w:bCs/>
      <w:sz w:val="26"/>
      <w:szCs w:val="26"/>
    </w:rPr>
  </w:style>
  <w:style w:type="paragraph" w:styleId="Kehatekst">
    <w:name w:val="Body Text"/>
    <w:basedOn w:val="Normaallaad"/>
    <w:link w:val="KehatekstMrk"/>
    <w:uiPriority w:val="99"/>
    <w:semiHidden/>
    <w:rsid w:val="000B439D"/>
    <w:pPr>
      <w:spacing w:line="480" w:lineRule="auto"/>
    </w:pPr>
  </w:style>
  <w:style w:type="character" w:customStyle="1" w:styleId="KehatekstMrk">
    <w:name w:val="Kehatekst Märk"/>
    <w:basedOn w:val="Liguvaikefont"/>
    <w:link w:val="Kehatekst"/>
    <w:uiPriority w:val="99"/>
    <w:semiHidden/>
    <w:rsid w:val="00DE739F"/>
    <w:rPr>
      <w:sz w:val="24"/>
      <w:szCs w:val="24"/>
    </w:rPr>
  </w:style>
  <w:style w:type="character" w:customStyle="1" w:styleId="apple-style-span">
    <w:name w:val="apple-style-span"/>
    <w:basedOn w:val="Liguvaikefont"/>
    <w:uiPriority w:val="99"/>
    <w:rsid w:val="00B9195C"/>
  </w:style>
  <w:style w:type="character" w:styleId="Tugev">
    <w:name w:val="Strong"/>
    <w:basedOn w:val="Liguvaikefont"/>
    <w:uiPriority w:val="22"/>
    <w:qFormat/>
    <w:rsid w:val="00B9195C"/>
    <w:rPr>
      <w:b/>
      <w:bCs/>
    </w:rPr>
  </w:style>
  <w:style w:type="character" w:styleId="Hperlink">
    <w:name w:val="Hyperlink"/>
    <w:basedOn w:val="Liguvaikefont"/>
    <w:uiPriority w:val="99"/>
    <w:rsid w:val="002A6A11"/>
    <w:rPr>
      <w:color w:val="0000FF"/>
      <w:u w:val="single"/>
    </w:rPr>
  </w:style>
  <w:style w:type="paragraph" w:styleId="Jutumullitekst">
    <w:name w:val="Balloon Text"/>
    <w:basedOn w:val="Normaallaad"/>
    <w:link w:val="JutumullitekstMrk"/>
    <w:uiPriority w:val="99"/>
    <w:semiHidden/>
    <w:rsid w:val="00FD43E3"/>
    <w:rPr>
      <w:rFonts w:ascii="Tahoma" w:hAnsi="Tahoma" w:cs="Tahoma"/>
      <w:sz w:val="16"/>
      <w:szCs w:val="16"/>
    </w:rPr>
  </w:style>
  <w:style w:type="character" w:customStyle="1" w:styleId="JutumullitekstMrk">
    <w:name w:val="Jutumullitekst Märk"/>
    <w:basedOn w:val="Liguvaikefont"/>
    <w:link w:val="Jutumullitekst"/>
    <w:uiPriority w:val="99"/>
    <w:semiHidden/>
    <w:locked/>
    <w:rsid w:val="00FD43E3"/>
    <w:rPr>
      <w:rFonts w:ascii="Tahoma" w:hAnsi="Tahoma" w:cs="Tahoma"/>
      <w:sz w:val="16"/>
      <w:szCs w:val="16"/>
      <w:lang w:val="en-US" w:eastAsia="en-US"/>
    </w:rPr>
  </w:style>
  <w:style w:type="paragraph" w:styleId="Pis">
    <w:name w:val="header"/>
    <w:basedOn w:val="Normaallaad"/>
    <w:link w:val="PisMrk"/>
    <w:uiPriority w:val="99"/>
    <w:semiHidden/>
    <w:rsid w:val="00D7429D"/>
    <w:pPr>
      <w:tabs>
        <w:tab w:val="center" w:pos="4536"/>
        <w:tab w:val="right" w:pos="9072"/>
      </w:tabs>
    </w:pPr>
  </w:style>
  <w:style w:type="character" w:customStyle="1" w:styleId="PisMrk">
    <w:name w:val="Päis Märk"/>
    <w:basedOn w:val="Liguvaikefont"/>
    <w:link w:val="Pis"/>
    <w:uiPriority w:val="99"/>
    <w:semiHidden/>
    <w:locked/>
    <w:rsid w:val="00D7429D"/>
    <w:rPr>
      <w:sz w:val="24"/>
      <w:szCs w:val="24"/>
      <w:lang w:val="en-US" w:eastAsia="en-US"/>
    </w:rPr>
  </w:style>
  <w:style w:type="paragraph" w:styleId="Jalus">
    <w:name w:val="footer"/>
    <w:basedOn w:val="Normaallaad"/>
    <w:link w:val="JalusMrk"/>
    <w:uiPriority w:val="99"/>
    <w:rsid w:val="00D7429D"/>
    <w:pPr>
      <w:tabs>
        <w:tab w:val="center" w:pos="4536"/>
        <w:tab w:val="right" w:pos="9072"/>
      </w:tabs>
    </w:pPr>
  </w:style>
  <w:style w:type="character" w:customStyle="1" w:styleId="JalusMrk">
    <w:name w:val="Jalus Märk"/>
    <w:basedOn w:val="Liguvaikefont"/>
    <w:link w:val="Jalus"/>
    <w:uiPriority w:val="99"/>
    <w:locked/>
    <w:rsid w:val="00D7429D"/>
    <w:rPr>
      <w:sz w:val="24"/>
      <w:szCs w:val="24"/>
      <w:lang w:val="en-US" w:eastAsia="en-US"/>
    </w:rPr>
  </w:style>
  <w:style w:type="paragraph" w:styleId="HTML-eelvormindatud">
    <w:name w:val="HTML Preformatted"/>
    <w:basedOn w:val="Normaallaad"/>
    <w:link w:val="HTML-eelvormindatudMrk"/>
    <w:uiPriority w:val="99"/>
    <w:semiHidden/>
    <w:rsid w:val="00D7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hu-HU" w:eastAsia="hu-HU"/>
    </w:rPr>
  </w:style>
  <w:style w:type="character" w:customStyle="1" w:styleId="HTML-eelvormindatudMrk">
    <w:name w:val="HTML-eelvormindatud Märk"/>
    <w:basedOn w:val="Liguvaikefont"/>
    <w:link w:val="HTML-eelvormindatud"/>
    <w:uiPriority w:val="99"/>
    <w:semiHidden/>
    <w:locked/>
    <w:rsid w:val="00D7429D"/>
    <w:rPr>
      <w:rFonts w:ascii="Courier New" w:hAnsi="Courier New" w:cs="Courier New"/>
      <w:lang w:val="hu-HU" w:eastAsia="hu-HU"/>
    </w:rPr>
  </w:style>
  <w:style w:type="character" w:styleId="Kommentaariviide">
    <w:name w:val="annotation reference"/>
    <w:basedOn w:val="Liguvaikefont"/>
    <w:uiPriority w:val="99"/>
    <w:semiHidden/>
    <w:unhideWhenUsed/>
    <w:rsid w:val="00AC22BF"/>
    <w:rPr>
      <w:sz w:val="16"/>
      <w:szCs w:val="16"/>
    </w:rPr>
  </w:style>
  <w:style w:type="paragraph" w:styleId="Kommentaaritekst">
    <w:name w:val="annotation text"/>
    <w:basedOn w:val="Normaallaad"/>
    <w:link w:val="KommentaaritekstMrk"/>
    <w:uiPriority w:val="99"/>
    <w:semiHidden/>
    <w:unhideWhenUsed/>
    <w:rsid w:val="00AC22BF"/>
    <w:rPr>
      <w:sz w:val="20"/>
      <w:szCs w:val="20"/>
    </w:rPr>
  </w:style>
  <w:style w:type="character" w:customStyle="1" w:styleId="KommentaaritekstMrk">
    <w:name w:val="Kommentaari tekst Märk"/>
    <w:basedOn w:val="Liguvaikefont"/>
    <w:link w:val="Kommentaaritekst"/>
    <w:uiPriority w:val="99"/>
    <w:semiHidden/>
    <w:rsid w:val="00AC22BF"/>
    <w:rPr>
      <w:lang w:val="en-US" w:eastAsia="en-US"/>
    </w:rPr>
  </w:style>
  <w:style w:type="paragraph" w:styleId="Kommentaariteema">
    <w:name w:val="annotation subject"/>
    <w:basedOn w:val="Kommentaaritekst"/>
    <w:next w:val="Kommentaaritekst"/>
    <w:link w:val="KommentaariteemaMrk"/>
    <w:uiPriority w:val="99"/>
    <w:semiHidden/>
    <w:unhideWhenUsed/>
    <w:rsid w:val="00AC22BF"/>
    <w:rPr>
      <w:b/>
      <w:bCs/>
    </w:rPr>
  </w:style>
  <w:style w:type="character" w:customStyle="1" w:styleId="KommentaariteemaMrk">
    <w:name w:val="Kommentaari teema Märk"/>
    <w:basedOn w:val="KommentaaritekstMrk"/>
    <w:link w:val="Kommentaariteema"/>
    <w:uiPriority w:val="99"/>
    <w:semiHidden/>
    <w:rsid w:val="00AC22BF"/>
    <w:rPr>
      <w:b/>
      <w:bCs/>
      <w:lang w:val="en-US" w:eastAsia="en-US"/>
    </w:rPr>
  </w:style>
  <w:style w:type="character" w:customStyle="1" w:styleId="Pealkiri1Mrk">
    <w:name w:val="Pealkiri 1 Märk"/>
    <w:basedOn w:val="Liguvaikefont"/>
    <w:link w:val="Pealkiri1"/>
    <w:rsid w:val="00921FDF"/>
    <w:rPr>
      <w:rFonts w:eastAsiaTheme="majorEastAsia" w:cstheme="majorBidi"/>
      <w:b/>
      <w:sz w:val="24"/>
      <w:szCs w:val="32"/>
      <w:lang w:val="en-GB" w:eastAsia="en-US"/>
    </w:rPr>
  </w:style>
  <w:style w:type="character" w:styleId="Vaevumrgatavrhutus">
    <w:name w:val="Subtle Emphasis"/>
    <w:basedOn w:val="Liguvaikefont"/>
    <w:uiPriority w:val="19"/>
    <w:qFormat/>
    <w:rsid w:val="00F632BF"/>
    <w:rPr>
      <w:i/>
      <w:iCs/>
      <w:color w:val="404040" w:themeColor="text1" w:themeTint="BF"/>
    </w:rPr>
  </w:style>
  <w:style w:type="character" w:customStyle="1" w:styleId="Pealkiri2Mrk">
    <w:name w:val="Pealkiri 2 Märk"/>
    <w:basedOn w:val="Liguvaikefont"/>
    <w:link w:val="Pealkiri2"/>
    <w:rsid w:val="00921FDF"/>
    <w:rPr>
      <w:rFonts w:eastAsiaTheme="majorEastAsia" w:cstheme="majorBidi"/>
      <w:b/>
      <w:sz w:val="24"/>
      <w:szCs w:val="32"/>
      <w:lang w:val="en-GB" w:eastAsia="en-US"/>
    </w:rPr>
  </w:style>
  <w:style w:type="paragraph" w:styleId="Pealdis">
    <w:name w:val="caption"/>
    <w:basedOn w:val="Normaallaad"/>
    <w:next w:val="Normaallaad"/>
    <w:link w:val="PealdisMrk"/>
    <w:unhideWhenUsed/>
    <w:qFormat/>
    <w:locked/>
    <w:rsid w:val="007541DE"/>
    <w:pPr>
      <w:spacing w:before="240" w:after="0"/>
    </w:pPr>
    <w:rPr>
      <w:iCs/>
      <w:szCs w:val="18"/>
    </w:rPr>
  </w:style>
  <w:style w:type="paragraph" w:customStyle="1" w:styleId="Table">
    <w:name w:val="Table"/>
    <w:basedOn w:val="Normaallaad"/>
    <w:link w:val="TableMrk"/>
    <w:qFormat/>
    <w:rsid w:val="005962BF"/>
    <w:pPr>
      <w:spacing w:after="0"/>
    </w:pPr>
    <w:rPr>
      <w:szCs w:val="20"/>
      <w:lang w:val="et-EE" w:eastAsia="et-EE"/>
    </w:rPr>
  </w:style>
  <w:style w:type="paragraph" w:customStyle="1" w:styleId="Source">
    <w:name w:val="Source"/>
    <w:basedOn w:val="Pealdis"/>
    <w:link w:val="SourceMrk"/>
    <w:qFormat/>
    <w:rsid w:val="007541DE"/>
    <w:pPr>
      <w:spacing w:before="0" w:after="240"/>
      <w:contextualSpacing/>
    </w:pPr>
    <w:rPr>
      <w:i/>
    </w:rPr>
  </w:style>
  <w:style w:type="character" w:customStyle="1" w:styleId="TableMrk">
    <w:name w:val="Table Märk"/>
    <w:basedOn w:val="Liguvaikefont"/>
    <w:link w:val="Table"/>
    <w:rsid w:val="005962BF"/>
    <w:rPr>
      <w:sz w:val="24"/>
      <w:lang w:val="et-EE" w:eastAsia="et-EE"/>
    </w:rPr>
  </w:style>
  <w:style w:type="character" w:customStyle="1" w:styleId="PealdisMrk">
    <w:name w:val="Pealdis Märk"/>
    <w:basedOn w:val="Liguvaikefont"/>
    <w:link w:val="Pealdis"/>
    <w:rsid w:val="007541DE"/>
    <w:rPr>
      <w:iCs/>
      <w:sz w:val="24"/>
      <w:szCs w:val="18"/>
      <w:lang w:val="en-US" w:eastAsia="en-US"/>
    </w:rPr>
  </w:style>
  <w:style w:type="character" w:customStyle="1" w:styleId="SourceMrk">
    <w:name w:val="Source Märk"/>
    <w:basedOn w:val="PealdisMrk"/>
    <w:link w:val="Source"/>
    <w:rsid w:val="007541DE"/>
    <w:rPr>
      <w:i/>
      <w:iCs/>
      <w:sz w:val="24"/>
      <w:szCs w:val="18"/>
      <w:lang w:val="en-US" w:eastAsia="en-US"/>
    </w:rPr>
  </w:style>
  <w:style w:type="character" w:styleId="Kohatitetekst">
    <w:name w:val="Placeholder Text"/>
    <w:basedOn w:val="Liguvaikefont"/>
    <w:uiPriority w:val="99"/>
    <w:semiHidden/>
    <w:rsid w:val="00A41EFC"/>
    <w:rPr>
      <w:color w:val="808080"/>
    </w:rPr>
  </w:style>
  <w:style w:type="paragraph" w:styleId="Bibliograafia">
    <w:name w:val="Bibliography"/>
    <w:basedOn w:val="Normaallaad"/>
    <w:next w:val="Normaallaad"/>
    <w:uiPriority w:val="37"/>
    <w:unhideWhenUsed/>
    <w:rsid w:val="00221A0C"/>
    <w:pPr>
      <w:spacing w:after="0"/>
      <w:ind w:left="720" w:hanging="720"/>
    </w:pPr>
  </w:style>
  <w:style w:type="table" w:styleId="Kontuurtabel">
    <w:name w:val="Table Grid"/>
    <w:basedOn w:val="Normaaltabel"/>
    <w:locked/>
    <w:rsid w:val="00D00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lmrkusetekst">
    <w:name w:val="footnote text"/>
    <w:basedOn w:val="Normaallaad"/>
    <w:link w:val="AllmrkusetekstMrk"/>
    <w:uiPriority w:val="99"/>
    <w:semiHidden/>
    <w:unhideWhenUsed/>
    <w:rsid w:val="009A18FA"/>
    <w:pPr>
      <w:spacing w:after="0"/>
    </w:pPr>
    <w:rPr>
      <w:sz w:val="20"/>
      <w:szCs w:val="20"/>
    </w:rPr>
  </w:style>
  <w:style w:type="character" w:customStyle="1" w:styleId="AllmrkusetekstMrk">
    <w:name w:val="Allmärkuse tekst Märk"/>
    <w:basedOn w:val="Liguvaikefont"/>
    <w:link w:val="Allmrkusetekst"/>
    <w:uiPriority w:val="99"/>
    <w:semiHidden/>
    <w:rsid w:val="009A18FA"/>
    <w:rPr>
      <w:lang w:val="en-US" w:eastAsia="en-US"/>
    </w:rPr>
  </w:style>
  <w:style w:type="character" w:styleId="Allmrkuseviide">
    <w:name w:val="footnote reference"/>
    <w:basedOn w:val="Liguvaikefont"/>
    <w:uiPriority w:val="99"/>
    <w:semiHidden/>
    <w:unhideWhenUsed/>
    <w:rsid w:val="009A18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9389">
      <w:bodyDiv w:val="1"/>
      <w:marLeft w:val="0"/>
      <w:marRight w:val="0"/>
      <w:marTop w:val="0"/>
      <w:marBottom w:val="0"/>
      <w:divBdr>
        <w:top w:val="none" w:sz="0" w:space="0" w:color="auto"/>
        <w:left w:val="none" w:sz="0" w:space="0" w:color="auto"/>
        <w:bottom w:val="none" w:sz="0" w:space="0" w:color="auto"/>
        <w:right w:val="none" w:sz="0" w:space="0" w:color="auto"/>
      </w:divBdr>
    </w:div>
    <w:div w:id="118572900">
      <w:bodyDiv w:val="1"/>
      <w:marLeft w:val="0"/>
      <w:marRight w:val="0"/>
      <w:marTop w:val="0"/>
      <w:marBottom w:val="0"/>
      <w:divBdr>
        <w:top w:val="none" w:sz="0" w:space="0" w:color="auto"/>
        <w:left w:val="none" w:sz="0" w:space="0" w:color="auto"/>
        <w:bottom w:val="none" w:sz="0" w:space="0" w:color="auto"/>
        <w:right w:val="none" w:sz="0" w:space="0" w:color="auto"/>
      </w:divBdr>
    </w:div>
    <w:div w:id="319891528">
      <w:bodyDiv w:val="1"/>
      <w:marLeft w:val="0"/>
      <w:marRight w:val="0"/>
      <w:marTop w:val="0"/>
      <w:marBottom w:val="0"/>
      <w:divBdr>
        <w:top w:val="none" w:sz="0" w:space="0" w:color="auto"/>
        <w:left w:val="none" w:sz="0" w:space="0" w:color="auto"/>
        <w:bottom w:val="none" w:sz="0" w:space="0" w:color="auto"/>
        <w:right w:val="none" w:sz="0" w:space="0" w:color="auto"/>
      </w:divBdr>
    </w:div>
    <w:div w:id="380442289">
      <w:bodyDiv w:val="1"/>
      <w:marLeft w:val="0"/>
      <w:marRight w:val="0"/>
      <w:marTop w:val="0"/>
      <w:marBottom w:val="0"/>
      <w:divBdr>
        <w:top w:val="none" w:sz="0" w:space="0" w:color="auto"/>
        <w:left w:val="none" w:sz="0" w:space="0" w:color="auto"/>
        <w:bottom w:val="none" w:sz="0" w:space="0" w:color="auto"/>
        <w:right w:val="none" w:sz="0" w:space="0" w:color="auto"/>
      </w:divBdr>
    </w:div>
    <w:div w:id="385422551">
      <w:bodyDiv w:val="1"/>
      <w:marLeft w:val="0"/>
      <w:marRight w:val="0"/>
      <w:marTop w:val="0"/>
      <w:marBottom w:val="0"/>
      <w:divBdr>
        <w:top w:val="none" w:sz="0" w:space="0" w:color="auto"/>
        <w:left w:val="none" w:sz="0" w:space="0" w:color="auto"/>
        <w:bottom w:val="none" w:sz="0" w:space="0" w:color="auto"/>
        <w:right w:val="none" w:sz="0" w:space="0" w:color="auto"/>
      </w:divBdr>
    </w:div>
    <w:div w:id="742918028">
      <w:bodyDiv w:val="1"/>
      <w:marLeft w:val="0"/>
      <w:marRight w:val="0"/>
      <w:marTop w:val="0"/>
      <w:marBottom w:val="0"/>
      <w:divBdr>
        <w:top w:val="none" w:sz="0" w:space="0" w:color="auto"/>
        <w:left w:val="none" w:sz="0" w:space="0" w:color="auto"/>
        <w:bottom w:val="none" w:sz="0" w:space="0" w:color="auto"/>
        <w:right w:val="none" w:sz="0" w:space="0" w:color="auto"/>
      </w:divBdr>
    </w:div>
    <w:div w:id="1034189874">
      <w:bodyDiv w:val="1"/>
      <w:marLeft w:val="0"/>
      <w:marRight w:val="0"/>
      <w:marTop w:val="0"/>
      <w:marBottom w:val="0"/>
      <w:divBdr>
        <w:top w:val="none" w:sz="0" w:space="0" w:color="auto"/>
        <w:left w:val="none" w:sz="0" w:space="0" w:color="auto"/>
        <w:bottom w:val="none" w:sz="0" w:space="0" w:color="auto"/>
        <w:right w:val="none" w:sz="0" w:space="0" w:color="auto"/>
      </w:divBdr>
    </w:div>
    <w:div w:id="1132820060">
      <w:bodyDiv w:val="1"/>
      <w:marLeft w:val="0"/>
      <w:marRight w:val="0"/>
      <w:marTop w:val="0"/>
      <w:marBottom w:val="0"/>
      <w:divBdr>
        <w:top w:val="none" w:sz="0" w:space="0" w:color="auto"/>
        <w:left w:val="none" w:sz="0" w:space="0" w:color="auto"/>
        <w:bottom w:val="none" w:sz="0" w:space="0" w:color="auto"/>
        <w:right w:val="none" w:sz="0" w:space="0" w:color="auto"/>
      </w:divBdr>
    </w:div>
    <w:div w:id="1411806362">
      <w:bodyDiv w:val="1"/>
      <w:marLeft w:val="0"/>
      <w:marRight w:val="0"/>
      <w:marTop w:val="0"/>
      <w:marBottom w:val="0"/>
      <w:divBdr>
        <w:top w:val="none" w:sz="0" w:space="0" w:color="auto"/>
        <w:left w:val="none" w:sz="0" w:space="0" w:color="auto"/>
        <w:bottom w:val="none" w:sz="0" w:space="0" w:color="auto"/>
        <w:right w:val="none" w:sz="0" w:space="0" w:color="auto"/>
      </w:divBdr>
    </w:div>
    <w:div w:id="1703746295">
      <w:bodyDiv w:val="1"/>
      <w:marLeft w:val="0"/>
      <w:marRight w:val="0"/>
      <w:marTop w:val="0"/>
      <w:marBottom w:val="0"/>
      <w:divBdr>
        <w:top w:val="none" w:sz="0" w:space="0" w:color="auto"/>
        <w:left w:val="none" w:sz="0" w:space="0" w:color="auto"/>
        <w:bottom w:val="none" w:sz="0" w:space="0" w:color="auto"/>
        <w:right w:val="none" w:sz="0" w:space="0" w:color="auto"/>
      </w:divBdr>
    </w:div>
    <w:div w:id="1775859529">
      <w:bodyDiv w:val="1"/>
      <w:marLeft w:val="0"/>
      <w:marRight w:val="0"/>
      <w:marTop w:val="0"/>
      <w:marBottom w:val="0"/>
      <w:divBdr>
        <w:top w:val="none" w:sz="0" w:space="0" w:color="auto"/>
        <w:left w:val="none" w:sz="0" w:space="0" w:color="auto"/>
        <w:bottom w:val="none" w:sz="0" w:space="0" w:color="auto"/>
        <w:right w:val="none" w:sz="0" w:space="0" w:color="auto"/>
      </w:divBdr>
    </w:div>
    <w:div w:id="1781945563">
      <w:bodyDiv w:val="1"/>
      <w:marLeft w:val="0"/>
      <w:marRight w:val="0"/>
      <w:marTop w:val="0"/>
      <w:marBottom w:val="0"/>
      <w:divBdr>
        <w:top w:val="none" w:sz="0" w:space="0" w:color="auto"/>
        <w:left w:val="none" w:sz="0" w:space="0" w:color="auto"/>
        <w:bottom w:val="none" w:sz="0" w:space="0" w:color="auto"/>
        <w:right w:val="none" w:sz="0" w:space="0" w:color="auto"/>
      </w:divBdr>
    </w:div>
    <w:div w:id="1847866828">
      <w:bodyDiv w:val="1"/>
      <w:marLeft w:val="0"/>
      <w:marRight w:val="0"/>
      <w:marTop w:val="0"/>
      <w:marBottom w:val="0"/>
      <w:divBdr>
        <w:top w:val="none" w:sz="0" w:space="0" w:color="auto"/>
        <w:left w:val="none" w:sz="0" w:space="0" w:color="auto"/>
        <w:bottom w:val="none" w:sz="0" w:space="0" w:color="auto"/>
        <w:right w:val="none" w:sz="0" w:space="0" w:color="auto"/>
      </w:divBdr>
    </w:div>
    <w:div w:id="1848474752">
      <w:bodyDiv w:val="1"/>
      <w:marLeft w:val="0"/>
      <w:marRight w:val="0"/>
      <w:marTop w:val="0"/>
      <w:marBottom w:val="0"/>
      <w:divBdr>
        <w:top w:val="none" w:sz="0" w:space="0" w:color="auto"/>
        <w:left w:val="none" w:sz="0" w:space="0" w:color="auto"/>
        <w:bottom w:val="none" w:sz="0" w:space="0" w:color="auto"/>
        <w:right w:val="none" w:sz="0" w:space="0" w:color="auto"/>
      </w:divBdr>
    </w:div>
    <w:div w:id="185769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52FBD-B8B9-46C6-A1D2-73466678E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16614</Words>
  <Characters>96365</Characters>
  <Application>Microsoft Office Word</Application>
  <DocSecurity>0</DocSecurity>
  <Lines>803</Lines>
  <Paragraphs>225</Paragraphs>
  <ScaleCrop>false</ScaleCrop>
  <HeadingPairs>
    <vt:vector size="2" baseType="variant">
      <vt:variant>
        <vt:lpstr>Pealkiri</vt:lpstr>
      </vt:variant>
      <vt:variant>
        <vt:i4>1</vt:i4>
      </vt:variant>
    </vt:vector>
  </HeadingPairs>
  <TitlesOfParts>
    <vt:vector size="1" baseType="lpstr">
      <vt:lpstr>Title of the Paper</vt:lpstr>
    </vt:vector>
  </TitlesOfParts>
  <Company>University of Minnesota</Company>
  <LinksUpToDate>false</LinksUpToDate>
  <CharactersWithSpaces>112754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Paper</dc:title>
  <dc:subject/>
  <dc:creator>Valued Gateway Client</dc:creator>
  <cp:keywords/>
  <dc:description/>
  <cp:lastModifiedBy>Jüri Lillemets</cp:lastModifiedBy>
  <cp:revision>12</cp:revision>
  <cp:lastPrinted>2019-05-15T17:12:00Z</cp:lastPrinted>
  <dcterms:created xsi:type="dcterms:W3CDTF">2019-05-14T16:18:00Z</dcterms:created>
  <dcterms:modified xsi:type="dcterms:W3CDTF">2019-05-15T17:12:00Z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id="Qo7ghv7W"/&gt;&lt;style id="http://www.zotero.org/styles/elsevier-harvard" hasBibliography="1" bibliographyStyleHasBeenSet="1"/&gt;&lt;prefs&gt;&lt;pref name="fieldType" value="Field"/&gt;&lt;pref name="delayCitationUpd</vt:lpwstr>
  </property>
  <property fmtid="{D5CDD505-2E9C-101B-9397-08002B2CF9AE}" pid="3" name="ZOTERO_PREF_2">
    <vt:lpwstr>ates" value="true"/&gt;&lt;/prefs&gt;&lt;/data&gt;</vt:lpwstr>
  </property>
</Properties>
</file>