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7E93963">
      <w:pPr>
        <w:spacing w:line="300" w:lineRule="auto"/>
        <w:jc w:val="center"/>
        <w:rPr>
          <w:b/>
          <w:sz w:val="10"/>
          <w:szCs w:val="10"/>
          <w:lang w:eastAsia="zh-CN"/>
        </w:rPr>
      </w:pPr>
    </w:p>
    <w:p w14:paraId="5371C747">
      <w:pPr>
        <w:spacing w:line="300" w:lineRule="auto"/>
        <w:ind w:firstLine="3947" w:firstLineChars="1092"/>
        <w:rPr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刘宇</w:t>
      </w:r>
      <w:r>
        <w:rPr>
          <w:b/>
          <w:sz w:val="36"/>
          <w:szCs w:val="36"/>
          <w:lang w:eastAsia="zh-CN"/>
        </w:rPr>
        <w:t>推荐报告</w:t>
      </w:r>
    </w:p>
    <w:p w14:paraId="2EC2EA9C">
      <w:pPr>
        <w:spacing w:line="300" w:lineRule="auto"/>
        <w:ind w:firstLine="6939" w:firstLineChars="288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</w:t>
      </w:r>
    </w:p>
    <w:p w14:paraId="50CE4EE5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hint="eastAsia" w:eastAsiaTheme="minorEastAsia"/>
          <w:b/>
          <w:shd w:val="pct10" w:color="auto" w:fill="FFFFFF"/>
          <w:lang w:eastAsia="zh-CN"/>
        </w:rPr>
        <w:t>个人资料</w:t>
      </w:r>
    </w:p>
    <w:tbl>
      <w:tblPr>
        <w:tblStyle w:val="16"/>
        <w:tblW w:w="9923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8"/>
        <w:gridCol w:w="2625"/>
      </w:tblGrid>
      <w:tr w14:paraId="43BCC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4AF9C774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r>
              <w:rPr>
                <w:rFonts w:hint="eastAsia" w:eastAsiaTheme="minorEastAsia"/>
                <w:lang w:val="en-US" w:eastAsia="zh-CN"/>
              </w:rPr>
              <w:t>刘宇</w:t>
            </w:r>
          </w:p>
        </w:tc>
        <w:tc>
          <w:tcPr>
            <w:tcW w:w="2625" w:type="dxa"/>
            <w:vMerge w:val="restart"/>
          </w:tcPr>
          <w:p w14:paraId="43DAE924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5B0F3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7298" w:type="dxa"/>
          </w:tcPr>
          <w:p w14:paraId="17C5CDE0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</w:t>
            </w:r>
            <w:r>
              <w:rPr>
                <w:rFonts w:hint="default" w:eastAsiaTheme="minorEastAsia"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1989</w:t>
            </w:r>
          </w:p>
        </w:tc>
        <w:tc>
          <w:tcPr>
            <w:tcW w:w="2625" w:type="dxa"/>
            <w:vMerge w:val="continue"/>
          </w:tcPr>
          <w:p w14:paraId="63DFBE95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173EA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7298" w:type="dxa"/>
          </w:tcPr>
          <w:p w14:paraId="38216079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hint="eastAsia" w:eastAsiaTheme="minorEastAsia"/>
                <w:lang w:val="en-US" w:eastAsia="zh-CN"/>
              </w:rPr>
              <w:t>男</w:t>
            </w:r>
          </w:p>
        </w:tc>
        <w:tc>
          <w:tcPr>
            <w:tcW w:w="2625" w:type="dxa"/>
            <w:vMerge w:val="continue"/>
          </w:tcPr>
          <w:p w14:paraId="2A5ECBB4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201422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298" w:type="dxa"/>
          </w:tcPr>
          <w:p w14:paraId="6A269BBB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hint="eastAsia" w:eastAsiaTheme="minorEastAsia"/>
                <w:lang w:val="en-US" w:eastAsia="zh-CN"/>
              </w:rPr>
              <w:t>已婚已育</w:t>
            </w:r>
          </w:p>
        </w:tc>
        <w:tc>
          <w:tcPr>
            <w:tcW w:w="2625" w:type="dxa"/>
            <w:vMerge w:val="continue"/>
          </w:tcPr>
          <w:p w14:paraId="4B3D34B0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04AA0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298" w:type="dxa"/>
          </w:tcPr>
          <w:p w14:paraId="3DEDD5D5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内蒙古</w:t>
            </w:r>
          </w:p>
        </w:tc>
        <w:tc>
          <w:tcPr>
            <w:tcW w:w="2625" w:type="dxa"/>
            <w:vMerge w:val="continue"/>
          </w:tcPr>
          <w:p w14:paraId="1AC8674E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514878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7298" w:type="dxa"/>
          </w:tcPr>
          <w:p w14:paraId="2AEA6E66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杭州</w:t>
            </w:r>
          </w:p>
        </w:tc>
        <w:tc>
          <w:tcPr>
            <w:tcW w:w="2625" w:type="dxa"/>
            <w:vMerge w:val="continue"/>
          </w:tcPr>
          <w:p w14:paraId="1E1AB290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18768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13F2A8D2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hint="eastAsia" w:eastAsiaTheme="minorEastAsia"/>
                <w:lang w:val="en-US" w:eastAsia="zh-CN"/>
              </w:rPr>
              <w:t>13520254370</w:t>
            </w:r>
          </w:p>
        </w:tc>
        <w:tc>
          <w:tcPr>
            <w:tcW w:w="2625" w:type="dxa"/>
            <w:vMerge w:val="continue"/>
          </w:tcPr>
          <w:p w14:paraId="37639197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5434C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0688CFC1">
            <w:pPr>
              <w:rPr>
                <w:lang w:eastAsia="zh-CN"/>
              </w:rPr>
            </w:pPr>
            <w:r>
              <w:rPr>
                <w:rFonts w:hint="eastAsia" w:eastAsiaTheme="minorEastAsia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Email：</w:t>
            </w:r>
            <w:r>
              <w:rPr>
                <w:rFonts w:hint="eastAsia" w:eastAsiaTheme="minor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</w:rPr>
              <w:t>76166837@qq.com</w:t>
            </w:r>
          </w:p>
        </w:tc>
        <w:tc>
          <w:tcPr>
            <w:tcW w:w="2625" w:type="dxa"/>
            <w:vMerge w:val="continue"/>
          </w:tcPr>
          <w:p w14:paraId="2118B0DF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06DDAA43">
      <w:pPr>
        <w:tabs>
          <w:tab w:val="left" w:pos="2010"/>
        </w:tabs>
        <w:spacing w:line="300" w:lineRule="auto"/>
        <w:rPr>
          <w:iCs/>
          <w:szCs w:val="21"/>
        </w:rPr>
      </w:pPr>
    </w:p>
    <w:p w14:paraId="5FB3FA91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35DD2A4A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0C81CCBD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rFonts w:hint="eastAsia"/>
          <w:b/>
          <w:szCs w:val="21"/>
          <w:lang w:val="en-GB" w:eastAsia="zh-CN"/>
        </w:rPr>
        <w:t>2008.09—2012.07         咸阳师范学院         文化产业管理        本科</w:t>
      </w:r>
    </w:p>
    <w:p w14:paraId="433667BA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167FC3D9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5391F135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目前薪资：</w:t>
      </w:r>
      <w:r>
        <w:rPr>
          <w:rFonts w:hint="eastAsia"/>
          <w:szCs w:val="21"/>
          <w:lang w:val="en-US" w:eastAsia="zh-CN"/>
        </w:rPr>
        <w:t>47k*12，年包60w</w:t>
      </w:r>
    </w:p>
    <w:p w14:paraId="153644F5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期望薪资</w:t>
      </w:r>
      <w:r>
        <w:rPr>
          <w:rFonts w:hint="default"/>
          <w:szCs w:val="21"/>
          <w:lang w:val="en-GB" w:eastAsia="zh-CN"/>
        </w:rPr>
        <w:t>：</w:t>
      </w:r>
      <w:r>
        <w:rPr>
          <w:rFonts w:hint="eastAsia"/>
          <w:szCs w:val="21"/>
          <w:lang w:val="en-US" w:eastAsia="zh-CN"/>
        </w:rPr>
        <w:t>持平</w:t>
      </w:r>
    </w:p>
    <w:p w14:paraId="2A398E4F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727BFB88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1D02B313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2023.07—2025.05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酷家乐</w:t>
      </w:r>
      <w:r>
        <w:rPr>
          <w:rFonts w:hint="eastAsia"/>
          <w:b/>
          <w:lang w:eastAsia="zh-CN"/>
        </w:rPr>
        <w:t xml:space="preserve">     用户增长负责人</w:t>
      </w:r>
    </w:p>
    <w:p w14:paraId="5A1FF0D2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</w:p>
    <w:p w14:paraId="125613A3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394FA5C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val="en-US" w:eastAsia="zh-CN"/>
        </w:rPr>
        <w:t>区域：</w:t>
      </w:r>
      <w:r>
        <w:rPr>
          <w:rStyle w:val="40"/>
          <w:sz w:val="24"/>
          <w:szCs w:val="24"/>
          <w:lang w:eastAsia="zh-CN"/>
        </w:rPr>
        <w:t>杭州</w:t>
      </w:r>
    </w:p>
    <w:p w14:paraId="1790667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val="en-US" w:eastAsia="zh-CN"/>
        </w:rPr>
        <w:t>客户：</w:t>
      </w:r>
      <w:r>
        <w:rPr>
          <w:rStyle w:val="40"/>
          <w:sz w:val="24"/>
          <w:szCs w:val="24"/>
          <w:lang w:eastAsia="zh-CN"/>
        </w:rPr>
        <w:t>抖音、小红书、B站等流量平台</w:t>
      </w:r>
    </w:p>
    <w:p w14:paraId="0ED5544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业绩：用户增长运营总监|2023.07-2025.52023年6月起负责用户增长，期间实现平台WAU过千万，个人会员收入MRR过亿，达成30%以上的增长。</w:t>
      </w:r>
    </w:p>
    <w:p w14:paraId="1396DD3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1、用户增长体系规划：搭建并升级用户运营体系，优化拉新-激活-留存-商业化全流程转化效率，完成分段式与全流程运营体系互补的运营方法论的落地。</w:t>
      </w:r>
    </w:p>
    <w:p w14:paraId="508DE07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提升行业垂直用户产品体验，提升各项指标数据。</w:t>
      </w:r>
    </w:p>
    <w:p w14:paraId="772AFD9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①加大拉新渠道建设，优化整体ROI</w:t>
      </w:r>
    </w:p>
    <w:p w14:paraId="676862F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②优化产品使用路径，提升新用户体验，降低激活门槛</w:t>
      </w:r>
    </w:p>
    <w:p w14:paraId="340CC77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③制定符合行业垂直用户需求的各类运营活动，与产品优化体验提升项目，加大全流程留存数据提升</w:t>
      </w:r>
    </w:p>
    <w:p w14:paraId="2BB8CE2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④完善整体会员商业产品SKU建设，优化商业转化路径，实现各类场景化的商业转化落地。</w:t>
      </w:r>
    </w:p>
    <w:p w14:paraId="070DF13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加速新老用户全方位的商业增长</w:t>
      </w:r>
    </w:p>
    <w:p w14:paraId="49FDA91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2、用户生态建设：加强生态板块建设，开拓外部渠道，加速各垂直平台的KOL合作，以及用户大使与KOC的挖掘与深度打造。</w:t>
      </w:r>
    </w:p>
    <w:p w14:paraId="0449A13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输出并传播用户故事，以流量反哺用户与产品，将终端用户与产品链接更加紧密；</w:t>
      </w:r>
    </w:p>
    <w:p w14:paraId="5624146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建立KOL分销机制，实现商业价值互通。</w:t>
      </w:r>
    </w:p>
    <w:p w14:paraId="40B1023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①完成抖音、小红书、B站等流量平台的KOL拓展与合作。</w:t>
      </w:r>
    </w:p>
    <w:p w14:paraId="6A76EC5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②完成酷家乐应用中心的搭建-上线-运营工作，上架多款百万级应用，以及超100＋的开发者招募与管理。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043AD958">
      <w:pPr>
        <w:widowControl w:val="0"/>
        <w:autoSpaceDE w:val="0"/>
        <w:autoSpaceDN w:val="0"/>
        <w:adjustRightInd w:val="0"/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之前因为4月家里面小孩子出生，加上年初公司组织架构调整，所以在5月离职，一直到现在安顿好之后出来工作。</w:t>
      </w:r>
    </w:p>
    <w:p w14:paraId="75C40235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41C1567B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2019.07—2023.06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酷家乐</w:t>
      </w:r>
      <w:r>
        <w:rPr>
          <w:rFonts w:hint="eastAsia"/>
          <w:b/>
          <w:lang w:eastAsia="zh-CN"/>
        </w:rPr>
        <w:t xml:space="preserve">     华南负责人</w:t>
      </w:r>
    </w:p>
    <w:p w14:paraId="59AFEB9E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68F9E2D6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07B3B9C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val="en-US" w:eastAsia="zh-CN"/>
        </w:rPr>
        <w:t>区域</w:t>
      </w:r>
      <w:r>
        <w:rPr>
          <w:rStyle w:val="40"/>
          <w:sz w:val="24"/>
          <w:szCs w:val="24"/>
          <w:lang w:eastAsia="zh-CN"/>
        </w:rPr>
        <w:t>：</w:t>
      </w:r>
      <w:r>
        <w:rPr>
          <w:rStyle w:val="40"/>
          <w:rFonts w:hint="eastAsia"/>
          <w:sz w:val="24"/>
          <w:szCs w:val="24"/>
          <w:lang w:val="en-US" w:eastAsia="zh-CN"/>
        </w:rPr>
        <w:t>广州</w:t>
      </w:r>
    </w:p>
    <w:p w14:paraId="0ED1FEF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val="en-US" w:eastAsia="zh-CN"/>
        </w:rPr>
        <w:t>客户</w:t>
      </w:r>
      <w:r>
        <w:rPr>
          <w:rStyle w:val="40"/>
          <w:sz w:val="24"/>
          <w:szCs w:val="24"/>
          <w:lang w:eastAsia="zh-CN"/>
        </w:rPr>
        <w:t>：</w:t>
      </w:r>
      <w:r>
        <w:rPr>
          <w:rStyle w:val="40"/>
          <w:rFonts w:hint="eastAsia"/>
          <w:sz w:val="24"/>
          <w:szCs w:val="24"/>
          <w:lang w:eastAsia="zh-CN"/>
        </w:rPr>
        <w:t>欧派，索菲亚，箭牌，恒洁，慕思，皇派，派雅，好莱客，诗尼曼，百得胜</w:t>
      </w:r>
      <w:r>
        <w:rPr>
          <w:rStyle w:val="40"/>
          <w:rFonts w:hint="eastAsia"/>
          <w:sz w:val="24"/>
          <w:szCs w:val="24"/>
          <w:lang w:val="en-US" w:eastAsia="zh-CN"/>
        </w:rPr>
        <w:t>等一线家装和装饰公司</w:t>
      </w:r>
    </w:p>
    <w:p w14:paraId="7B7C13F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业绩：任职三年期间实现年化收入规模从2000万到1亿＋的迅猛增长，并完成华南区域头部家居企业的深度合作。</w:t>
      </w:r>
    </w:p>
    <w:p w14:paraId="05F8F8B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1、客户运营体系的建设与落地，华南首推客户管理全景图系统并推广全部门，完成客户关系管理的线上系统可视化。</w:t>
      </w:r>
    </w:p>
    <w:p w14:paraId="7ECE665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①加强合作项目的科学化管理与资源优先级匹配，完成专业化咨询服务的转型，提升整体服务质量与效率</w:t>
      </w:r>
    </w:p>
    <w:p w14:paraId="35BBF68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②完善企业关系的五维化管理，完成企业一号位与重点决策人的深度建联</w:t>
      </w:r>
    </w:p>
    <w:p w14:paraId="4C0FC9B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③以降本增效9为核心，持续匹配企业发展战略重心，提升酷家乐替换成本</w:t>
      </w:r>
    </w:p>
    <w:p w14:paraId="294643C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④有效联动行业上下游、行业协会、媒体等资源，拓展品牌声量同时发掘更多合作机会</w:t>
      </w:r>
    </w:p>
    <w:p w14:paraId="132060D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2、团队管理，完成本地化团队从0-1的建设，从通用运营到专业化运营团队的改革升级。</w:t>
      </w:r>
    </w:p>
    <w:p w14:paraId="7B9C7CB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完善岗位画像以及能力提升计划，完成团队的搭建与升级，聚焦细分市场，锚定行业人才，描绘目标人才画像，制定挖猎计划，良好运用团队成员行业敏锐度，确保行业理解与产品深度绑定，更好为垂直用户提供服务。</w:t>
      </w:r>
    </w:p>
    <w:p w14:paraId="21A382B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2、建章立制，重塑管理与运营机制与制度，确立“运营-商务-实施服务”模式。</w:t>
      </w:r>
    </w:p>
    <w:p w14:paraId="1601E1B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实现团队成员在客户开发、服务中相互配合，互为支撑，为客户提供更加深入与专业的服务；</w:t>
      </w:r>
    </w:p>
    <w:p w14:paraId="765331C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后期此项工作模式成果推广至全国。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0883FC5E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665C83C2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2017.10—2019.06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北京轻松筹网络科技有限公司</w:t>
      </w:r>
      <w:r>
        <w:rPr>
          <w:rFonts w:hint="eastAsia"/>
          <w:b/>
          <w:lang w:eastAsia="zh-CN"/>
        </w:rPr>
        <w:t xml:space="preserve">     事业部负责人</w:t>
      </w:r>
    </w:p>
    <w:p w14:paraId="67C85E4A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39084D81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084E530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所在部门：全国事业中心</w:t>
      </w:r>
    </w:p>
    <w:p w14:paraId="096CAC2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工作地点：北京</w:t>
      </w:r>
    </w:p>
    <w:p w14:paraId="3139350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下属人数：500</w:t>
      </w:r>
    </w:p>
    <w:p w14:paraId="3E221CA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汇报对象：COO、总裁</w:t>
      </w:r>
    </w:p>
    <w:p w14:paraId="45184AE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职责业绩：从0到1布局“轻松筹”线下业务，明确市场定位，组建团队，确认市场进入的先后顺序与下沉幅度；</w:t>
      </w:r>
    </w:p>
    <w:p w14:paraId="487C261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9个月内，开拓了25个省份，100个城市的业务，招募100个城市的员工，并在湖南等地成功打败市场先行者的竞对。</w:t>
      </w:r>
    </w:p>
    <w:p w14:paraId="653AEDC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■市场布局：对比竞品数据、市场情况，进行优劣势分析，制定战略规划，确定核心城市，决定市场开拓优先级顺序。</w:t>
      </w:r>
    </w:p>
    <w:p w14:paraId="4D4AB38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■团队组建：聚焦各个城市，从0到1组建团队，加强HR招聘，锁定关键岗位，挖掘外部优秀人才，完善内训体系。</w:t>
      </w:r>
    </w:p>
    <w:p w14:paraId="353DF35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◆团队激励：根据KPI和目标完成的进度设定激励政策，打造高结果导向团队，关注团队人员的状态，提供支持。</w:t>
      </w:r>
    </w:p>
    <w:p w14:paraId="1F079CD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◆制度完善：制定薪资绩效方案，推动团队效能提升；</w:t>
      </w:r>
    </w:p>
    <w:p w14:paraId="34FF396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制定出差管理、物资管理、晋升制度等相关管理细则。</w:t>
      </w:r>
    </w:p>
    <w:p w14:paraId="3826F9A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■渠道维护：密切关注经济的动态，业务开拓的同时加强与政府、公益组织、医院、媒体，KOL等渠道的合作。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3CF3450F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/>
          <w:lang w:eastAsia="zh-CN"/>
        </w:rPr>
        <w:t xml:space="preserve"> </w:t>
      </w:r>
    </w:p>
    <w:p w14:paraId="3EC3C6C4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2DD6D037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2016.09—2017.08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北京舌头很忙餐饮管理有限公司</w:t>
      </w:r>
      <w:r>
        <w:rPr>
          <w:rFonts w:hint="eastAsia"/>
          <w:b/>
          <w:lang w:eastAsia="zh-CN"/>
        </w:rPr>
        <w:t xml:space="preserve">     市场总监CMO</w:t>
      </w:r>
    </w:p>
    <w:p w14:paraId="274AE7E2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3B73D612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112E1E9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所在部门：市场部</w:t>
      </w:r>
    </w:p>
    <w:p w14:paraId="6CACCCE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工作地点：北京</w:t>
      </w:r>
    </w:p>
    <w:p w14:paraId="03D061F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下属人数：5</w:t>
      </w:r>
    </w:p>
    <w:p w14:paraId="523F546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汇报对象：CEO</w:t>
      </w:r>
    </w:p>
    <w:p w14:paraId="2B6887B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职责业绩：从0到1梳理运营逻辑、组建团队，捋顺供应链上下游关系，拓展加盟商，主导外卖运营，月流水达200万。</w:t>
      </w:r>
    </w:p>
    <w:p w14:paraId="331A9E6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■运营规划：以市场需求为导向，深度调研市场，定位目标客群，结合对外卖平台规则的把握，制定线上运营策略。</w:t>
      </w:r>
    </w:p>
    <w:p w14:paraId="2091051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■商务洽谈：建立标准，赋能团队，沟通意向合作伙伴，梳理细节，洽谈合作；</w:t>
      </w:r>
    </w:p>
    <w:p w14:paraId="47CBC79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成功开发7家店并完成外卖运营。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1B1D479B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/>
          <w:lang w:eastAsia="zh-CN"/>
        </w:rPr>
        <w:t xml:space="preserve"> </w:t>
      </w:r>
    </w:p>
    <w:p w14:paraId="1280EE0B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5A04E4E6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2014.10—2016.09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饿了么</w:t>
      </w:r>
      <w:r>
        <w:rPr>
          <w:rFonts w:hint="eastAsia"/>
          <w:b/>
          <w:lang w:eastAsia="zh-CN"/>
        </w:rPr>
        <w:t xml:space="preserve">     华北区域负责人</w:t>
      </w:r>
    </w:p>
    <w:p w14:paraId="1947BFD7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75E06D42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15CADEC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所在部门：高端餐饮发展部</w:t>
      </w:r>
    </w:p>
    <w:p w14:paraId="4A01A1C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工作地点：北京</w:t>
      </w:r>
    </w:p>
    <w:p w14:paraId="6BAD0A2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下属人数：1200</w:t>
      </w:r>
    </w:p>
    <w:p w14:paraId="0CAA1E0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汇报对象：事业部负责人</w:t>
      </w:r>
    </w:p>
    <w:p w14:paraId="2293234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14年10月加入公司担任BD，成功开发眉州东坡、汉堡王、金鼎轩等大型连锁餐饮企业，因业绩位列公司前列，于15年5月晋升为北京区域负责人，半年内实现销售额10倍增长，于15年11月晋升为华北区域负责人，负责整个华北区物流配送，管理北京及津冀鲁区域，同时监管哈尔滨、长春、西安，主管区域全国排名分列第1和第5。</w:t>
      </w:r>
    </w:p>
    <w:p w14:paraId="71EFC6B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■日常运营：对行业保持高度敏锐，寻找业绩提升机会点；</w:t>
      </w:r>
    </w:p>
    <w:p w14:paraId="662A744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并在公司高速发展时期快速适应公司步调，调整内部考核机制，达成业务目标；</w:t>
      </w:r>
    </w:p>
    <w:p w14:paraId="5064B48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时刻监控KPI指标的进度，表格数据分析，PPT培训课件至今仍沿用。</w:t>
      </w:r>
    </w:p>
    <w:p w14:paraId="66D0963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◆管理闭环：梳理并总结出“人-组织-业务”方法论；</w:t>
      </w:r>
    </w:p>
    <w:p w14:paraId="6644091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从内在驱动等因素出发，将业务发展趋势与适配的组织形态、员工有机结合；</w:t>
      </w:r>
    </w:p>
    <w:p w14:paraId="1147673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将终端工作成果快速转化，落实BD及区域洽谈成果，优化缩短上线时间等。</w:t>
      </w:r>
    </w:p>
    <w:p w14:paraId="5BFCA20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◆过程管理：监督日常过程管理，通过数据报表、管理会议等形式跟进业务进展，达成良好的业绩。</w:t>
      </w:r>
    </w:p>
    <w:p w14:paraId="7CFB34B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■团队管理：团队组建及招募工作，对重点岗位亲自面试配送站站长、区域负责人等重点岗位；</w:t>
      </w:r>
    </w:p>
    <w:p w14:paraId="6A06F97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管理规模超1500人。</w:t>
      </w:r>
    </w:p>
    <w:p w14:paraId="0F0A1A1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◆目标导向：根据业务目标调整团队与个人目标，优化绩效指标，确保团队目标的一致性，良好为业务发展服务。</w:t>
      </w:r>
    </w:p>
    <w:p w14:paraId="13483B5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◆人才发展：建立才力库，规划人才梯队，制定定制化培养计划，持续灌输公司价值观；</w:t>
      </w:r>
    </w:p>
    <w:p w14:paraId="07D68BE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注重数据分析、行业趋势分析等能力的培养，推动业务培训+技能提升培训；</w:t>
      </w:r>
    </w:p>
    <w:p w14:paraId="49B65A4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培养出山东、长沙等4名区域负责人及数名城市经理。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3C293C11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/>
          <w:lang w:eastAsia="zh-CN"/>
        </w:rPr>
        <w:t xml:space="preserve"> </w:t>
      </w:r>
    </w:p>
    <w:p w14:paraId="5EBE6E6D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749CCE44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2012.08—2014.08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西安世联行</w:t>
      </w:r>
      <w:r>
        <w:rPr>
          <w:rFonts w:hint="eastAsia"/>
          <w:b/>
          <w:lang w:eastAsia="zh-CN"/>
        </w:rPr>
        <w:t xml:space="preserve">     营销策划</w:t>
      </w:r>
    </w:p>
    <w:p w14:paraId="07C85C57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168CB068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11385CB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所在部门：营销策划事业部</w:t>
      </w:r>
    </w:p>
    <w:p w14:paraId="1CB74F7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工作地点：西安</w:t>
      </w:r>
    </w:p>
    <w:p w14:paraId="22CBFC0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下属人数：0</w:t>
      </w:r>
    </w:p>
    <w:p w14:paraId="4B9D249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汇报对象：策划总经理</w:t>
      </w:r>
    </w:p>
    <w:p w14:paraId="5234BC5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职责业绩：负责金地与万科项目的营销策划工作，监控竞对、策划整体营销方案，并开拓维护相关渠道。</w:t>
      </w:r>
    </w:p>
    <w:p w14:paraId="197D46F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■营销策划：搜集行业信息与竞对动态，对市场保持高度敏锐；</w:t>
      </w:r>
    </w:p>
    <w:p w14:paraId="47CC212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梳理资源策划方案，确保达成客户所需效果。</w:t>
      </w:r>
    </w:p>
    <w:p w14:paraId="3E6C0E6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■学习成长：快速进入工作状态，进入职场人角色；</w:t>
      </w:r>
    </w:p>
    <w:p w14:paraId="205B591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与优秀的同事、合作伙伴共同进步，从思维火花碰撞出优秀项目。</w:t>
      </w:r>
    </w:p>
    <w:p w14:paraId="4F63D0B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的开拓与维护。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5B171639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/>
          <w:lang w:eastAsia="zh-CN"/>
        </w:rPr>
        <w:t xml:space="preserve"> </w:t>
      </w:r>
    </w:p>
    <w:p w14:paraId="0A93C581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449DA7A8">
      <w:pPr>
        <w:spacing w:line="300" w:lineRule="auto"/>
        <w:rPr>
          <w:rFonts w:hint="eastAsia"/>
          <w:lang w:eastAsia="zh-CN"/>
        </w:rPr>
      </w:pPr>
      <w:r>
        <w:rPr>
          <w:rFonts w:hint="eastAsia"/>
          <w:b/>
          <w:bCs/>
          <w:szCs w:val="21"/>
          <w:u w:val="single"/>
          <w:shd w:val="pct10" w:color="auto" w:fill="FFFFFF"/>
          <w:lang w:val="en-US" w:eastAsia="zh-CN"/>
        </w:rPr>
        <w:t>项目</w:t>
      </w:r>
      <w:r>
        <w:rPr>
          <w:b/>
          <w:bCs/>
          <w:szCs w:val="21"/>
          <w:u w:val="single"/>
          <w:shd w:val="pct10" w:color="auto" w:fill="FFFFFF"/>
          <w:lang w:eastAsia="zh-CN"/>
        </w:rPr>
        <w:t>经历</w:t>
      </w:r>
    </w:p>
    <w:p w14:paraId="69B7E7E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b/>
          <w:bCs/>
          <w:lang w:eastAsia="zh-CN"/>
        </w:rPr>
      </w:pPr>
      <w:r>
        <w:rPr>
          <w:rFonts w:ascii="微软雅黑" w:hAnsi="微软雅黑" w:eastAsia="微软雅黑"/>
        </w:rPr>
        <w:fldChar w:fldCharType="begin"/>
      </w:r>
      <w:r>
        <w:rPr>
          <w:rFonts w:ascii="微软雅黑" w:hAnsi="微软雅黑" w:eastAsia="微软雅黑"/>
        </w:rPr>
        <w:instrText xml:space="preserve"> MERGEFIELD  TableStart:zpresumeproject  \* MERGEFORMAT </w:instrText>
      </w:r>
      <w:r>
        <w:rPr>
          <w:rFonts w:ascii="微软雅黑" w:hAnsi="微软雅黑" w:eastAsia="微软雅黑"/>
        </w:rPr>
        <w:fldChar w:fldCharType="separate"/>
      </w:r>
      <w:r>
        <w:rPr>
          <w:rFonts w:ascii="微软雅黑" w:hAnsi="微软雅黑" w:eastAsia="微软雅黑"/>
        </w:rPr>
        <w:t>«TableStart:zpresumeproject»</w:t>
      </w:r>
      <w:r>
        <w:rPr>
          <w:rFonts w:ascii="微软雅黑" w:hAnsi="微软雅黑" w:eastAsia="微软雅黑"/>
        </w:rPr>
        <w:fldChar w:fldCharType="end"/>
      </w:r>
      <w:r>
        <w:rPr>
          <w:rFonts w:hint="eastAsia"/>
          <w:b/>
          <w:bCs/>
          <w:lang w:eastAsia="zh-CN"/>
        </w:rPr>
        <w:fldChar w:fldCharType="begin"/>
      </w:r>
      <w:r>
        <w:rPr>
          <w:rFonts w:hint="eastAsia"/>
          <w:b/>
          <w:bCs/>
          <w:lang w:eastAsia="zh-CN"/>
        </w:rPr>
        <w:instrText xml:space="preserve"> MERGEFIELD  YearB  \* MERGEFORMAT </w:instrText>
      </w:r>
      <w:r>
        <w:rPr>
          <w:rFonts w:hint="eastAsia"/>
          <w:b/>
          <w:bCs/>
          <w:lang w:eastAsia="zh-CN"/>
        </w:rPr>
        <w:fldChar w:fldCharType="separate"/>
      </w:r>
      <w:r>
        <w:rPr>
          <w:rFonts w:hint="eastAsia"/>
          <w:b/>
          <w:bCs/>
          <w:lang w:eastAsia="zh-CN"/>
        </w:rPr>
        <w:t>«YearB»</w:t>
      </w:r>
      <w:r>
        <w:rPr>
          <w:rFonts w:hint="eastAsia"/>
          <w:b/>
          <w:bCs/>
          <w:lang w:eastAsia="zh-CN"/>
        </w:rPr>
        <w:fldChar w:fldCharType="end"/>
      </w:r>
      <w:r>
        <w:rPr>
          <w:rFonts w:hint="eastAsia"/>
          <w:b/>
          <w:bCs/>
          <w:lang w:eastAsia="zh-CN"/>
        </w:rPr>
        <w:t>—</w:t>
      </w:r>
      <w:r>
        <w:rPr>
          <w:rFonts w:hint="eastAsia"/>
          <w:b/>
          <w:bCs/>
          <w:lang w:eastAsia="zh-CN"/>
        </w:rPr>
        <w:fldChar w:fldCharType="begin"/>
      </w:r>
      <w:r>
        <w:rPr>
          <w:rFonts w:hint="eastAsia"/>
          <w:b/>
          <w:bCs/>
          <w:lang w:eastAsia="zh-CN"/>
        </w:rPr>
        <w:instrText xml:space="preserve"> MERGEFIELD  YearE  \* MERGEFORMAT </w:instrText>
      </w:r>
      <w:r>
        <w:rPr>
          <w:rFonts w:hint="eastAsia"/>
          <w:b/>
          <w:bCs/>
          <w:lang w:eastAsia="zh-CN"/>
        </w:rPr>
        <w:fldChar w:fldCharType="separate"/>
      </w:r>
      <w:r>
        <w:rPr>
          <w:rFonts w:hint="eastAsia"/>
          <w:b/>
          <w:bCs/>
          <w:lang w:eastAsia="zh-CN"/>
        </w:rPr>
        <w:t>«YearE»</w:t>
      </w:r>
      <w:r>
        <w:rPr>
          <w:rFonts w:hint="eastAsia"/>
          <w:b/>
          <w:bCs/>
          <w:lang w:eastAsia="zh-CN"/>
        </w:rPr>
        <w:fldChar w:fldCharType="end"/>
      </w:r>
      <w:r>
        <w:rPr>
          <w:rFonts w:hint="eastAsia"/>
          <w:b/>
          <w:bCs/>
          <w:lang w:val="en-US" w:eastAsia="zh-CN"/>
        </w:rPr>
        <w:t xml:space="preserve">    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fldChar w:fldCharType="begin"/>
      </w:r>
      <w:r>
        <w:rPr>
          <w:rFonts w:hint="eastAsia"/>
          <w:b/>
          <w:bCs/>
          <w:lang w:eastAsia="zh-CN"/>
        </w:rPr>
        <w:instrText xml:space="preserve"> MERGEFIELD  Project  \* MERGEFORMAT </w:instrText>
      </w:r>
      <w:r>
        <w:rPr>
          <w:rFonts w:hint="eastAsia"/>
          <w:b/>
          <w:bCs/>
          <w:lang w:eastAsia="zh-CN"/>
        </w:rPr>
        <w:fldChar w:fldCharType="separate"/>
      </w:r>
      <w:r>
        <w:rPr>
          <w:rFonts w:hint="eastAsia"/>
          <w:b/>
          <w:bCs/>
          <w:lang w:eastAsia="zh-CN"/>
        </w:rPr>
        <w:t>«Project»</w:t>
      </w:r>
      <w:r>
        <w:rPr>
          <w:rFonts w:hint="eastAsia"/>
          <w:b/>
          <w:bCs/>
          <w:lang w:eastAsia="zh-CN"/>
        </w:rPr>
        <w:fldChar w:fldCharType="end"/>
      </w:r>
    </w:p>
    <w:p w14:paraId="41B3BE6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MERGEFIELD  Title  \* MERGEFORMAT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«Title»</w:t>
      </w:r>
      <w:r>
        <w:rPr>
          <w:rFonts w:hint="eastAsia"/>
          <w:lang w:eastAsia="zh-CN"/>
        </w:rPr>
        <w:fldChar w:fldCharType="end"/>
      </w:r>
    </w:p>
    <w:p w14:paraId="38E9EB3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所在公司：</w:t>
      </w:r>
    </w:p>
    <w:p w14:paraId="07A915B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项目描述：</w:t>
      </w:r>
    </w:p>
    <w:p w14:paraId="4E08F02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</w:p>
    <w:p w14:paraId="7EE614C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项目职责：</w:t>
      </w:r>
    </w:p>
    <w:p w14:paraId="3E506A7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b/>
          <w:bCs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MERGEFIELD  Detail  \* MERGEFORMAT 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«Detail»</w:t>
      </w:r>
      <w:r>
        <w:rPr>
          <w:rFonts w:hint="eastAsia"/>
          <w:lang w:eastAsia="zh-CN"/>
        </w:rPr>
        <w:fldChar w:fldCharType="end"/>
      </w:r>
    </w:p>
    <w:p w14:paraId="1F1E280A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ascii="微软雅黑" w:hAnsi="微软雅黑" w:eastAsia="微软雅黑"/>
          <w:color w:val="000000"/>
          <w:kern w:val="0"/>
        </w:rPr>
        <w:fldChar w:fldCharType="begin"/>
      </w:r>
      <w:r>
        <w:rPr>
          <w:rFonts w:ascii="微软雅黑" w:hAnsi="微软雅黑" w:eastAsia="微软雅黑"/>
          <w:color w:val="000000"/>
          <w:kern w:val="0"/>
        </w:rPr>
        <w:instrText xml:space="preserve"> MERGEFIELD  TableEnd:zpresumeproject  \* MERGEFORMAT </w:instrText>
      </w:r>
      <w:r>
        <w:rPr>
          <w:rFonts w:ascii="微软雅黑" w:hAnsi="微软雅黑" w:eastAsia="微软雅黑"/>
          <w:color w:val="000000"/>
          <w:kern w:val="0"/>
        </w:rPr>
        <w:fldChar w:fldCharType="separate"/>
      </w:r>
      <w:r>
        <w:rPr>
          <w:rFonts w:ascii="微软雅黑" w:hAnsi="微软雅黑" w:eastAsia="微软雅黑"/>
          <w:color w:val="000000"/>
          <w:kern w:val="0"/>
        </w:rPr>
        <w:t>«TableEnd:zpresumeproject»</w:t>
      </w:r>
      <w:r>
        <w:rPr>
          <w:rFonts w:ascii="微软雅黑" w:hAnsi="微软雅黑" w:eastAsia="微软雅黑"/>
          <w:color w:val="000000"/>
          <w:kern w:val="0"/>
        </w:rPr>
        <w:fldChar w:fldCharType="end"/>
      </w:r>
    </w:p>
    <w:p w14:paraId="4DFC1C8F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b/>
          <w:bCs/>
          <w:u w:val="single"/>
          <w:shd w:val="pct10" w:color="auto" w:fill="FFFFFF"/>
          <w:lang w:eastAsia="zh-CN"/>
        </w:rPr>
        <w:t>简介与评价</w:t>
      </w:r>
    </w:p>
    <w:p w14:paraId="7371BB79">
      <w:pPr>
        <w:numPr>
          <w:ilvl w:val="0"/>
          <w:numId w:val="1"/>
        </w:numPr>
        <w:spacing w:line="360" w:lineRule="auto"/>
        <w:ind w:left="420" w:leftChars="0" w:hanging="420" w:firstLineChars="0"/>
        <w:rPr>
          <w:color w:val="00000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业绩：负责华南区域家居KA企业的合作，任职三年期间实现年化收入规模从2000万到1亿＋的迅猛增长，并完成华南区域头部家居企业的深度合作
客户：有顾家，索菲亚，箭牌，恒洁，慕思，皇派，派雅，好莱客，诗尼曼，百得胜等家装大客户。
区域：广州，杭州
离职原因是4月有小孩出生，妻子身体不好，加上当时公司组织架构调整，与自己的业务不太符合。</w:t>
      </w:r>
    </w:p>
    <w:p w14:paraId="67340467">
      <w:pPr>
        <w:spacing w:line="360" w:lineRule="auto"/>
        <w:ind w:left="420"/>
        <w:rPr>
          <w:color w:val="000000"/>
          <w:sz w:val="21"/>
          <w:szCs w:val="21"/>
          <w:lang w:eastAsia="zh-CN"/>
        </w:rPr>
      </w:pPr>
    </w:p>
    <w:sectPr>
      <w:headerReference r:id="rId3" w:type="default"/>
      <w:footerReference r:id="rId4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 Inspir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YaHe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D2DE6">
    <w:pPr>
      <w:pStyle w:val="11"/>
      <w:tabs>
        <w:tab w:val="left" w:pos="812"/>
      </w:tabs>
      <w:ind w:left="-2" w:leftChars="-1"/>
      <w:rPr>
        <w:sz w:val="16"/>
        <w:szCs w:val="16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78314">
    <w:pPr>
      <w:pStyle w:val="12"/>
    </w:pP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4989C"/>
    <w:multiLevelType w:val="singleLevel"/>
    <w:tmpl w:val="37A498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E404B"/>
    <w:rsid w:val="36007010"/>
    <w:rsid w:val="360B711E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D025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37357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1F2F07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843929"/>
    <w:rsid w:val="6D8C521E"/>
    <w:rsid w:val="6D9966EC"/>
    <w:rsid w:val="6D9A72F1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4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3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99"/>
  </w:style>
  <w:style w:type="paragraph" w:styleId="15">
    <w:name w:val="Title"/>
    <w:basedOn w:val="1"/>
    <w:link w:val="37"/>
    <w:qFormat/>
    <w:uiPriority w:val="0"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17">
    <w:name w:val="Table Grid"/>
    <w:basedOn w:val="16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35A1D4"/>
      <w:u w:val="single"/>
    </w:rPr>
  </w:style>
  <w:style w:type="character" w:styleId="21">
    <w:name w:val="Emphasis"/>
    <w:basedOn w:val="18"/>
    <w:qFormat/>
    <w:uiPriority w:val="0"/>
  </w:style>
  <w:style w:type="character" w:styleId="22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4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paragraph" w:customStyle="1" w:styleId="26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7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8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9">
    <w:name w:val="普 通 表 格"/>
    <w:basedOn w:val="16"/>
    <w:semiHidden/>
    <w:qFormat/>
    <w:uiPriority w:val="0"/>
    <w:rPr>
      <w:rFonts w:ascii="Calibri" w:hAnsi="Calibri" w:cs="Calibri"/>
      <w:szCs w:val="21"/>
    </w:rPr>
  </w:style>
  <w:style w:type="character" w:customStyle="1" w:styleId="30">
    <w:name w:val="via1"/>
    <w:basedOn w:val="18"/>
    <w:qFormat/>
    <w:uiPriority w:val="0"/>
    <w:rPr>
      <w:color w:val="959595"/>
    </w:rPr>
  </w:style>
  <w:style w:type="paragraph" w:customStyle="1" w:styleId="31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apple-style-span"/>
    <w:basedOn w:val="18"/>
    <w:qFormat/>
    <w:uiPriority w:val="0"/>
  </w:style>
  <w:style w:type="paragraph" w:customStyle="1" w:styleId="34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table" w:customStyle="1" w:styleId="35">
    <w:name w:val="网格型1"/>
    <w:basedOn w:val="16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标题 字符"/>
    <w:basedOn w:val="18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37">
    <w:name w:val="标题 字符1"/>
    <w:link w:val="15"/>
    <w:qFormat/>
    <w:uiPriority w:val="0"/>
    <w:rPr>
      <w:rFonts w:eastAsia="楷体"/>
      <w:b/>
      <w:sz w:val="32"/>
    </w:rPr>
  </w:style>
  <w:style w:type="paragraph" w:customStyle="1" w:styleId="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9">
    <w:name w:val="paragraph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40">
    <w:name w:val="fontstyle01"/>
    <w:basedOn w:val="18"/>
    <w:qFormat/>
    <w:uiPriority w:val="0"/>
    <w:rPr>
      <w:rFonts w:hint="default" w:ascii="MicrosoftYaHei" w:hAnsi="MicrosoftYaHei"/>
      <w:color w:val="3F3F3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6</Pages>
  <Words>656</Words>
  <Characters>742</Characters>
  <Lines>8</Lines>
  <Paragraphs>2</Paragraphs>
  <TotalTime>9</TotalTime>
  <ScaleCrop>false</ScaleCrop>
  <LinksUpToDate>false</LinksUpToDate>
  <CharactersWithSpaces>787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2022-03-16T08:32:00Z</dcterms:created>
  <dc:creator>106003151</dc:creator>
  <cp:lastModifiedBy>荀莲乐悠悠</cp:lastModifiedBy>
  <cp:lastPrinted>2008-12-02T06:16:00Z</cp:lastPrinted>
  <dcterms:modified xsi:type="dcterms:W3CDTF">2025-10-21T11:42:49Z</dcterms:modified>
  <dc:title>Title of the role: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83A2A9D433B9439C90166355D5A60464_13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eyJoZGlkIjoiZTNiMmJjMGUyMDNhMGI0MjllZTc4OTE3ODRjOTBjMWQiLCJ1c2VySWQiOiIzODQ4NjM2MTAifQ==</vt:lpwstr>
  </property>
</Properties>
</file>