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306658">
      <w:pPr>
        <w:spacing w:line="300" w:lineRule="auto"/>
        <w:jc w:val="center"/>
        <w:rPr>
          <w:b/>
          <w:sz w:val="10"/>
          <w:szCs w:val="10"/>
          <w:lang w:eastAsia="zh-CN"/>
        </w:rPr>
      </w:pPr>
    </w:p>
    <w:p w14:paraId="12C0BEF0">
      <w:pPr>
        <w:spacing w:line="300" w:lineRule="auto"/>
        <w:ind w:firstLine="3947" w:firstLineChars="1092"/>
        <w:rPr>
          <w:b/>
          <w:sz w:val="36"/>
          <w:szCs w:val="36"/>
          <w:lang w:eastAsia="zh-CN"/>
        </w:rPr>
      </w:pPr>
      <w:r>
        <w:rPr>
          <w:rFonts w:hint="eastAsia"/>
          <w:b/>
          <w:sz w:val="36"/>
          <w:szCs w:val="36"/>
          <w:lang w:val="en-US" w:eastAsia="zh-CN"/>
        </w:rPr>
        <w:t>赵洪</w:t>
      </w:r>
      <w:r>
        <w:rPr>
          <w:b/>
          <w:sz w:val="36"/>
          <w:szCs w:val="36"/>
          <w:lang w:eastAsia="zh-CN"/>
        </w:rPr>
        <w:t>推荐报告</w:t>
      </w:r>
    </w:p>
    <w:p w14:paraId="3A69161B">
      <w:pPr>
        <w:spacing w:line="300" w:lineRule="auto"/>
        <w:ind w:firstLine="6939" w:firstLineChars="2880"/>
        <w:rPr>
          <w:b/>
          <w:bCs/>
          <w:lang w:eastAsia="zh-CN"/>
        </w:rPr>
      </w:pPr>
      <w:r>
        <w:rPr>
          <w:rFonts w:hint="eastAsia"/>
          <w:b/>
          <w:bCs/>
          <w:lang w:eastAsia="zh-CN"/>
        </w:rPr>
        <w:t xml:space="preserve"> </w:t>
      </w:r>
    </w:p>
    <w:p w14:paraId="3517E643">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48D779AB">
        <w:tblPrEx>
          <w:tblCellMar>
            <w:top w:w="0" w:type="dxa"/>
            <w:left w:w="108" w:type="dxa"/>
            <w:bottom w:w="0" w:type="dxa"/>
            <w:right w:w="108" w:type="dxa"/>
          </w:tblCellMar>
        </w:tblPrEx>
        <w:tc>
          <w:tcPr>
            <w:tcW w:w="7298" w:type="dxa"/>
          </w:tcPr>
          <w:p w14:paraId="5A709D95">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赵洪</w:t>
            </w:r>
          </w:p>
        </w:tc>
        <w:tc>
          <w:tcPr>
            <w:tcW w:w="2625" w:type="dxa"/>
            <w:vMerge w:val="restart"/>
          </w:tcPr>
          <w:p w14:paraId="7589D048">
            <w:pPr>
              <w:tabs>
                <w:tab w:val="left" w:pos="2700"/>
                <w:tab w:val="left" w:pos="3000"/>
                <w:tab w:val="left" w:pos="7965"/>
              </w:tabs>
              <w:spacing w:line="300" w:lineRule="auto"/>
              <w:rPr>
                <w:lang w:eastAsia="zh-CN"/>
              </w:rPr>
            </w:pPr>
          </w:p>
        </w:tc>
      </w:tr>
      <w:tr w14:paraId="15505518">
        <w:tblPrEx>
          <w:tblCellMar>
            <w:top w:w="0" w:type="dxa"/>
            <w:left w:w="108" w:type="dxa"/>
            <w:bottom w:w="0" w:type="dxa"/>
            <w:right w:w="108" w:type="dxa"/>
          </w:tblCellMar>
        </w:tblPrEx>
        <w:trPr>
          <w:trHeight w:val="272" w:hRule="atLeast"/>
        </w:trPr>
        <w:tc>
          <w:tcPr>
            <w:tcW w:w="7298" w:type="dxa"/>
          </w:tcPr>
          <w:p w14:paraId="3E84A55B">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1994</w:t>
            </w:r>
          </w:p>
        </w:tc>
        <w:tc>
          <w:tcPr>
            <w:tcW w:w="2625" w:type="dxa"/>
            <w:vMerge w:val="continue"/>
          </w:tcPr>
          <w:p w14:paraId="60AFC85E">
            <w:pPr>
              <w:tabs>
                <w:tab w:val="left" w:pos="2700"/>
                <w:tab w:val="left" w:pos="3000"/>
                <w:tab w:val="left" w:pos="7965"/>
              </w:tabs>
              <w:spacing w:line="300" w:lineRule="auto"/>
              <w:ind w:firstLine="120" w:firstLineChars="50"/>
              <w:rPr>
                <w:lang w:eastAsia="zh-CN"/>
              </w:rPr>
            </w:pPr>
          </w:p>
        </w:tc>
      </w:tr>
      <w:tr w14:paraId="45661D46">
        <w:tblPrEx>
          <w:tblCellMar>
            <w:top w:w="0" w:type="dxa"/>
            <w:left w:w="108" w:type="dxa"/>
            <w:bottom w:w="0" w:type="dxa"/>
            <w:right w:w="108" w:type="dxa"/>
          </w:tblCellMar>
        </w:tblPrEx>
        <w:trPr>
          <w:trHeight w:val="221" w:hRule="atLeast"/>
        </w:trPr>
        <w:tc>
          <w:tcPr>
            <w:tcW w:w="7298" w:type="dxa"/>
          </w:tcPr>
          <w:p w14:paraId="3F8DFBD2">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女</w:t>
            </w:r>
          </w:p>
        </w:tc>
        <w:tc>
          <w:tcPr>
            <w:tcW w:w="2625" w:type="dxa"/>
            <w:vMerge w:val="continue"/>
          </w:tcPr>
          <w:p w14:paraId="23A72D14">
            <w:pPr>
              <w:tabs>
                <w:tab w:val="left" w:pos="2700"/>
                <w:tab w:val="left" w:pos="3000"/>
                <w:tab w:val="left" w:pos="7965"/>
              </w:tabs>
              <w:spacing w:line="300" w:lineRule="auto"/>
              <w:ind w:firstLine="120" w:firstLineChars="50"/>
              <w:rPr>
                <w:lang w:eastAsia="zh-CN"/>
              </w:rPr>
            </w:pPr>
          </w:p>
        </w:tc>
      </w:tr>
      <w:tr w14:paraId="72D4D892">
        <w:tblPrEx>
          <w:tblCellMar>
            <w:top w:w="0" w:type="dxa"/>
            <w:left w:w="108" w:type="dxa"/>
            <w:bottom w:w="0" w:type="dxa"/>
            <w:right w:w="108" w:type="dxa"/>
          </w:tblCellMar>
        </w:tblPrEx>
        <w:trPr>
          <w:trHeight w:val="90" w:hRule="atLeast"/>
        </w:trPr>
        <w:tc>
          <w:tcPr>
            <w:tcW w:w="7298" w:type="dxa"/>
          </w:tcPr>
          <w:p w14:paraId="260BF4D3">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val="0"/>
                <w:bCs w:val="0"/>
                <w:lang w:val="en-US" w:eastAsia="zh-CN"/>
              </w:rPr>
              <w:t>未婚</w:t>
            </w:r>
          </w:p>
        </w:tc>
        <w:tc>
          <w:tcPr>
            <w:tcW w:w="2625" w:type="dxa"/>
            <w:vMerge w:val="continue"/>
          </w:tcPr>
          <w:p w14:paraId="2E79D3B3">
            <w:pPr>
              <w:tabs>
                <w:tab w:val="left" w:pos="2700"/>
                <w:tab w:val="left" w:pos="3000"/>
                <w:tab w:val="left" w:pos="7965"/>
              </w:tabs>
              <w:spacing w:line="300" w:lineRule="auto"/>
              <w:ind w:firstLine="120" w:firstLineChars="50"/>
              <w:rPr>
                <w:lang w:eastAsia="zh-CN"/>
              </w:rPr>
            </w:pPr>
          </w:p>
        </w:tc>
      </w:tr>
      <w:tr w14:paraId="351A0B98">
        <w:tblPrEx>
          <w:tblCellMar>
            <w:top w:w="0" w:type="dxa"/>
            <w:left w:w="108" w:type="dxa"/>
            <w:bottom w:w="0" w:type="dxa"/>
            <w:right w:w="108" w:type="dxa"/>
          </w:tblCellMar>
        </w:tblPrEx>
        <w:trPr>
          <w:trHeight w:val="242" w:hRule="atLeast"/>
        </w:trPr>
        <w:tc>
          <w:tcPr>
            <w:tcW w:w="7298" w:type="dxa"/>
          </w:tcPr>
          <w:p w14:paraId="74821554">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b w:val="0"/>
                <w:bCs w:val="0"/>
                <w:lang w:val="en-US" w:eastAsia="zh-CN"/>
              </w:rPr>
              <w:t>重庆</w:t>
            </w:r>
          </w:p>
        </w:tc>
        <w:tc>
          <w:tcPr>
            <w:tcW w:w="2625" w:type="dxa"/>
            <w:vMerge w:val="continue"/>
          </w:tcPr>
          <w:p w14:paraId="541F11DF">
            <w:pPr>
              <w:tabs>
                <w:tab w:val="left" w:pos="2700"/>
                <w:tab w:val="left" w:pos="3000"/>
                <w:tab w:val="left" w:pos="7965"/>
              </w:tabs>
              <w:spacing w:line="300" w:lineRule="auto"/>
              <w:ind w:firstLine="120" w:firstLineChars="50"/>
              <w:rPr>
                <w:lang w:eastAsia="zh-CN"/>
              </w:rPr>
            </w:pPr>
          </w:p>
        </w:tc>
      </w:tr>
      <w:tr w14:paraId="7B1267EF">
        <w:tblPrEx>
          <w:tblCellMar>
            <w:top w:w="0" w:type="dxa"/>
            <w:left w:w="108" w:type="dxa"/>
            <w:bottom w:w="0" w:type="dxa"/>
            <w:right w:w="108" w:type="dxa"/>
          </w:tblCellMar>
        </w:tblPrEx>
        <w:trPr>
          <w:trHeight w:val="333" w:hRule="atLeast"/>
        </w:trPr>
        <w:tc>
          <w:tcPr>
            <w:tcW w:w="7298" w:type="dxa"/>
          </w:tcPr>
          <w:p w14:paraId="56250ACE">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杭州</w:t>
            </w:r>
          </w:p>
        </w:tc>
        <w:tc>
          <w:tcPr>
            <w:tcW w:w="2625" w:type="dxa"/>
            <w:vMerge w:val="continue"/>
          </w:tcPr>
          <w:p w14:paraId="2F436304">
            <w:pPr>
              <w:tabs>
                <w:tab w:val="left" w:pos="2700"/>
                <w:tab w:val="left" w:pos="3000"/>
                <w:tab w:val="left" w:pos="7965"/>
              </w:tabs>
              <w:spacing w:line="300" w:lineRule="auto"/>
              <w:ind w:firstLine="120" w:firstLineChars="50"/>
              <w:rPr>
                <w:lang w:eastAsia="zh-CN"/>
              </w:rPr>
            </w:pPr>
          </w:p>
        </w:tc>
      </w:tr>
      <w:tr w14:paraId="642B081A">
        <w:tblPrEx>
          <w:tblCellMar>
            <w:top w:w="0" w:type="dxa"/>
            <w:left w:w="108" w:type="dxa"/>
            <w:bottom w:w="0" w:type="dxa"/>
            <w:right w:w="108" w:type="dxa"/>
          </w:tblCellMar>
        </w:tblPrEx>
        <w:tc>
          <w:tcPr>
            <w:tcW w:w="7298" w:type="dxa"/>
          </w:tcPr>
          <w:p w14:paraId="3A5CF58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15736093708</w:t>
            </w:r>
          </w:p>
        </w:tc>
        <w:tc>
          <w:tcPr>
            <w:tcW w:w="2625" w:type="dxa"/>
            <w:vMerge w:val="continue"/>
          </w:tcPr>
          <w:p w14:paraId="6A3D4B9A">
            <w:pPr>
              <w:tabs>
                <w:tab w:val="left" w:pos="2700"/>
                <w:tab w:val="left" w:pos="3000"/>
                <w:tab w:val="left" w:pos="7965"/>
              </w:tabs>
              <w:spacing w:line="300" w:lineRule="auto"/>
              <w:rPr>
                <w:lang w:eastAsia="zh-CN"/>
              </w:rPr>
            </w:pPr>
          </w:p>
        </w:tc>
      </w:tr>
      <w:tr w14:paraId="3A238DF3">
        <w:tblPrEx>
          <w:tblCellMar>
            <w:top w:w="0" w:type="dxa"/>
            <w:left w:w="108" w:type="dxa"/>
            <w:bottom w:w="0" w:type="dxa"/>
            <w:right w:w="108" w:type="dxa"/>
          </w:tblCellMar>
        </w:tblPrEx>
        <w:tc>
          <w:tcPr>
            <w:tcW w:w="7298" w:type="dxa"/>
          </w:tcPr>
          <w:p w14:paraId="00C84C61">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995580814@qq.com</w:t>
            </w:r>
          </w:p>
        </w:tc>
        <w:tc>
          <w:tcPr>
            <w:tcW w:w="2625" w:type="dxa"/>
            <w:vMerge w:val="continue"/>
          </w:tcPr>
          <w:p w14:paraId="7514C094">
            <w:pPr>
              <w:tabs>
                <w:tab w:val="left" w:pos="2700"/>
                <w:tab w:val="left" w:pos="3000"/>
                <w:tab w:val="left" w:pos="7965"/>
              </w:tabs>
              <w:spacing w:line="300" w:lineRule="auto"/>
              <w:rPr>
                <w:lang w:eastAsia="zh-CN"/>
              </w:rPr>
            </w:pPr>
          </w:p>
        </w:tc>
      </w:tr>
    </w:tbl>
    <w:p w14:paraId="64BBAFE7">
      <w:pPr>
        <w:tabs>
          <w:tab w:val="left" w:pos="2010"/>
        </w:tabs>
        <w:spacing w:line="300" w:lineRule="auto"/>
        <w:rPr>
          <w:iCs/>
          <w:szCs w:val="21"/>
        </w:rPr>
      </w:pPr>
    </w:p>
    <w:p w14:paraId="78218994">
      <w:pPr>
        <w:tabs>
          <w:tab w:val="left" w:pos="2552"/>
        </w:tabs>
        <w:spacing w:line="300" w:lineRule="auto"/>
        <w:rPr>
          <w:b/>
          <w:szCs w:val="21"/>
          <w:lang w:val="en-GB" w:eastAsia="zh-CN"/>
        </w:rPr>
      </w:pPr>
    </w:p>
    <w:p w14:paraId="42BFC8AB">
      <w:pPr>
        <w:tabs>
          <w:tab w:val="left" w:pos="2552"/>
        </w:tabs>
        <w:spacing w:line="300" w:lineRule="auto"/>
        <w:rPr>
          <w:b/>
          <w:szCs w:val="21"/>
          <w:lang w:val="en-GB" w:eastAsia="zh-CN"/>
        </w:rPr>
      </w:pPr>
      <w:r>
        <w:rPr>
          <w:b/>
          <w:szCs w:val="21"/>
          <w:lang w:val="en-GB" w:eastAsia="zh-CN"/>
        </w:rPr>
        <w:t>教育背景</w:t>
      </w:r>
    </w:p>
    <w:p w14:paraId="12D435FB">
      <w:pPr>
        <w:tabs>
          <w:tab w:val="left" w:pos="2552"/>
        </w:tabs>
        <w:spacing w:line="300" w:lineRule="auto"/>
        <w:rPr>
          <w:b/>
          <w:szCs w:val="21"/>
          <w:lang w:val="en-GB" w:eastAsia="zh-CN"/>
        </w:rPr>
      </w:pPr>
      <w:r>
        <w:rPr>
          <w:rFonts w:hint="eastAsia"/>
          <w:b/>
          <w:szCs w:val="21"/>
          <w:lang w:val="en-GB" w:eastAsia="zh-CN"/>
        </w:rPr>
        <w:t xml:space="preserve">2022.03—2025.06         上海师范大学         法学        </w:t>
      </w:r>
      <w:r>
        <w:rPr>
          <w:rFonts w:hint="eastAsia"/>
          <w:b/>
          <w:szCs w:val="21"/>
          <w:lang w:val="en-US" w:eastAsia="zh-CN"/>
        </w:rPr>
        <w:t xml:space="preserve">    </w:t>
      </w:r>
      <w:r>
        <w:rPr>
          <w:rFonts w:hint="eastAsia"/>
          <w:b/>
          <w:szCs w:val="21"/>
          <w:lang w:val="en-GB" w:eastAsia="zh-CN"/>
        </w:rPr>
        <w:t>本科</w:t>
      </w:r>
    </w:p>
    <w:p w14:paraId="13A183F0">
      <w:pPr>
        <w:tabs>
          <w:tab w:val="left" w:pos="2552"/>
        </w:tabs>
        <w:spacing w:line="300" w:lineRule="auto"/>
        <w:rPr>
          <w:b/>
          <w:szCs w:val="21"/>
          <w:lang w:val="en-GB" w:eastAsia="zh-CN"/>
        </w:rPr>
      </w:pPr>
      <w:r>
        <w:rPr>
          <w:rFonts w:hint="eastAsia"/>
          <w:b/>
          <w:szCs w:val="21"/>
          <w:lang w:val="en-GB" w:eastAsia="zh-CN"/>
        </w:rPr>
        <w:t>2013.09—2016.06         重庆财经学院         市场营销        大专</w:t>
      </w:r>
    </w:p>
    <w:p w14:paraId="68A62098">
      <w:pPr>
        <w:spacing w:line="300" w:lineRule="auto"/>
        <w:rPr>
          <w:b/>
          <w:bCs/>
          <w:szCs w:val="21"/>
          <w:u w:val="single"/>
          <w:shd w:val="pct10" w:color="auto" w:fill="FFFFFF"/>
          <w:lang w:eastAsia="zh-CN"/>
        </w:rPr>
      </w:pPr>
    </w:p>
    <w:p w14:paraId="06DF3B3D">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4CC1B817">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年包50w</w:t>
      </w:r>
    </w:p>
    <w:p w14:paraId="48ACF3BC">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年包60w</w:t>
      </w:r>
    </w:p>
    <w:p w14:paraId="7034B8BE">
      <w:pPr>
        <w:tabs>
          <w:tab w:val="left" w:pos="2552"/>
        </w:tabs>
        <w:spacing w:line="300" w:lineRule="auto"/>
        <w:rPr>
          <w:szCs w:val="21"/>
          <w:lang w:val="en-GB" w:eastAsia="zh-CN"/>
        </w:rPr>
      </w:pPr>
    </w:p>
    <w:p w14:paraId="18F3F158">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176CB9C7">
      <w:pPr>
        <w:spacing w:line="300" w:lineRule="auto"/>
        <w:rPr>
          <w:rFonts w:hint="eastAsia"/>
          <w:b/>
          <w:bCs/>
          <w:szCs w:val="21"/>
          <w:u w:val="none"/>
          <w:shd w:val="clear" w:color="auto" w:fill="auto"/>
          <w:lang w:val="en-US" w:eastAsia="zh-CN"/>
        </w:rPr>
      </w:pPr>
      <w:r>
        <w:rPr>
          <w:rFonts w:hint="eastAsia"/>
          <w:b/>
          <w:bCs/>
          <w:szCs w:val="21"/>
          <w:u w:val="none"/>
          <w:shd w:val="clear" w:color="auto" w:fill="auto"/>
          <w:lang w:val="en-US" w:eastAsia="zh-CN"/>
        </w:rPr>
        <w:t>负责区域：华东</w:t>
      </w:r>
      <w:r>
        <w:rPr>
          <w:rFonts w:hint="eastAsia"/>
          <w:b/>
          <w:bCs/>
          <w:szCs w:val="21"/>
          <w:u w:val="none"/>
          <w:shd w:val="clear" w:color="auto" w:fill="auto"/>
          <w:lang w:val="en-US" w:eastAsia="zh-CN"/>
        </w:rPr>
        <w:br w:type="textWrapping"/>
      </w:r>
      <w:r>
        <w:rPr>
          <w:rFonts w:hint="eastAsia"/>
          <w:b/>
          <w:bCs/>
          <w:szCs w:val="21"/>
          <w:u w:val="none"/>
          <w:shd w:val="clear" w:color="auto" w:fill="auto"/>
          <w:lang w:val="en-US" w:eastAsia="zh-CN"/>
        </w:rPr>
        <w:t>客户资源：字节（必胜客、DQ、星巴克）、快手（库迪、茶百道、喜姐、COCO）</w:t>
      </w:r>
      <w:r>
        <w:rPr>
          <w:rFonts w:hint="eastAsia"/>
          <w:b/>
          <w:bCs/>
          <w:szCs w:val="21"/>
          <w:u w:val="none"/>
          <w:shd w:val="clear" w:color="auto" w:fill="auto"/>
          <w:lang w:val="en-US" w:eastAsia="zh-CN"/>
        </w:rPr>
        <w:br w:type="textWrapping"/>
      </w:r>
      <w:r>
        <w:rPr>
          <w:rFonts w:hint="eastAsia"/>
          <w:b/>
          <w:bCs/>
          <w:szCs w:val="21"/>
          <w:u w:val="none"/>
          <w:shd w:val="clear" w:color="auto" w:fill="auto"/>
          <w:lang w:val="en-US" w:eastAsia="zh-CN"/>
        </w:rPr>
        <w:t>业绩：字节年均18亿GMV  快手年均近6亿GMV</w:t>
      </w:r>
      <w:r>
        <w:rPr>
          <w:rFonts w:hint="eastAsia"/>
          <w:b/>
          <w:bCs/>
          <w:szCs w:val="21"/>
          <w:u w:val="none"/>
          <w:shd w:val="clear" w:color="auto" w:fill="auto"/>
          <w:lang w:val="en-US" w:eastAsia="zh-CN"/>
        </w:rPr>
        <w:br w:type="textWrapping"/>
      </w:r>
      <w:r>
        <w:rPr>
          <w:rFonts w:hint="eastAsia"/>
          <w:b/>
          <w:bCs/>
          <w:szCs w:val="21"/>
          <w:u w:val="none"/>
          <w:shd w:val="clear" w:color="auto" w:fill="auto"/>
          <w:lang w:val="en-US" w:eastAsia="zh-CN"/>
        </w:rPr>
        <w:t>绩效：快手A+   字节连续两年E</w:t>
      </w:r>
    </w:p>
    <w:p w14:paraId="496CCEDA">
      <w:pPr>
        <w:spacing w:line="300" w:lineRule="auto"/>
        <w:rPr>
          <w:rFonts w:hint="eastAsia"/>
          <w:b/>
          <w:bCs/>
          <w:szCs w:val="21"/>
          <w:u w:val="none"/>
          <w:shd w:val="clear" w:color="auto" w:fill="auto"/>
          <w:lang w:val="en-US" w:eastAsia="zh-CN"/>
        </w:rPr>
      </w:pPr>
    </w:p>
    <w:p w14:paraId="2C958AA0">
      <w:pPr>
        <w:spacing w:line="300" w:lineRule="auto"/>
        <w:rPr>
          <w:rFonts w:hint="eastAsia"/>
          <w:lang w:eastAsia="zh-CN"/>
        </w:rPr>
      </w:pPr>
      <w:r>
        <w:rPr>
          <w:rFonts w:hint="eastAsia" w:ascii="宋体" w:hAnsi="宋体" w:cs="宋体"/>
          <w:b/>
          <w:color w:val="000000"/>
          <w:lang w:val="en-US" w:eastAsia="zh-CN"/>
        </w:rPr>
        <w:br w:type="textWrapping"/>
      </w:r>
      <w:r>
        <w:rPr>
          <w:rFonts w:hint="eastAsia" w:ascii="宋体" w:hAnsi="宋体" w:cs="宋体"/>
          <w:b/>
          <w:color w:val="000000"/>
          <w:lang w:val="en-US" w:eastAsia="zh-CN"/>
        </w:rPr>
        <w:t>2025.07—2025.09 在古茗担任抖音渠道负责人（离职原因：内部管理混乱，汇报线混乱，有管理权限但是没有管理实权，业务工作几乎开展不了，入职两个月几乎每天加班到凌晨2点多，完全没有周末）</w:t>
      </w:r>
      <w:r>
        <w:rPr>
          <w:rFonts w:hint="eastAsia" w:ascii="宋体" w:hAnsi="宋体" w:cs="宋体"/>
          <w:b/>
          <w:color w:val="000000"/>
          <w:lang w:val="en-US" w:eastAsia="zh-CN"/>
        </w:rPr>
        <w:br w:type="textWrapping"/>
      </w:r>
      <w:r>
        <w:rPr>
          <w:rFonts w:hint="eastAsia" w:ascii="宋体" w:hAnsi="宋体" w:cs="宋体"/>
          <w:b/>
          <w:color w:val="000000"/>
          <w:lang w:val="en-US" w:eastAsia="zh-CN"/>
        </w:rPr>
        <w:t>2025.05—2025.07</w:t>
      </w:r>
      <w:r>
        <w:rPr>
          <w:rFonts w:hint="eastAsia" w:ascii="宋体" w:hAnsi="宋体" w:cs="宋体"/>
          <w:b/>
          <w:color w:val="000000"/>
          <w:lang w:eastAsia="zh-CN"/>
        </w:rPr>
        <w:t xml:space="preserve"> </w:t>
      </w:r>
      <w:r>
        <w:rPr>
          <w:rFonts w:hint="eastAsia" w:ascii="宋体" w:hAnsi="宋体" w:cs="宋体"/>
          <w:b/>
          <w:color w:val="000000"/>
          <w:lang w:val="en-US" w:eastAsia="zh-CN"/>
        </w:rPr>
        <w:t>在好想来担任达播达短经理（离职原因：入职前说的是抖音渠道负责人，入职后发现抖音业务版块是一分为二的</w:t>
      </w:r>
      <w:bookmarkStart w:id="0" w:name="_GoBack"/>
      <w:bookmarkEnd w:id="0"/>
      <w:r>
        <w:rPr>
          <w:rFonts w:hint="eastAsia" w:ascii="宋体" w:hAnsi="宋体" w:cs="宋体"/>
          <w:b/>
          <w:color w:val="000000"/>
          <w:lang w:val="en-US" w:eastAsia="zh-CN"/>
        </w:rPr>
        <w:t>，与入职前所描述不符）</w:t>
      </w:r>
      <w:r>
        <w:rPr>
          <w:rFonts w:hint="eastAsia" w:ascii="宋体" w:hAnsi="宋体" w:cs="宋体"/>
          <w:b/>
          <w:color w:val="000000"/>
          <w:lang w:val="en-US" w:eastAsia="zh-CN"/>
        </w:rPr>
        <w:br w:type="textWrapping"/>
      </w:r>
    </w:p>
    <w:p w14:paraId="2C6265B7">
      <w:pPr>
        <w:spacing w:line="300" w:lineRule="auto"/>
        <w:rPr>
          <w:b/>
          <w:lang w:eastAsia="zh-CN"/>
        </w:rPr>
      </w:pPr>
      <w:r>
        <w:rPr>
          <w:rFonts w:hint="eastAsia" w:ascii="宋体" w:hAnsi="宋体" w:cs="宋体"/>
          <w:b/>
          <w:color w:val="000000"/>
          <w:lang w:val="en-US" w:eastAsia="zh-CN"/>
        </w:rPr>
        <w:t>2024.06—2025.03</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星巴克</w:t>
      </w:r>
      <w:r>
        <w:rPr>
          <w:rFonts w:hint="eastAsia"/>
          <w:b/>
          <w:lang w:eastAsia="zh-CN"/>
        </w:rPr>
        <w:t xml:space="preserve">     抖音社交电商经理</w:t>
      </w:r>
    </w:p>
    <w:p w14:paraId="2FD45561">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127690F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446CC9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工作成就：1）在岗期间参与策划星巴克短剧“我在古代开星巴克”抖音流量生意承接，全店流量超3亿+，生意涨幅超2倍增长，2）0到1搭建达播矩阵，实现年生意增长超3倍，同时输出了多个达播行业标杆案例。 3）主导抖音经营费用saving专项，优化 短视频、官播、达播各渠道费用，在全年费用砍10%-15%，生意维持在降费用前的标准。</w:t>
      </w:r>
    </w:p>
    <w:p w14:paraId="2938B50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店铺运营：每月根据折扣要求梳理渠道全店货盘，按达播、POI货架、官播不同渠道经营策略针对输出货盘分层、营销策略、推广计划、确保每月目标达成，同时沉淀不同阶段的经营方法论。</w:t>
      </w:r>
    </w:p>
    <w:p w14:paraId="1623C2B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商品管理：根据生意目标和折扣标准盘点符合抖音各渠道的货盘策略；根据平台属性定期迭代抖音短、直、搜各渠道货盘；持续保持商品活力，沉淀各渠道货盘分层方法论。</w:t>
      </w:r>
    </w:p>
    <w:p w14:paraId="565D900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直播运营：梳理直播运营标准化框架，视觉及运营规范，根据不同campaign和时令节点调整策略、主播塑品到投流优化定期复盘，不断优化官企的直播流量和品牌调性，使其品效合一。</w:t>
      </w:r>
    </w:p>
    <w:p w14:paraId="146CC16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达播运营：从0到1搭建星巴克达播体系，从自主孵化培育、多家MCN机构谈判战略合作、常态化打法，节点营销打法策略沉淀，为其在不同阶段沉淀了不同的方法论，不同阶段打造了多个达播案例，如 开创 “英文教学式 卖星巴克”等</w:t>
      </w:r>
    </w:p>
    <w:p w14:paraId="46035A6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服务商管理：搭建服务商管理标准和kpi考核，建立月考核和清退计划，从0到1引入达播服务商，从招募标准、考核机制、风控流程，全体系把控，完善服务商对星巴克抖音生意经营和营销策略理解，对于多个服务商协作能有效统筹管理。</w:t>
      </w:r>
    </w:p>
    <w:p w14:paraId="6BC2617A">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跨部门协同：在运营过程中，多方协同线下和线下MKTing/营运/新品研发、财务等相关部门，根据抖音营销和生意经营策略，对内协同各个部门调整经营策略，，使其更好的平台运营。</w:t>
      </w:r>
      <w:r>
        <w:rPr>
          <w:lang w:eastAsia="zh-CN"/>
        </w:rPr>
        <w:t xml:space="preserve"> </w:t>
      </w:r>
      <w:r>
        <w:rPr>
          <w:rFonts w:hint="eastAsia"/>
          <w:lang w:eastAsia="zh-CN"/>
        </w:rPr>
        <w:t xml:space="preserve">   </w:t>
      </w:r>
    </w:p>
    <w:p w14:paraId="09055DD8">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ascii="MicrosoftYaHei" w:hAnsi="MicrosoftYaHei"/>
          <w:b/>
          <w:bCs/>
          <w:color w:val="3F3F3F"/>
          <w:lang w:val="en-US" w:eastAsia="zh-CN"/>
        </w:rPr>
        <w:t>星巴克业务受到库迪、瑞幸、蜜雪等公司的冲击，业务规模收缩，业务架构变动，内部调岗</w:t>
      </w:r>
      <w:r>
        <w:rPr>
          <w:rFonts w:hint="eastAsia"/>
          <w:lang w:eastAsia="zh-CN"/>
        </w:rPr>
        <w:t xml:space="preserve"> </w:t>
      </w:r>
    </w:p>
    <w:p w14:paraId="630C2BA0">
      <w:pPr>
        <w:pStyle w:val="32"/>
        <w:widowControl w:val="0"/>
        <w:numPr>
          <w:ilvl w:val="0"/>
          <w:numId w:val="0"/>
        </w:numPr>
        <w:autoSpaceDE w:val="0"/>
        <w:autoSpaceDN w:val="0"/>
        <w:adjustRightInd w:val="0"/>
        <w:spacing w:line="360" w:lineRule="auto"/>
        <w:ind w:leftChars="0"/>
        <w:jc w:val="both"/>
        <w:rPr>
          <w:rFonts w:hint="eastAsia"/>
          <w:lang w:eastAsia="zh-CN"/>
        </w:rPr>
      </w:pPr>
    </w:p>
    <w:p w14:paraId="5A2C59CC">
      <w:pPr>
        <w:spacing w:line="300" w:lineRule="auto"/>
        <w:rPr>
          <w:b/>
          <w:lang w:eastAsia="zh-CN"/>
        </w:rPr>
      </w:pPr>
      <w:r>
        <w:rPr>
          <w:rFonts w:hint="eastAsia" w:ascii="宋体" w:hAnsi="宋体" w:cs="宋体"/>
          <w:b/>
          <w:color w:val="000000"/>
          <w:lang w:val="en-US" w:eastAsia="zh-CN"/>
        </w:rPr>
        <w:t>2023.06—2024.06</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快手</w:t>
      </w:r>
      <w:r>
        <w:rPr>
          <w:rFonts w:hint="eastAsia"/>
          <w:b/>
          <w:lang w:eastAsia="zh-CN"/>
        </w:rPr>
        <w:t xml:space="preserve">     SKA运营经理</w:t>
      </w:r>
    </w:p>
    <w:p w14:paraId="4FA9D4A5">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367DC143">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6F5E5B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工作产出：成功引入库迪、茶百道、喜姐等品牌入驻，成功运营半天妖、CoCo、库迪等品牌的在平台业绩得到翻倍增长,0到1梳理多个内部协作SOP。</w:t>
      </w:r>
    </w:p>
    <w:p w14:paraId="448AE4B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品牌运营：核心连锁品牌和生意增长、梳理客户分层、不同类型客户针对性输出有效策略、并根据数据调整、跑通平台方法论、半年内打造了半天妖、CoCo等品牌在站内多个showcase案例，业绩环比超50%增长。</w:t>
      </w:r>
    </w:p>
    <w:p w14:paraId="79DDC0D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标杆案例打造：半天妖在快手运营在平台陷入增长疲软阶段，基于当下现状协同品牌做货盘策略+营销规划，同时撬动内部资源，筹备以“官播大场+0佣阶梯现金激励模式+货盘阶梯，搭建达播矩阵开播”5天内突破1500w，环比业绩增长200%，继后续持续保持快手平台正餐品类TOP 1.</w:t>
      </w:r>
    </w:p>
    <w:p w14:paraId="1F0B25DE">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跨部门协同：在业务过程中，打通了SKA在平台内、商分、运营中台、法务、平台营销、商业化、电商等部门的合作通路，为SKA从0到1梳理多项sop。</w:t>
      </w:r>
      <w:r>
        <w:rPr>
          <w:lang w:eastAsia="zh-CN"/>
        </w:rPr>
        <w:t xml:space="preserve"> </w:t>
      </w:r>
      <w:r>
        <w:rPr>
          <w:rFonts w:hint="eastAsia"/>
          <w:lang w:eastAsia="zh-CN"/>
        </w:rPr>
        <w:t xml:space="preserve">   </w:t>
      </w:r>
    </w:p>
    <w:p w14:paraId="1A059998">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ascii="MicrosoftYaHei" w:hAnsi="MicrosoftYaHei"/>
          <w:b/>
          <w:bCs/>
          <w:color w:val="3F3F3F"/>
          <w:lang w:val="en-US" w:eastAsia="zh-CN"/>
        </w:rPr>
        <w:t>星巴克总监邀请，同时也想看看甲方的机会</w:t>
      </w:r>
      <w:r>
        <w:rPr>
          <w:rFonts w:hint="eastAsia"/>
          <w:lang w:eastAsia="zh-CN"/>
        </w:rPr>
        <w:t xml:space="preserve"> </w:t>
      </w:r>
    </w:p>
    <w:p w14:paraId="0D5F79D0">
      <w:pPr>
        <w:pStyle w:val="32"/>
        <w:widowControl w:val="0"/>
        <w:numPr>
          <w:ilvl w:val="0"/>
          <w:numId w:val="0"/>
        </w:numPr>
        <w:autoSpaceDE w:val="0"/>
        <w:autoSpaceDN w:val="0"/>
        <w:adjustRightInd w:val="0"/>
        <w:spacing w:line="360" w:lineRule="auto"/>
        <w:ind w:leftChars="0"/>
        <w:jc w:val="both"/>
        <w:rPr>
          <w:rFonts w:hint="eastAsia"/>
          <w:lang w:eastAsia="zh-CN"/>
        </w:rPr>
      </w:pPr>
    </w:p>
    <w:p w14:paraId="5A1CDD6B">
      <w:pPr>
        <w:spacing w:line="300" w:lineRule="auto"/>
        <w:rPr>
          <w:b/>
          <w:lang w:eastAsia="zh-CN"/>
        </w:rPr>
      </w:pPr>
      <w:r>
        <w:rPr>
          <w:rFonts w:hint="eastAsia" w:ascii="宋体" w:hAnsi="宋体" w:cs="宋体"/>
          <w:b/>
          <w:color w:val="000000"/>
          <w:lang w:val="en-US" w:eastAsia="zh-CN"/>
        </w:rPr>
        <w:t>2020.10—2023.05</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字节跳动</w:t>
      </w:r>
      <w:r>
        <w:rPr>
          <w:rFonts w:hint="eastAsia"/>
          <w:b/>
          <w:lang w:eastAsia="zh-CN"/>
        </w:rPr>
        <w:t xml:space="preserve">     SKA运营经理</w:t>
      </w:r>
    </w:p>
    <w:p w14:paraId="16579DC2">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4BD0C7D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7E5E10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工作产出：成功引入并成功运营多家连锁品牌和服务商入驻平台（必胜客、DQ、星巴克等）从0到1运营多个商家</w:t>
      </w:r>
    </w:p>
    <w:p w14:paraId="09FF681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品牌showcase案例（星巴克入驻破亿营销首秀，虎头局抖音经营破圈）</w:t>
      </w:r>
    </w:p>
    <w:p w14:paraId="2B471BD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商家运营 ：赋能商家运营基建和抖音玩法；探索内容营销运营针对不同类型商家的方法，熟悉协同品牌技术、法务、商务条款和平台政策协同工作，帮助品牌在较短周期内熟悉抖音域内渠道运营。</w:t>
      </w:r>
    </w:p>
    <w:p w14:paraId="5982C55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常态化营销：为品牌输出抖音组品策略、直播短视频抖音玩法策略、助力其在平台长效运营。</w:t>
      </w:r>
    </w:p>
    <w:p w14:paraId="74C6D00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品牌节点营销： 了解商家投入相应的资源和货品； campaign整体执行落地 ，过程监控 ，项目复盘及后续优化；抖音生活服务IP项目联动头部品牌制定整合营销方案；为品牌达到品效合一的营销案例，操盘咖啡品类第一个平台“破亿”咖啡案例。</w:t>
      </w:r>
    </w:p>
    <w:p w14:paraId="48A4FD2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新玩法探索：品牌自主孵化成功案例方法论输出，0到1协助品牌搭建达播矩阵，实现月业绩增长超50%，同时为预埋平台玩法探索 ，推动商家积极去尝试平台的新的业务发展方向，如电商大v和明星直播以及跨界联名达播玩法等尝试。</w:t>
      </w:r>
    </w:p>
    <w:p w14:paraId="1236B59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服务商培育 ：业务初期，寻找有潜力的本地生活服务商；赋能抖音运营策略；鼓励入局结合平台内相关扶持项目协助其助力商家运营，成功引入2个S级服务商。</w:t>
      </w:r>
    </w:p>
    <w:p w14:paraId="207AC3D9">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团队管理： 日常内部赋能开发和运营经验； 同时组内管理协同；独自带 1-2 名同学负责提升开发和运营能力</w:t>
      </w:r>
    </w:p>
    <w:p w14:paraId="504D38EF">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业绩产出：4-8 月个人支付和核销 GMV 排名占上海战区的 4/1。</w:t>
      </w:r>
      <w:r>
        <w:rPr>
          <w:lang w:eastAsia="zh-CN"/>
        </w:rPr>
        <w:t xml:space="preserve"> </w:t>
      </w:r>
      <w:r>
        <w:rPr>
          <w:rFonts w:hint="eastAsia"/>
          <w:lang w:eastAsia="zh-CN"/>
        </w:rPr>
        <w:t xml:space="preserve">   </w:t>
      </w:r>
    </w:p>
    <w:p w14:paraId="2AC2E4FC">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ascii="MicrosoftYaHei" w:hAnsi="MicrosoftYaHei"/>
          <w:b/>
          <w:bCs/>
          <w:color w:val="3F3F3F"/>
          <w:lang w:val="en-US" w:eastAsia="zh-CN"/>
        </w:rPr>
        <w:t>领导跳槽去快手，跟随领导一起走</w:t>
      </w:r>
      <w:r>
        <w:rPr>
          <w:rFonts w:hint="eastAsia"/>
          <w:lang w:eastAsia="zh-CN"/>
        </w:rPr>
        <w:t xml:space="preserve"> </w:t>
      </w:r>
    </w:p>
    <w:p w14:paraId="4266EE8D">
      <w:pPr>
        <w:pStyle w:val="32"/>
        <w:widowControl w:val="0"/>
        <w:numPr>
          <w:ilvl w:val="0"/>
          <w:numId w:val="0"/>
        </w:numPr>
        <w:autoSpaceDE w:val="0"/>
        <w:autoSpaceDN w:val="0"/>
        <w:adjustRightInd w:val="0"/>
        <w:spacing w:line="360" w:lineRule="auto"/>
        <w:ind w:leftChars="0"/>
        <w:jc w:val="both"/>
        <w:rPr>
          <w:rFonts w:hint="eastAsia"/>
          <w:lang w:eastAsia="zh-CN"/>
        </w:rPr>
      </w:pPr>
    </w:p>
    <w:p w14:paraId="364EEF94">
      <w:pPr>
        <w:spacing w:line="300" w:lineRule="auto"/>
        <w:rPr>
          <w:b/>
          <w:lang w:eastAsia="zh-CN"/>
        </w:rPr>
      </w:pPr>
      <w:r>
        <w:rPr>
          <w:rFonts w:hint="eastAsia" w:ascii="宋体" w:hAnsi="宋体" w:cs="宋体"/>
          <w:b/>
          <w:color w:val="000000"/>
          <w:lang w:val="en-US" w:eastAsia="zh-CN"/>
        </w:rPr>
        <w:t>2015.12—2020.09</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百度</w:t>
      </w:r>
      <w:r>
        <w:rPr>
          <w:rFonts w:hint="eastAsia"/>
          <w:b/>
          <w:lang w:eastAsia="zh-CN"/>
        </w:rPr>
        <w:t xml:space="preserve">     大区经理</w:t>
      </w:r>
    </w:p>
    <w:p w14:paraId="3C765E72">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4769B27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228F8A51">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2019.03-2020.9.30 部门：商务部- 大区经理</w:t>
      </w:r>
    </w:p>
    <w:p w14:paraId="1B62B54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管理成就：40人，5个业务小组，从0-1搭建2个小组，提拔培育3名经理，1名储备，年度TOP10精英4名，在职期间月签单GMV环比增长超200%，大区排名在全公司TOP1或TOP2区间。</w:t>
      </w:r>
    </w:p>
    <w:p w14:paraId="6F95D63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战略制定：大区制定全年开发目标和达成策略输出，过程数据监控，并及时调整运营策略和人员储备。</w:t>
      </w:r>
    </w:p>
    <w:p w14:paraId="0298F3D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团队管理：大区文化氛围建设和人员培养框架搭建&amp;团队架构模型和储备管理的培育&amp;业务规则制定和管理培训.</w:t>
      </w:r>
    </w:p>
    <w:p w14:paraId="7BD6E47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2017.01-2019.03 部门：商务部-商务经理</w:t>
      </w:r>
    </w:p>
    <w:p w14:paraId="1EB9A3B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管理成就：6-8人，主要负责百度大搜商业化广告销售和运营维护，期间培育了2名销冠、1名储备管理，带队2年期间拿到年度团队冠军团队和年度亚军团队，全年签单金额超1300w+，月均团队单量超100w+。</w:t>
      </w:r>
    </w:p>
    <w:p w14:paraId="5FA2924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团队搭建：从 0-1 搭建团队人员&amp;团队模型搭建 ， 团队内标杆人员培育&amp;赋能业务技巧，新人外出陪访&amp;老员工疑难业务问题赋能解决方案；协助处理。</w:t>
      </w:r>
    </w:p>
    <w:p w14:paraId="3C1F9F3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团队文化建设：定期组织团建&amp;组内氛围打造；提升组内团结和凝聚力</w:t>
      </w:r>
    </w:p>
    <w:p w14:paraId="6C2117B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2015.12-2016.12 部门：商务部 —销售</w:t>
      </w:r>
    </w:p>
    <w:p w14:paraId="575B58A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工作职责 ：负责自主开发有百度竞价需求的客户并线上面谈拜访签单以及运营维护</w:t>
      </w:r>
    </w:p>
    <w:p w14:paraId="712B8C8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业绩 ：第 3 个月开始每月保持 TOP前三月均均 10 单+ ，全年累计超 160 单+ ，业绩排名商务部 TOP1.（团队销售共计 300 人）</w:t>
      </w:r>
      <w:r>
        <w:rPr>
          <w:lang w:eastAsia="zh-CN"/>
        </w:rPr>
        <w:t xml:space="preserve"> </w:t>
      </w:r>
      <w:r>
        <w:rPr>
          <w:rFonts w:hint="eastAsia"/>
          <w:lang w:eastAsia="zh-CN"/>
        </w:rPr>
        <w:t xml:space="preserve">   </w:t>
      </w:r>
    </w:p>
    <w:p w14:paraId="06AFC7D0">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ascii="MicrosoftYaHei" w:hAnsi="MicrosoftYaHei"/>
          <w:b/>
          <w:bCs/>
          <w:color w:val="3F3F3F"/>
          <w:lang w:val="en-US" w:eastAsia="zh-CN"/>
        </w:rPr>
        <w:t>百度业务收缩，晋升渠道受限</w:t>
      </w:r>
      <w:r>
        <w:rPr>
          <w:rFonts w:hint="eastAsia"/>
          <w:lang w:eastAsia="zh-CN"/>
        </w:rPr>
        <w:t xml:space="preserve"> </w:t>
      </w:r>
    </w:p>
    <w:p w14:paraId="2705D6EA">
      <w:pPr>
        <w:pStyle w:val="32"/>
        <w:widowControl w:val="0"/>
        <w:numPr>
          <w:ilvl w:val="0"/>
          <w:numId w:val="0"/>
        </w:numPr>
        <w:autoSpaceDE w:val="0"/>
        <w:autoSpaceDN w:val="0"/>
        <w:adjustRightInd w:val="0"/>
        <w:spacing w:line="360" w:lineRule="auto"/>
        <w:ind w:leftChars="0"/>
        <w:jc w:val="both"/>
        <w:rPr>
          <w:rFonts w:hint="eastAsia"/>
          <w:lang w:eastAsia="zh-CN"/>
        </w:rPr>
      </w:pPr>
    </w:p>
    <w:p w14:paraId="2D0DBCC3">
      <w:pPr>
        <w:spacing w:line="360" w:lineRule="auto"/>
        <w:rPr>
          <w:b/>
          <w:bCs/>
          <w:u w:val="single"/>
          <w:shd w:val="pct10" w:color="auto" w:fill="FFFFFF"/>
          <w:lang w:eastAsia="zh-CN"/>
        </w:rPr>
      </w:pPr>
      <w:r>
        <w:rPr>
          <w:b/>
          <w:bCs/>
          <w:u w:val="single"/>
          <w:shd w:val="pct10" w:color="auto" w:fill="FFFFFF"/>
          <w:lang w:eastAsia="zh-CN"/>
        </w:rPr>
        <w:t>简介与评价</w:t>
      </w:r>
    </w:p>
    <w:p w14:paraId="57CB213D">
      <w:pPr>
        <w:spacing w:line="360" w:lineRule="auto"/>
        <w:ind w:left="420"/>
        <w:rPr>
          <w:rFonts w:hint="default"/>
          <w:color w:val="000000"/>
          <w:sz w:val="21"/>
          <w:szCs w:val="21"/>
          <w:lang w:val="en-US" w:eastAsia="zh-CN"/>
        </w:rPr>
      </w:pPr>
      <w:r>
        <w:rPr>
          <w:rFonts w:hint="eastAsia" w:ascii="Arial" w:hAnsi="Arial" w:cs="Arial"/>
          <w:i w:val="0"/>
          <w:iCs w:val="0"/>
          <w:caps w:val="0"/>
          <w:color w:val="222222"/>
          <w:spacing w:val="0"/>
          <w:sz w:val="24"/>
          <w:szCs w:val="24"/>
          <w:shd w:val="clear" w:color="auto" w:fill="FDFDFD"/>
          <w:lang w:val="en-US" w:eastAsia="zh-CN"/>
        </w:rPr>
        <w:t>1、8年+互联网行业经验，5年广告销售经验，3年+本地生活服务KA经验，开拓与运维能力兼具，有星巴克、必胜客、DQ、库迪、茶百道、COCO、半天妖等超头行业资源，并多次帮助品牌实现业绩增长；</w:t>
      </w:r>
      <w:r>
        <w:rPr>
          <w:rFonts w:hint="eastAsia" w:ascii="Arial" w:hAnsi="Arial" w:cs="Arial"/>
          <w:i w:val="0"/>
          <w:iCs w:val="0"/>
          <w:caps w:val="0"/>
          <w:color w:val="222222"/>
          <w:spacing w:val="0"/>
          <w:sz w:val="24"/>
          <w:szCs w:val="24"/>
          <w:shd w:val="clear" w:color="auto" w:fill="FDFDFD"/>
          <w:lang w:val="en-US" w:eastAsia="zh-CN"/>
        </w:rPr>
        <w:br w:type="textWrapping"/>
      </w:r>
      <w:r>
        <w:rPr>
          <w:rFonts w:hint="eastAsia" w:ascii="Arial" w:hAnsi="Arial" w:cs="Arial"/>
          <w:i w:val="0"/>
          <w:iCs w:val="0"/>
          <w:caps w:val="0"/>
          <w:color w:val="222222"/>
          <w:spacing w:val="0"/>
          <w:sz w:val="24"/>
          <w:szCs w:val="24"/>
          <w:shd w:val="clear" w:color="auto" w:fill="FDFDFD"/>
          <w:lang w:val="en-US" w:eastAsia="zh-CN"/>
        </w:rPr>
        <w:t>2、带团队能力强，跨部门沟通能力强，结果导向强，快手绩效A+，字节绩效E，百度期间业绩第一。</w:t>
      </w: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DB4DF">
    <w:pPr>
      <w:pStyle w:val="11"/>
      <w:tabs>
        <w:tab w:val="left" w:pos="812"/>
      </w:tabs>
      <w:ind w:left="-2" w:leftChars="-1"/>
      <w:rPr>
        <w:sz w:val="16"/>
        <w:szCs w:val="16"/>
      </w:rPr>
    </w:pPr>
    <w:r>
      <w:rPr>
        <w:sz w:val="16"/>
        <w:szCs w:val="16"/>
      </w:rPr>
      <w:t>Talent Witkey Human Resources (Shang</w:t>
    </w:r>
    <w:r>
      <w:rPr>
        <w:rFonts w:hint="eastAsia"/>
        <w:sz w:val="16"/>
        <w:szCs w:val="16"/>
      </w:rPr>
      <w:t xml:space="preserve"> H</w:t>
    </w:r>
    <w:r>
      <w:rPr>
        <w:sz w:val="16"/>
        <w:szCs w:val="16"/>
      </w:rPr>
      <w:t>ai) Co., ltd.</w:t>
    </w:r>
  </w:p>
  <w:p w14:paraId="320870ED">
    <w:pPr>
      <w:pStyle w:val="11"/>
      <w:tabs>
        <w:tab w:val="left" w:pos="812"/>
      </w:tabs>
      <w:ind w:left="-2" w:leftChars="-1"/>
      <w:rPr>
        <w:sz w:val="16"/>
        <w:szCs w:val="16"/>
      </w:rPr>
    </w:pPr>
    <w:r>
      <w:rPr>
        <w:sz w:val="16"/>
        <w:szCs w:val="16"/>
      </w:rPr>
      <w:t xml:space="preserve">Address: Room 1511,No 31, Lane 2419 Hu Nan Road, </w:t>
    </w:r>
  </w:p>
  <w:p w14:paraId="569A3793">
    <w:pPr>
      <w:pStyle w:val="11"/>
      <w:tabs>
        <w:tab w:val="left" w:pos="812"/>
      </w:tabs>
      <w:ind w:left="-2" w:leftChars="-1"/>
      <w:rPr>
        <w:sz w:val="16"/>
        <w:szCs w:val="16"/>
      </w:rPr>
    </w:pPr>
    <w:r>
      <w:rPr>
        <w:sz w:val="16"/>
        <w:szCs w:val="16"/>
      </w:rPr>
      <w:t xml:space="preserve">Building A Forte Vanke Energy City, </w:t>
    </w:r>
  </w:p>
  <w:p w14:paraId="65D82549">
    <w:pPr>
      <w:pStyle w:val="11"/>
      <w:tabs>
        <w:tab w:val="left" w:pos="812"/>
      </w:tabs>
      <w:ind w:left="-2" w:leftChars="-1"/>
      <w:rPr>
        <w:sz w:val="16"/>
        <w:szCs w:val="16"/>
      </w:rPr>
    </w:pPr>
    <w:r>
      <w:rPr>
        <w:sz w:val="16"/>
        <w:szCs w:val="16"/>
      </w:rPr>
      <w:t>Shanghai China, 201204</w:t>
    </w:r>
  </w:p>
  <w:p w14:paraId="168883DB">
    <w:pPr>
      <w:pStyle w:val="11"/>
      <w:tabs>
        <w:tab w:val="left" w:pos="812"/>
      </w:tabs>
      <w:ind w:left="-2" w:leftChars="-1"/>
      <w:rPr>
        <w:sz w:val="16"/>
        <w:szCs w:val="16"/>
      </w:rPr>
    </w:pPr>
    <w:r>
      <w:rPr>
        <w:rFonts w:hint="eastAsia"/>
        <w:sz w:val="16"/>
        <w:szCs w:val="16"/>
      </w:rPr>
      <w:t xml:space="preserve">L 86 21 </w:t>
    </w:r>
    <w:r>
      <w:rPr>
        <w:sz w:val="16"/>
        <w:szCs w:val="16"/>
      </w:rPr>
      <w:t>6110</w:t>
    </w:r>
    <w:r>
      <w:rPr>
        <w:rFonts w:hint="eastAsia"/>
        <w:sz w:val="16"/>
        <w:szCs w:val="16"/>
      </w:rPr>
      <w:t xml:space="preserve"> </w:t>
    </w:r>
    <w:r>
      <w:rPr>
        <w:sz w:val="16"/>
        <w:szCs w:val="16"/>
      </w:rPr>
      <w:t>1318</w:t>
    </w:r>
  </w:p>
  <w:p w14:paraId="45CD9B41">
    <w:pPr>
      <w:pStyle w:val="11"/>
      <w:tabs>
        <w:tab w:val="left" w:pos="812"/>
      </w:tabs>
      <w:ind w:left="-2" w:leftChars="-1"/>
      <w:rPr>
        <w:sz w:val="16"/>
        <w:szCs w:val="16"/>
      </w:rPr>
    </w:pPr>
    <w:r>
      <w:rPr>
        <w:rFonts w:hint="eastAsia"/>
        <w:sz w:val="16"/>
        <w:szCs w:val="16"/>
      </w:rPr>
      <w:t xml:space="preserve">T 86 21 </w:t>
    </w:r>
    <w:r>
      <w:rPr>
        <w:sz w:val="16"/>
        <w:szCs w:val="16"/>
      </w:rPr>
      <w:t>6110</w:t>
    </w:r>
    <w:r>
      <w:rPr>
        <w:rFonts w:hint="eastAsia"/>
        <w:sz w:val="16"/>
        <w:szCs w:val="16"/>
      </w:rPr>
      <w:t xml:space="preserve"> </w:t>
    </w:r>
    <w:r>
      <w:rPr>
        <w:sz w:val="16"/>
        <w:szCs w:val="16"/>
      </w:rPr>
      <w:t>131</w:t>
    </w:r>
    <w:r>
      <w:rPr>
        <w:rFonts w:hint="eastAsia"/>
        <w:sz w:val="16"/>
        <w:szCs w:val="16"/>
      </w:rPr>
      <w:t>9</w:t>
    </w:r>
  </w:p>
  <w:p w14:paraId="2D55D4F9">
    <w:pPr>
      <w:pStyle w:val="11"/>
      <w:tabs>
        <w:tab w:val="left" w:pos="812"/>
      </w:tabs>
      <w:ind w:left="-2" w:leftChars="-1"/>
      <w:rPr>
        <w:sz w:val="16"/>
        <w:szCs w:val="16"/>
      </w:rPr>
    </w:pPr>
    <w:r>
      <w:rPr>
        <w:sz w:val="16"/>
        <w:szCs w:val="16"/>
      </w:rPr>
      <w:t>www.talentwitkey.com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5E7FF">
    <w:pPr>
      <w:pStyle w:val="12"/>
    </w:pPr>
    <w:r>
      <w:rPr>
        <w:lang w:eastAsia="zh-CN"/>
      </w:rPr>
      <w:drawing>
        <wp:inline distT="0" distB="0" distL="0" distR="0">
          <wp:extent cx="2688590" cy="61023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
                  <a:srcRect l="5364" t="16108" b="20004"/>
                  <a:stretch>
                    <a:fillRect/>
                  </a:stretch>
                </pic:blipFill>
                <pic:spPr>
                  <a:xfrm>
                    <a:off x="0" y="0"/>
                    <a:ext cx="2715244" cy="616234"/>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012E7"/>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5</Pages>
  <Words>2379</Words>
  <Characters>2767</Characters>
  <Lines>8</Lines>
  <Paragraphs>2</Paragraphs>
  <TotalTime>33</TotalTime>
  <ScaleCrop>false</ScaleCrop>
  <LinksUpToDate>false</LinksUpToDate>
  <CharactersWithSpaces>2970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满心欢喜</cp:lastModifiedBy>
  <cp:lastPrinted>2008-12-02T06:16:00Z</cp:lastPrinted>
  <dcterms:modified xsi:type="dcterms:W3CDTF">2025-11-05T06:33:13Z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2052-12.1.0.23125</vt:lpwstr>
  </property>
  <property fmtid="{D5CDD505-2E9C-101B-9397-08002B2CF9AE}" pid="4" name="KSOTemplateDocerSaveRecord">
    <vt:lpwstr>eyJoZGlkIjoiYWI2M2Q3M2I2MjdiZGU4MjQ4YTE2MWIyNjcyMjg4OTkiLCJ1c2VySWQiOiI1NzYwMjMxNDgifQ==</vt:lpwstr>
  </property>
</Properties>
</file>