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CC8379">
      <w:pPr>
        <w:spacing w:line="240" w:lineRule="atLeast"/>
        <w:rPr>
          <w:rFonts w:ascii="微软雅黑" w:hAnsi="微软雅黑" w:eastAsia="微软雅黑"/>
          <w:b/>
          <w:sz w:val="28"/>
        </w:rPr>
      </w:pPr>
      <w:r>
        <w:rPr>
          <w:rFonts w:ascii="微软雅黑" w:hAnsi="微软雅黑" w:eastAsia="微软雅黑"/>
          <w:b/>
          <w:sz w:val="28"/>
        </w:rPr>
        <w:t>李</w:t>
      </w:r>
      <w:r>
        <w:rPr>
          <w:rFonts w:hint="eastAsia" w:ascii="微软雅黑" w:hAnsi="微软雅黑" w:eastAsia="微软雅黑"/>
          <w:b/>
          <w:sz w:val="28"/>
          <w:lang w:val="en-US" w:eastAsia="zh-CN"/>
        </w:rPr>
        <w:t>琼</w:t>
      </w:r>
      <w:bookmarkStart w:id="0" w:name="_GoBack"/>
      <w:bookmarkEnd w:id="0"/>
      <w:r>
        <w:rPr>
          <w:rFonts w:ascii="微软雅黑" w:hAnsi="微软雅黑" w:eastAsia="微软雅黑"/>
          <w:b/>
          <w:sz w:val="28"/>
        </w:rPr>
        <w:t xml:space="preserve"> </w:t>
      </w:r>
    </w:p>
    <w:tbl>
      <w:tblPr>
        <w:tblStyle w:val="3"/>
        <w:tblW w:w="10411" w:type="dxa"/>
        <w:tblInd w:w="14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81"/>
        <w:gridCol w:w="726"/>
        <w:gridCol w:w="4502"/>
        <w:gridCol w:w="102"/>
      </w:tblGrid>
      <w:tr w14:paraId="4F8CF5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02" w:type="dxa"/>
        </w:trPr>
        <w:tc>
          <w:tcPr>
            <w:tcW w:w="580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2DC7700"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32岁 · 硕士 · 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项目运营管理|销售管理|信用风险管理</w:t>
            </w:r>
          </w:p>
        </w:tc>
        <w:tc>
          <w:tcPr>
            <w:tcW w:w="45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ECDFDC3"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7年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工作经验</w:t>
            </w:r>
          </w:p>
        </w:tc>
      </w:tr>
      <w:tr w14:paraId="15D2B5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02" w:type="dxa"/>
          <w:trHeight w:val="298" w:hRule="atLeast"/>
        </w:trPr>
        <w:tc>
          <w:tcPr>
            <w:tcW w:w="580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DB73E5B"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联系方式：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18811469503  </w:t>
            </w:r>
          </w:p>
        </w:tc>
        <w:tc>
          <w:tcPr>
            <w:tcW w:w="45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9E01D59"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fldChar w:fldCharType="begin"/>
            </w:r>
            <w:r>
              <w:instrText xml:space="preserve"> HYPERLINK "mailto:liqiong12321@126.com" </w:instrText>
            </w:r>
            <w:r>
              <w:fldChar w:fldCharType="separate"/>
            </w:r>
            <w:r>
              <w:rPr>
                <w:rStyle w:val="5"/>
                <w:rFonts w:ascii="微软雅黑" w:hAnsi="微软雅黑" w:eastAsia="微软雅黑"/>
                <w:sz w:val="18"/>
                <w:szCs w:val="18"/>
              </w:rPr>
              <w:t>liqiong12321@126.com</w:t>
            </w:r>
            <w:r>
              <w:rPr>
                <w:rStyle w:val="5"/>
                <w:rFonts w:ascii="微软雅黑" w:hAnsi="微软雅黑" w:eastAsia="微软雅黑"/>
                <w:sz w:val="18"/>
                <w:szCs w:val="18"/>
              </w:rPr>
              <w:fldChar w:fldCharType="end"/>
            </w:r>
          </w:p>
        </w:tc>
      </w:tr>
      <w:tr w14:paraId="619D91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02" w:type="dxa"/>
        </w:trPr>
        <w:tc>
          <w:tcPr>
            <w:tcW w:w="10309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 w:themeFill="background1"/>
          </w:tcPr>
          <w:p w14:paraId="4F8CA4DD">
            <w:pPr>
              <w:pStyle w:val="6"/>
              <w:numPr>
                <w:ilvl w:val="0"/>
                <w:numId w:val="1"/>
              </w:numPr>
              <w:ind w:firstLineChars="0"/>
              <w:rPr>
                <w:rFonts w:ascii="微软雅黑" w:hAnsi="微软雅黑" w:eastAsia="微软雅黑"/>
                <w:b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b/>
                <w:sz w:val="20"/>
                <w:szCs w:val="18"/>
              </w:rPr>
              <w:t>优势亮点</w:t>
            </w:r>
          </w:p>
        </w:tc>
      </w:tr>
      <w:tr w14:paraId="28B3EF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02" w:type="dxa"/>
        </w:trPr>
        <w:tc>
          <w:tcPr>
            <w:tcW w:w="10309" w:type="dxa"/>
            <w:gridSpan w:val="3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4EA2FB9">
            <w:pPr>
              <w:spacing w:line="276" w:lineRule="auto"/>
              <w:ind w:left="210" w:leftChars="100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1. 世界500强互联网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公司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6年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+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销售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（运营）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管理经验，熟悉项目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管理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，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海外市场销售等业务领域</w:t>
            </w:r>
          </w:p>
          <w:p w14:paraId="5735CDE8">
            <w:pPr>
              <w:spacing w:line="276" w:lineRule="auto"/>
              <w:ind w:left="210" w:leftChars="100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2. 具备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业务运营管理、财务/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财经、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信用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风险管理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等综合性专业素质</w:t>
            </w:r>
          </w:p>
          <w:p w14:paraId="4629274E">
            <w:pPr>
              <w:spacing w:line="276" w:lineRule="auto"/>
              <w:ind w:left="210" w:leftChars="100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3.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 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2年海外留学背景（主修金融/经济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）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，中英双语流利</w:t>
            </w:r>
          </w:p>
          <w:p w14:paraId="33D5B600">
            <w:pPr>
              <w:spacing w:line="276" w:lineRule="auto"/>
              <w:ind w:left="210" w:leftChars="100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4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.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 4年团队管理经验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，具备较强的跨团队协作、沟通和快速解决问题的问题能力</w:t>
            </w:r>
          </w:p>
        </w:tc>
      </w:tr>
      <w:tr w14:paraId="63435F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02" w:type="dxa"/>
          <w:trHeight w:val="408" w:hRule="atLeast"/>
        </w:trPr>
        <w:tc>
          <w:tcPr>
            <w:tcW w:w="10309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19FB9301">
            <w:pPr>
              <w:pStyle w:val="6"/>
              <w:numPr>
                <w:ilvl w:val="0"/>
                <w:numId w:val="2"/>
              </w:numPr>
              <w:spacing w:line="240" w:lineRule="atLeast"/>
              <w:ind w:firstLineChars="0"/>
              <w:rPr>
                <w:rFonts w:ascii="微软雅黑" w:hAnsi="微软雅黑" w:eastAsia="微软雅黑"/>
                <w:b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b/>
                <w:sz w:val="20"/>
                <w:szCs w:val="18"/>
              </w:rPr>
              <w:t>工作经历</w:t>
            </w:r>
          </w:p>
        </w:tc>
      </w:tr>
      <w:tr w14:paraId="252B8B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02" w:type="dxa"/>
          <w:trHeight w:val="346" w:hRule="atLeast"/>
        </w:trPr>
        <w:tc>
          <w:tcPr>
            <w:tcW w:w="5807" w:type="dxa"/>
            <w:gridSpan w:val="2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2ABB947F">
            <w:pPr>
              <w:ind w:left="107" w:leftChars="51"/>
              <w:rPr>
                <w:rFonts w:ascii="微软雅黑" w:hAnsi="微软雅黑" w:eastAsia="微软雅黑"/>
                <w:sz w:val="20"/>
                <w:szCs w:val="20"/>
              </w:rPr>
            </w:pPr>
            <w:r>
              <w:rPr>
                <w:rFonts w:ascii="微软雅黑" w:hAnsi="微软雅黑" w:eastAsia="微软雅黑"/>
                <w:b/>
                <w:sz w:val="20"/>
                <w:szCs w:val="20"/>
              </w:rPr>
              <w:t>百度</w:t>
            </w:r>
            <w:r>
              <w:rPr>
                <w:rFonts w:hint="eastAsia" w:ascii="微软雅黑" w:hAnsi="微软雅黑" w:eastAsia="微软雅黑"/>
                <w:b/>
                <w:sz w:val="20"/>
                <w:szCs w:val="20"/>
              </w:rPr>
              <w:t>（北京） |</w:t>
            </w:r>
            <w:r>
              <w:rPr>
                <w:rFonts w:ascii="微软雅黑" w:hAnsi="微软雅黑" w:eastAsia="微软雅黑"/>
                <w:b/>
                <w:sz w:val="20"/>
                <w:szCs w:val="20"/>
              </w:rPr>
              <w:t xml:space="preserve"> </w:t>
            </w:r>
            <w:r>
              <w:rPr>
                <w:rFonts w:hint="eastAsia" w:ascii="微软雅黑" w:hAnsi="微软雅黑" w:eastAsia="微软雅黑"/>
                <w:b/>
                <w:sz w:val="20"/>
                <w:szCs w:val="20"/>
                <w:u w:val="single"/>
              </w:rPr>
              <w:t>资深</w:t>
            </w:r>
            <w:r>
              <w:rPr>
                <w:rFonts w:ascii="微软雅黑" w:hAnsi="微软雅黑" w:eastAsia="微软雅黑"/>
                <w:b/>
                <w:sz w:val="20"/>
                <w:szCs w:val="20"/>
                <w:u w:val="single"/>
              </w:rPr>
              <w:t>项目</w:t>
            </w:r>
            <w:r>
              <w:rPr>
                <w:rFonts w:hint="eastAsia" w:ascii="微软雅黑" w:hAnsi="微软雅黑" w:eastAsia="微软雅黑"/>
                <w:b/>
                <w:sz w:val="20"/>
                <w:szCs w:val="20"/>
                <w:u w:val="single"/>
              </w:rPr>
              <w:t>运营</w:t>
            </w:r>
            <w:r>
              <w:rPr>
                <w:rFonts w:ascii="微软雅黑" w:hAnsi="微软雅黑" w:eastAsia="微软雅黑"/>
                <w:b/>
                <w:sz w:val="20"/>
                <w:szCs w:val="20"/>
                <w:u w:val="single"/>
              </w:rPr>
              <w:t>管理</w:t>
            </w:r>
          </w:p>
        </w:tc>
        <w:tc>
          <w:tcPr>
            <w:tcW w:w="4502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793C9BA2">
            <w:pPr>
              <w:jc w:val="right"/>
              <w:rPr>
                <w:rFonts w:ascii="微软雅黑" w:hAnsi="微软雅黑" w:eastAsia="微软雅黑"/>
                <w:b/>
                <w:sz w:val="20"/>
                <w:szCs w:val="20"/>
              </w:rPr>
            </w:pPr>
            <w:r>
              <w:rPr>
                <w:rFonts w:ascii="微软雅黑" w:hAnsi="微软雅黑" w:eastAsia="微软雅黑"/>
                <w:b/>
                <w:sz w:val="20"/>
                <w:szCs w:val="20"/>
              </w:rPr>
              <w:t>2023</w:t>
            </w:r>
            <w:r>
              <w:rPr>
                <w:rFonts w:hint="eastAsia" w:ascii="微软雅黑" w:hAnsi="微软雅黑" w:eastAsia="微软雅黑"/>
                <w:b/>
                <w:sz w:val="20"/>
                <w:szCs w:val="20"/>
              </w:rPr>
              <w:t>年</w:t>
            </w:r>
            <w:r>
              <w:rPr>
                <w:rFonts w:ascii="微软雅黑" w:hAnsi="微软雅黑" w:eastAsia="微软雅黑"/>
                <w:b/>
                <w:sz w:val="20"/>
                <w:szCs w:val="20"/>
              </w:rPr>
              <w:t>12</w:t>
            </w:r>
            <w:r>
              <w:rPr>
                <w:rFonts w:hint="eastAsia" w:ascii="微软雅黑" w:hAnsi="微软雅黑" w:eastAsia="微软雅黑"/>
                <w:b/>
                <w:sz w:val="20"/>
                <w:szCs w:val="20"/>
              </w:rPr>
              <w:t>月</w:t>
            </w:r>
            <w:r>
              <w:rPr>
                <w:rFonts w:ascii="微软雅黑" w:hAnsi="微软雅黑" w:eastAsia="微软雅黑"/>
                <w:b/>
                <w:sz w:val="20"/>
                <w:szCs w:val="20"/>
              </w:rPr>
              <w:t>至今</w:t>
            </w:r>
          </w:p>
        </w:tc>
      </w:tr>
      <w:tr w14:paraId="634CC8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02" w:type="dxa"/>
          <w:trHeight w:val="2275" w:hRule="atLeast"/>
        </w:trPr>
        <w:tc>
          <w:tcPr>
            <w:tcW w:w="1030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28D5B41">
            <w:pPr>
              <w:widowControl/>
              <w:shd w:val="clear" w:color="auto" w:fill="FFFFFF"/>
              <w:spacing w:line="270" w:lineRule="atLeast"/>
              <w:jc w:val="lef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【项目运营管理】支撑区域业务项目高效运营，通过过程管理推动和保障关键路径的执行落地，助力区域业务战略目标的达成；</w:t>
            </w:r>
          </w:p>
          <w:p w14:paraId="0AEFCC6D">
            <w:pPr>
              <w:pStyle w:val="6"/>
              <w:widowControl/>
              <w:numPr>
                <w:ilvl w:val="0"/>
                <w:numId w:val="3"/>
              </w:numPr>
              <w:shd w:val="clear" w:color="auto" w:fill="FFFFFF"/>
              <w:spacing w:line="270" w:lineRule="atLeast"/>
              <w:ind w:firstLineChars="0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基于项目运作流程梳理项目倒排计划，并BY周追踪跟踪项目推进进度，前置监控并预警项目风险事项，为区域属地负责人做出项目风险预测判断提供支撑；</w:t>
            </w:r>
          </w:p>
          <w:p w14:paraId="1931595D">
            <w:pPr>
              <w:pStyle w:val="6"/>
              <w:widowControl/>
              <w:numPr>
                <w:ilvl w:val="0"/>
                <w:numId w:val="3"/>
              </w:numPr>
              <w:shd w:val="clear" w:color="auto" w:fill="FFFFFF"/>
              <w:spacing w:line="270" w:lineRule="atLeast"/>
              <w:ind w:firstLineChars="0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负责售前-售中-售后全链路流程管理，在业务实际运营过程中识别项目风险卡点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，积极协同组织产研、交付、中台、CCM等团队推进问题的解决，</w:t>
            </w:r>
            <w:r>
              <w:rPr>
                <w:rFonts w:hint="eastAsia" w:ascii="微软雅黑" w:hAnsi="微软雅黑" w:eastAsia="微软雅黑"/>
                <w:color w:val="282C33"/>
                <w:sz w:val="18"/>
                <w:szCs w:val="18"/>
                <w:shd w:val="clear" w:color="auto" w:fill="FAFBFC"/>
              </w:rPr>
              <w:t>助力业务达成计收、新签和回款的目标</w:t>
            </w:r>
          </w:p>
          <w:p w14:paraId="5685E593">
            <w:pPr>
              <w:widowControl/>
              <w:shd w:val="clear" w:color="auto" w:fill="FFFFFF"/>
              <w:spacing w:line="270" w:lineRule="atLeast"/>
              <w:jc w:val="lef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【精细化运营管理】组织和参与重点专项，提升专项管理能力；聚焦团队回款/欠款管理、商机管理、客户管理等，建立有效的运营管理体系，助力区域业务实现可持续发展</w:t>
            </w:r>
          </w:p>
          <w:p w14:paraId="21218AAC">
            <w:pPr>
              <w:pStyle w:val="6"/>
              <w:widowControl/>
              <w:numPr>
                <w:ilvl w:val="0"/>
                <w:numId w:val="3"/>
              </w:numPr>
              <w:shd w:val="clear" w:color="auto" w:fill="FFFFFF"/>
              <w:spacing w:line="270" w:lineRule="atLeast"/>
              <w:ind w:firstLineChars="0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从公司战略和属地化管理目标层面，实现区域一线与公司职能有效对齐，并负责公司政策和管理规则在区域的拆解落地；</w:t>
            </w:r>
          </w:p>
          <w:p w14:paraId="1AA11DF9">
            <w:pPr>
              <w:pStyle w:val="6"/>
              <w:widowControl/>
              <w:numPr>
                <w:ilvl w:val="0"/>
                <w:numId w:val="3"/>
              </w:numPr>
              <w:shd w:val="clear" w:color="auto" w:fill="FFFFFF"/>
              <w:spacing w:line="270" w:lineRule="atLeast"/>
              <w:ind w:firstLineChars="0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从目标客户的圈定再到潜在商机的挖掘，从全链路过程管理助力区域业务提升签约和计收目标的转化效率；</w:t>
            </w:r>
          </w:p>
          <w:p w14:paraId="6731245C">
            <w:pPr>
              <w:pStyle w:val="6"/>
              <w:widowControl/>
              <w:numPr>
                <w:ilvl w:val="0"/>
                <w:numId w:val="3"/>
              </w:numPr>
              <w:shd w:val="clear" w:color="auto" w:fill="FFFFFF"/>
              <w:spacing w:line="270" w:lineRule="atLeast"/>
              <w:ind w:firstLineChars="0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辅助区域属地负责人实现OP高效运营，协同欠款组、法务等部门重点推动加速历史欠款项目和坏账计提项目的回款，助力实现OP经营目标</w:t>
            </w:r>
          </w:p>
        </w:tc>
      </w:tr>
      <w:tr w14:paraId="560996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02" w:type="dxa"/>
        </w:trPr>
        <w:tc>
          <w:tcPr>
            <w:tcW w:w="58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3AEB987">
            <w:pPr>
              <w:spacing w:line="160" w:lineRule="atLeast"/>
              <w:ind w:left="107" w:leftChars="51"/>
              <w:rPr>
                <w:rFonts w:ascii="微软雅黑" w:hAnsi="微软雅黑" w:eastAsia="微软雅黑"/>
                <w:b/>
                <w:sz w:val="20"/>
                <w:szCs w:val="20"/>
              </w:rPr>
            </w:pPr>
            <w:r>
              <w:rPr>
                <w:rFonts w:ascii="微软雅黑" w:hAnsi="微软雅黑" w:eastAsia="微软雅黑"/>
                <w:b/>
                <w:sz w:val="20"/>
                <w:szCs w:val="20"/>
              </w:rPr>
              <w:t>小米科技</w:t>
            </w:r>
            <w:r>
              <w:rPr>
                <w:rFonts w:hint="eastAsia" w:ascii="微软雅黑" w:hAnsi="微软雅黑" w:eastAsia="微软雅黑"/>
                <w:b/>
                <w:sz w:val="20"/>
                <w:szCs w:val="20"/>
              </w:rPr>
              <w:t>（北京）|海外</w:t>
            </w:r>
            <w:r>
              <w:rPr>
                <w:rFonts w:ascii="微软雅黑" w:hAnsi="微软雅黑" w:eastAsia="微软雅黑"/>
                <w:b/>
                <w:sz w:val="20"/>
                <w:szCs w:val="20"/>
              </w:rPr>
              <w:t>业务财经/高级运营经理</w:t>
            </w:r>
          </w:p>
        </w:tc>
        <w:tc>
          <w:tcPr>
            <w:tcW w:w="4502" w:type="dxa"/>
            <w:tcBorders>
              <w:top w:val="nil"/>
              <w:left w:val="nil"/>
              <w:bottom w:val="nil"/>
              <w:right w:val="nil"/>
            </w:tcBorders>
          </w:tcPr>
          <w:p w14:paraId="3110368D">
            <w:pPr>
              <w:ind w:left="107" w:leftChars="51"/>
              <w:jc w:val="right"/>
              <w:rPr>
                <w:rFonts w:ascii="微软雅黑" w:hAnsi="微软雅黑" w:eastAsia="微软雅黑"/>
                <w:b/>
                <w:sz w:val="20"/>
                <w:szCs w:val="20"/>
              </w:rPr>
            </w:pPr>
            <w:r>
              <w:rPr>
                <w:rFonts w:ascii="微软雅黑" w:hAnsi="微软雅黑" w:eastAsia="微软雅黑"/>
                <w:b/>
                <w:sz w:val="20"/>
                <w:szCs w:val="20"/>
              </w:rPr>
              <w:t>2018/11-2023/12</w:t>
            </w:r>
          </w:p>
        </w:tc>
      </w:tr>
      <w:tr w14:paraId="21F237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1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8D1B187"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【销售管理】</w:t>
            </w:r>
          </w:p>
          <w:p w14:paraId="2F9468B4">
            <w:pPr>
              <w:pStyle w:val="6"/>
              <w:numPr>
                <w:ilvl w:val="0"/>
                <w:numId w:val="4"/>
              </w:numPr>
              <w:ind w:firstLineChars="0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目标管理：协助业务管理层制定阶段性销售目标，并配合海外区域/国家负责人完成目 标的拆解和管理政策的适配落地； </w:t>
            </w:r>
          </w:p>
          <w:p w14:paraId="6B818101">
            <w:pPr>
              <w:pStyle w:val="6"/>
              <w:numPr>
                <w:ilvl w:val="0"/>
                <w:numId w:val="4"/>
              </w:numPr>
              <w:ind w:firstLineChars="0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过程风险管理：从业务层面，与财、资、税、法等职能部门建立有效高效沟通和管理 机制，对交易过程风险实施有效监控和管理，保障业务安全顺利运营； </w:t>
            </w:r>
          </w:p>
          <w:p w14:paraId="623EE55E">
            <w:pPr>
              <w:pStyle w:val="6"/>
              <w:numPr>
                <w:ilvl w:val="0"/>
                <w:numId w:val="4"/>
              </w:numPr>
              <w:ind w:firstLineChars="0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牵头组织财经运营职能模块系统功能设计方案，搭建系统化管理流程</w:t>
            </w:r>
          </w:p>
        </w:tc>
      </w:tr>
      <w:tr w14:paraId="1B8AB3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1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446B4C8"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【业务信用风险管理】</w:t>
            </w:r>
          </w:p>
          <w:p w14:paraId="079253B9">
            <w:pPr>
              <w:pStyle w:val="6"/>
              <w:numPr>
                <w:ilvl w:val="0"/>
                <w:numId w:val="4"/>
              </w:numPr>
              <w:ind w:firstLineChars="0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负责海外大区 200+ ToB 客户资金需求管理，制定配套赊销方案；配合执行公司业财融合策略，从业务角度配合财务、资金部门制定信用政策和财经管理政策，助力业务目标达成 </w:t>
            </w:r>
          </w:p>
          <w:p w14:paraId="13A28560">
            <w:pPr>
              <w:pStyle w:val="6"/>
              <w:numPr>
                <w:ilvl w:val="0"/>
                <w:numId w:val="4"/>
              </w:numPr>
              <w:ind w:firstLineChars="0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在售前-售中-售后全链路把控信用风险，评估审核客户信用资质、动态调整资金支持 方案、编制应收数据报表，与客户往来款项对账，监控、预警和处置应收回款风险； </w:t>
            </w:r>
          </w:p>
          <w:p w14:paraId="5CE36AF2">
            <w:pPr>
              <w:pStyle w:val="6"/>
              <w:numPr>
                <w:ilvl w:val="0"/>
                <w:numId w:val="4"/>
              </w:numPr>
              <w:ind w:firstLineChars="0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负责财经相关合同条款审核，适配调整资金使用结构，规避财务合规风险等</w:t>
            </w:r>
          </w:p>
        </w:tc>
      </w:tr>
      <w:tr w14:paraId="3AF946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1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307FF4A"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【渠道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资金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管理】 </w:t>
            </w:r>
          </w:p>
          <w:p w14:paraId="54D99A17">
            <w:pPr>
              <w:pStyle w:val="6"/>
              <w:ind w:left="397" w:firstLine="0" w:firstLineChars="0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基于海外区域和国家差异化的渠道渠长，负责搭建渠道资金ROI测算逻辑，制定输出渠道资源投入政策和规则，持续监控授信资源使用效率，定期调整资源配置结构，助力提升渠道质量</w:t>
            </w:r>
          </w:p>
        </w:tc>
      </w:tr>
      <w:tr w14:paraId="38AE10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02" w:type="dxa"/>
        </w:trPr>
        <w:tc>
          <w:tcPr>
            <w:tcW w:w="5081" w:type="dxa"/>
          </w:tcPr>
          <w:p w14:paraId="46199271">
            <w:pPr>
              <w:ind w:left="107" w:leftChars="51"/>
              <w:rPr>
                <w:rFonts w:ascii="微软雅黑" w:hAnsi="微软雅黑" w:eastAsia="微软雅黑"/>
                <w:sz w:val="20"/>
                <w:szCs w:val="20"/>
              </w:rPr>
            </w:pPr>
            <w:r>
              <w:rPr>
                <w:rFonts w:ascii="微软雅黑" w:hAnsi="微软雅黑" w:eastAsia="微软雅黑"/>
                <w:b/>
                <w:sz w:val="20"/>
                <w:szCs w:val="20"/>
              </w:rPr>
              <w:t>大公国际信用评级集团</w:t>
            </w:r>
            <w:r>
              <w:rPr>
                <w:rFonts w:hint="eastAsia" w:ascii="微软雅黑" w:hAnsi="微软雅黑" w:eastAsia="微软雅黑"/>
                <w:b/>
                <w:sz w:val="20"/>
                <w:szCs w:val="20"/>
              </w:rPr>
              <w:t>（</w:t>
            </w:r>
            <w:r>
              <w:rPr>
                <w:rFonts w:ascii="微软雅黑" w:hAnsi="微软雅黑" w:eastAsia="微软雅黑"/>
                <w:b/>
                <w:sz w:val="20"/>
                <w:szCs w:val="20"/>
              </w:rPr>
              <w:t>北京</w:t>
            </w:r>
            <w:r>
              <w:rPr>
                <w:rFonts w:hint="eastAsia" w:ascii="微软雅黑" w:hAnsi="微软雅黑" w:eastAsia="微软雅黑"/>
                <w:b/>
                <w:sz w:val="20"/>
                <w:szCs w:val="20"/>
              </w:rPr>
              <w:t>）|</w:t>
            </w:r>
            <w:r>
              <w:rPr>
                <w:rFonts w:ascii="微软雅黑" w:hAnsi="微软雅黑" w:eastAsia="微软雅黑"/>
                <w:b/>
                <w:sz w:val="20"/>
                <w:szCs w:val="18"/>
                <w:u w:val="single"/>
              </w:rPr>
              <w:t>企业信用风险分析</w:t>
            </w:r>
            <w:r>
              <w:rPr>
                <w:rFonts w:hint="eastAsia" w:ascii="微软雅黑" w:hAnsi="微软雅黑" w:eastAsia="微软雅黑"/>
                <w:b/>
                <w:sz w:val="20"/>
                <w:szCs w:val="18"/>
                <w:u w:val="single"/>
              </w:rPr>
              <w:t>员</w:t>
            </w:r>
          </w:p>
        </w:tc>
        <w:tc>
          <w:tcPr>
            <w:tcW w:w="5228" w:type="dxa"/>
            <w:gridSpan w:val="2"/>
          </w:tcPr>
          <w:p w14:paraId="5E13CD0B">
            <w:pPr>
              <w:ind w:left="107" w:leftChars="51"/>
              <w:jc w:val="right"/>
              <w:rPr>
                <w:rFonts w:ascii="微软雅黑" w:hAnsi="微软雅黑" w:eastAsia="微软雅黑"/>
                <w:b/>
                <w:sz w:val="20"/>
                <w:szCs w:val="20"/>
              </w:rPr>
            </w:pPr>
            <w:r>
              <w:rPr>
                <w:rFonts w:ascii="微软雅黑" w:hAnsi="微软雅黑" w:eastAsia="微软雅黑"/>
                <w:b/>
                <w:sz w:val="20"/>
                <w:szCs w:val="20"/>
              </w:rPr>
              <w:t>2017/06-2018/10</w:t>
            </w:r>
          </w:p>
        </w:tc>
      </w:tr>
      <w:tr w14:paraId="30653F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02" w:type="dxa"/>
        </w:trPr>
        <w:tc>
          <w:tcPr>
            <w:tcW w:w="10309" w:type="dxa"/>
            <w:gridSpan w:val="3"/>
          </w:tcPr>
          <w:p w14:paraId="08BF326C">
            <w:pPr>
              <w:ind w:left="210" w:leftChars="100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【项目管理】负责国内To B企业信用管理咨询项目的建设与实施，完成客户企业资信评级，为客户定制信用管理咨询方案；并通过开发上线配套企业信用管理系统，拓展新的企业服务产品。</w:t>
            </w:r>
          </w:p>
          <w:p w14:paraId="29FE0A3D">
            <w:pPr>
              <w:ind w:left="210" w:leftChars="100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【专题研究】负责债权、企业信用管理相关专题研究，负责企业信用管理项目衍生问题研究，配合销售挖掘潜在客户信用管理需求，提供企业信用管理项目建设方案</w:t>
            </w:r>
          </w:p>
          <w:p w14:paraId="11DB980F">
            <w:pPr>
              <w:ind w:left="210" w:leftChars="100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</w:tr>
    </w:tbl>
    <w:p w14:paraId="373D5477">
      <w:pPr>
        <w:pStyle w:val="6"/>
        <w:numPr>
          <w:ilvl w:val="0"/>
          <w:numId w:val="2"/>
        </w:numPr>
        <w:pBdr>
          <w:bottom w:val="single" w:color="auto" w:sz="4" w:space="1"/>
        </w:pBdr>
        <w:spacing w:line="240" w:lineRule="atLeast"/>
        <w:ind w:firstLineChars="0"/>
        <w:rPr>
          <w:rFonts w:ascii="微软雅黑" w:hAnsi="微软雅黑" w:eastAsia="微软雅黑"/>
          <w:b/>
          <w:sz w:val="20"/>
          <w:szCs w:val="18"/>
        </w:rPr>
      </w:pPr>
      <w:r>
        <w:rPr>
          <w:rFonts w:hint="eastAsia" w:ascii="微软雅黑" w:hAnsi="微软雅黑" w:eastAsia="微软雅黑"/>
          <w:b/>
          <w:sz w:val="20"/>
          <w:szCs w:val="18"/>
        </w:rPr>
        <w:t>教育经历</w:t>
      </w:r>
    </w:p>
    <w:tbl>
      <w:tblPr>
        <w:tblStyle w:val="3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06"/>
        <w:gridCol w:w="5954"/>
      </w:tblGrid>
      <w:tr w14:paraId="74D760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06" w:type="dxa"/>
            <w:vAlign w:val="center"/>
          </w:tcPr>
          <w:p w14:paraId="46DE261B">
            <w:pPr>
              <w:jc w:val="left"/>
              <w:rPr>
                <w:rFonts w:ascii="微软雅黑" w:hAnsi="微软雅黑" w:eastAsia="微软雅黑"/>
                <w:b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b/>
                <w:sz w:val="18"/>
                <w:szCs w:val="18"/>
              </w:rPr>
              <w:t>香港浸会大学（硕士）</w:t>
            </w:r>
          </w:p>
        </w:tc>
        <w:tc>
          <w:tcPr>
            <w:tcW w:w="5954" w:type="dxa"/>
            <w:vAlign w:val="center"/>
          </w:tcPr>
          <w:p w14:paraId="5368C195">
            <w:pPr>
              <w:jc w:val="right"/>
              <w:rPr>
                <w:rFonts w:ascii="微软雅黑" w:hAnsi="微软雅黑" w:eastAsia="微软雅黑"/>
                <w:b/>
                <w:sz w:val="18"/>
                <w:szCs w:val="18"/>
              </w:rPr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2015/09-2016/11</w:t>
            </w:r>
          </w:p>
        </w:tc>
      </w:tr>
      <w:tr w14:paraId="01B61D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06" w:type="dxa"/>
            <w:vAlign w:val="center"/>
          </w:tcPr>
          <w:p w14:paraId="05AE17E1"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应用经济学</w:t>
            </w:r>
          </w:p>
        </w:tc>
        <w:tc>
          <w:tcPr>
            <w:tcW w:w="5954" w:type="dxa"/>
            <w:vAlign w:val="center"/>
          </w:tcPr>
          <w:p w14:paraId="02D6B3A3">
            <w:pPr>
              <w:rPr>
                <w:rFonts w:ascii="微软雅黑" w:hAnsi="微软雅黑" w:eastAsia="微软雅黑"/>
                <w:sz w:val="18"/>
                <w:szCs w:val="18"/>
              </w:rPr>
            </w:pPr>
          </w:p>
        </w:tc>
      </w:tr>
      <w:tr w14:paraId="7D6DE9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06" w:type="dxa"/>
            <w:vAlign w:val="center"/>
          </w:tcPr>
          <w:p w14:paraId="429F342D">
            <w:pPr>
              <w:spacing w:before="240"/>
              <w:rPr>
                <w:rFonts w:ascii="微软雅黑" w:hAnsi="微软雅黑" w:eastAsia="微软雅黑"/>
                <w:b/>
                <w:sz w:val="18"/>
                <w:szCs w:val="18"/>
              </w:rPr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北京师范大学珠海分校</w:t>
            </w:r>
            <w:r>
              <w:rPr>
                <w:rFonts w:hint="eastAsia" w:ascii="微软雅黑" w:hAnsi="微软雅黑" w:eastAsia="微软雅黑"/>
                <w:b/>
                <w:sz w:val="18"/>
                <w:szCs w:val="18"/>
              </w:rPr>
              <w:t>（</w:t>
            </w: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本科</w:t>
            </w:r>
            <w:r>
              <w:rPr>
                <w:rFonts w:hint="eastAsia" w:ascii="微软雅黑" w:hAnsi="微软雅黑" w:eastAsia="微软雅黑"/>
                <w:b/>
                <w:sz w:val="18"/>
                <w:szCs w:val="18"/>
              </w:rPr>
              <w:t>）</w:t>
            </w:r>
          </w:p>
        </w:tc>
        <w:tc>
          <w:tcPr>
            <w:tcW w:w="5954" w:type="dxa"/>
            <w:vAlign w:val="center"/>
          </w:tcPr>
          <w:p w14:paraId="70A17762">
            <w:pPr>
              <w:spacing w:before="240"/>
              <w:jc w:val="right"/>
              <w:rPr>
                <w:rFonts w:ascii="微软雅黑" w:hAnsi="微软雅黑" w:eastAsia="微软雅黑"/>
                <w:b/>
                <w:sz w:val="18"/>
                <w:szCs w:val="18"/>
              </w:rPr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2010/09-2015/06</w:t>
            </w:r>
          </w:p>
        </w:tc>
      </w:tr>
      <w:tr w14:paraId="19E6AD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06" w:type="dxa"/>
            <w:vAlign w:val="center"/>
          </w:tcPr>
          <w:p w14:paraId="7C9F14F6"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金融学 </w:t>
            </w:r>
          </w:p>
        </w:tc>
        <w:tc>
          <w:tcPr>
            <w:tcW w:w="5954" w:type="dxa"/>
            <w:vAlign w:val="center"/>
          </w:tcPr>
          <w:p w14:paraId="7DF422C4">
            <w:pPr>
              <w:jc w:val="right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</w:tr>
      <w:tr w14:paraId="3505A4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06" w:type="dxa"/>
            <w:vAlign w:val="center"/>
          </w:tcPr>
          <w:p w14:paraId="41A330B4">
            <w:pPr>
              <w:spacing w:before="240"/>
              <w:rPr>
                <w:rFonts w:ascii="微软雅黑" w:hAnsi="微软雅黑" w:eastAsia="微软雅黑"/>
                <w:b/>
                <w:sz w:val="18"/>
                <w:szCs w:val="18"/>
              </w:rPr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 xml:space="preserve">De Montfort Univeristy (UK) </w:t>
            </w:r>
            <w:r>
              <w:rPr>
                <w:rFonts w:hint="eastAsia" w:ascii="微软雅黑" w:hAnsi="微软雅黑" w:eastAsia="微软雅黑"/>
                <w:b/>
                <w:sz w:val="18"/>
                <w:szCs w:val="18"/>
              </w:rPr>
              <w:t>（本科）</w:t>
            </w:r>
          </w:p>
        </w:tc>
        <w:tc>
          <w:tcPr>
            <w:tcW w:w="5954" w:type="dxa"/>
            <w:vAlign w:val="center"/>
          </w:tcPr>
          <w:p w14:paraId="2C904075">
            <w:pPr>
              <w:spacing w:before="240"/>
              <w:jc w:val="right"/>
              <w:rPr>
                <w:rFonts w:ascii="微软雅黑" w:hAnsi="微软雅黑" w:eastAsia="微软雅黑"/>
                <w:b/>
                <w:sz w:val="18"/>
                <w:szCs w:val="18"/>
              </w:rPr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 xml:space="preserve">2013/09-2014/07 </w:t>
            </w:r>
          </w:p>
        </w:tc>
      </w:tr>
      <w:tr w14:paraId="24C8CE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06" w:type="dxa"/>
            <w:vAlign w:val="center"/>
          </w:tcPr>
          <w:p w14:paraId="3493973F">
            <w:pPr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会计与商业管理</w:t>
            </w:r>
          </w:p>
        </w:tc>
        <w:tc>
          <w:tcPr>
            <w:tcW w:w="5954" w:type="dxa"/>
            <w:vAlign w:val="center"/>
          </w:tcPr>
          <w:p w14:paraId="1D1E0C41">
            <w:pPr>
              <w:rPr>
                <w:rFonts w:ascii="微软雅黑" w:hAnsi="微软雅黑" w:eastAsia="微软雅黑"/>
                <w:sz w:val="18"/>
                <w:szCs w:val="18"/>
              </w:rPr>
            </w:pPr>
          </w:p>
        </w:tc>
      </w:tr>
    </w:tbl>
    <w:p w14:paraId="469BDB16">
      <w:pPr>
        <w:pStyle w:val="6"/>
        <w:numPr>
          <w:ilvl w:val="0"/>
          <w:numId w:val="2"/>
        </w:numPr>
        <w:pBdr>
          <w:bottom w:val="single" w:color="auto" w:sz="4" w:space="1"/>
        </w:pBdr>
        <w:spacing w:line="240" w:lineRule="atLeast"/>
        <w:ind w:firstLineChars="0"/>
        <w:rPr>
          <w:rFonts w:ascii="微软雅黑" w:hAnsi="微软雅黑" w:eastAsia="微软雅黑"/>
          <w:b/>
          <w:sz w:val="20"/>
          <w:szCs w:val="18"/>
        </w:rPr>
      </w:pPr>
      <w:r>
        <w:rPr>
          <w:rFonts w:hint="eastAsia" w:ascii="微软雅黑" w:hAnsi="微软雅黑" w:eastAsia="微软雅黑"/>
          <w:b/>
          <w:sz w:val="20"/>
          <w:szCs w:val="18"/>
        </w:rPr>
        <w:t>附加信息</w:t>
      </w:r>
    </w:p>
    <w:p w14:paraId="6430C34A">
      <w:pPr>
        <w:ind w:left="420" w:leftChars="200"/>
        <w:rPr>
          <w:rFonts w:ascii="微软雅黑" w:hAnsi="微软雅黑" w:eastAsia="微软雅黑"/>
          <w:sz w:val="18"/>
        </w:rPr>
      </w:pPr>
      <w:r>
        <w:rPr>
          <w:rFonts w:ascii="微软雅黑" w:hAnsi="微软雅黑" w:eastAsia="微软雅黑"/>
          <w:sz w:val="18"/>
        </w:rPr>
        <w:t>2011-2012年连续</w:t>
      </w:r>
      <w:r>
        <w:rPr>
          <w:rFonts w:hint="eastAsia" w:ascii="微软雅黑" w:hAnsi="微软雅黑" w:eastAsia="微软雅黑"/>
          <w:sz w:val="18"/>
        </w:rPr>
        <w:t>两年</w:t>
      </w:r>
      <w:r>
        <w:rPr>
          <w:rFonts w:ascii="微软雅黑" w:hAnsi="微软雅黑" w:eastAsia="微软雅黑"/>
          <w:sz w:val="18"/>
        </w:rPr>
        <w:t xml:space="preserve">获得国家励志奖学金 </w:t>
      </w:r>
    </w:p>
    <w:p w14:paraId="3DC0E817">
      <w:pPr>
        <w:ind w:left="420" w:leftChars="200"/>
        <w:rPr>
          <w:rFonts w:ascii="微软雅黑" w:hAnsi="微软雅黑" w:eastAsia="微软雅黑"/>
          <w:sz w:val="18"/>
        </w:rPr>
      </w:pPr>
      <w:r>
        <w:rPr>
          <w:rFonts w:ascii="微软雅黑" w:hAnsi="微软雅黑" w:eastAsia="微软雅黑"/>
          <w:sz w:val="18"/>
        </w:rPr>
        <w:t xml:space="preserve">2013年 获得德蒙特福特大学入学奖学金 </w:t>
      </w:r>
    </w:p>
    <w:p w14:paraId="2C949E03">
      <w:pPr>
        <w:ind w:left="420" w:leftChars="200"/>
        <w:rPr>
          <w:rFonts w:ascii="微软雅黑" w:hAnsi="微软雅黑" w:eastAsia="微软雅黑"/>
          <w:sz w:val="18"/>
        </w:rPr>
      </w:pPr>
      <w:r>
        <w:rPr>
          <w:rFonts w:ascii="微软雅黑" w:hAnsi="微软雅黑" w:eastAsia="微软雅黑"/>
          <w:sz w:val="18"/>
        </w:rPr>
        <w:t>已取得证券从业资格证</w:t>
      </w: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305EC8"/>
    <w:multiLevelType w:val="multilevel"/>
    <w:tmpl w:val="00305EC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07031FB1"/>
    <w:multiLevelType w:val="multilevel"/>
    <w:tmpl w:val="07031FB1"/>
    <w:lvl w:ilvl="0" w:tentative="0">
      <w:start w:val="1"/>
      <w:numFmt w:val="bullet"/>
      <w:lvlText w:val=""/>
      <w:lvlJc w:val="left"/>
      <w:pPr>
        <w:ind w:left="397" w:hanging="284"/>
      </w:pPr>
      <w:rPr>
        <w:rFonts w:hint="default" w:ascii="Wingdings" w:hAnsi="Wingdings"/>
        <w:sz w:val="24"/>
      </w:rPr>
    </w:lvl>
    <w:lvl w:ilvl="1" w:tentative="0">
      <w:start w:val="1"/>
      <w:numFmt w:val="bullet"/>
      <w:lvlText w:val=""/>
      <w:lvlJc w:val="left"/>
      <w:pPr>
        <w:ind w:left="105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7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9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31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73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15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7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90" w:hanging="420"/>
      </w:pPr>
      <w:rPr>
        <w:rFonts w:hint="default" w:ascii="Wingdings" w:hAnsi="Wingdings"/>
      </w:rPr>
    </w:lvl>
  </w:abstractNum>
  <w:abstractNum w:abstractNumId="2">
    <w:nsid w:val="2BBE4377"/>
    <w:multiLevelType w:val="multilevel"/>
    <w:tmpl w:val="2BBE4377"/>
    <w:lvl w:ilvl="0" w:tentative="0">
      <w:start w:val="1"/>
      <w:numFmt w:val="bullet"/>
      <w:lvlText w:val=""/>
      <w:lvlJc w:val="left"/>
      <w:pPr>
        <w:ind w:left="284" w:hanging="227"/>
      </w:pPr>
      <w:rPr>
        <w:rFonts w:hint="default" w:ascii="Wingdings" w:hAnsi="Wingdings"/>
        <w:sz w:val="24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3">
    <w:nsid w:val="46380E0F"/>
    <w:multiLevelType w:val="multilevel"/>
    <w:tmpl w:val="46380E0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200B"/>
    <w:rsid w:val="001A1DE8"/>
    <w:rsid w:val="002A6225"/>
    <w:rsid w:val="0037200B"/>
    <w:rsid w:val="00486A77"/>
    <w:rsid w:val="005C53E7"/>
    <w:rsid w:val="006A3B22"/>
    <w:rsid w:val="006E3541"/>
    <w:rsid w:val="007B080C"/>
    <w:rsid w:val="009B3AB7"/>
    <w:rsid w:val="009E3D1D"/>
    <w:rsid w:val="00B1413A"/>
    <w:rsid w:val="00BF12A7"/>
    <w:rsid w:val="00E11C91"/>
    <w:rsid w:val="00E26C5D"/>
    <w:rsid w:val="00E817BC"/>
    <w:rsid w:val="00F726F8"/>
    <w:rsid w:val="00F8462D"/>
    <w:rsid w:val="14641083"/>
    <w:rsid w:val="61EB5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Hyperlink"/>
    <w:basedOn w:val="4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6">
    <w:name w:val="List Paragraph"/>
    <w:basedOn w:val="1"/>
    <w:qFormat/>
    <w:uiPriority w:val="34"/>
    <w:pPr>
      <w:ind w:firstLine="420" w:firstLineChars="200"/>
    </w:pPr>
  </w:style>
  <w:style w:type="character" w:customStyle="1" w:styleId="7">
    <w:name w:val="Unresolved Mention"/>
    <w:basedOn w:val="4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BAIDU</Company>
  <Pages>2</Pages>
  <Words>1382</Words>
  <Characters>1536</Characters>
  <Lines>11</Lines>
  <Paragraphs>3</Paragraphs>
  <TotalTime>292</TotalTime>
  <ScaleCrop>false</ScaleCrop>
  <LinksUpToDate>false</LinksUpToDate>
  <CharactersWithSpaces>1570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2025-01-20T16:28:00Z</dcterms:created>
  <dc:creator>Li,Qiong(ACG SPM)</dc:creator>
  <cp:lastModifiedBy>Yoyo Blissful</cp:lastModifiedBy>
  <cp:lastPrinted>2024-09-22T11:54:00Z</cp:lastPrinted>
  <dcterms:modified xsi:type="dcterms:W3CDTF">2025-01-22T05:55:25Z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6BF55CBB74CB4F1AA6ABC1BB37875B08_13</vt:lpwstr>
  </property>
  <property fmtid="{D5CDD505-2E9C-101B-9397-08002B2CF9AE}" pid="4" name="KSOTemplateDocerSaveRecord">
    <vt:lpwstr>eyJoZGlkIjoiMjE1YWNiNjFkMDRkMDEyNjI3YmU4MDQ1ZmI4OWU1YzEiLCJ1c2VySWQiOiIzMTgyNzU3NzkifQ==</vt:lpwstr>
  </property>
</Properties>
</file>