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FDBE38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4D772B62">
      <w:pPr>
        <w:spacing w:line="300" w:lineRule="auto"/>
        <w:ind w:firstLine="3935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曹志远</w:t>
      </w:r>
      <w:r>
        <w:rPr>
          <w:b/>
          <w:sz w:val="36"/>
          <w:szCs w:val="36"/>
          <w:lang w:eastAsia="zh-CN"/>
        </w:rPr>
        <w:t>推荐报告</w:t>
      </w:r>
    </w:p>
    <w:p w14:paraId="6FC81B8D">
      <w:pPr>
        <w:spacing w:line="300" w:lineRule="auto"/>
        <w:ind w:firstLine="691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6AD5DEF7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3221CA23">
        <w:tc>
          <w:tcPr>
            <w:tcW w:w="7298" w:type="dxa"/>
          </w:tcPr>
          <w:p w14:paraId="29D7958E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bookmarkStart w:id="0" w:name="_GoBack"/>
            <w:r>
              <w:rPr>
                <w:rFonts w:hint="eastAsia" w:eastAsiaTheme="minorEastAsia"/>
                <w:lang w:eastAsia="zh-CN"/>
              </w:rPr>
              <w:t>曹志远</w:t>
            </w:r>
            <w:bookmarkEnd w:id="0"/>
          </w:p>
        </w:tc>
        <w:tc>
          <w:tcPr>
            <w:tcW w:w="2625" w:type="dxa"/>
            <w:vMerge w:val="restart"/>
          </w:tcPr>
          <w:p w14:paraId="4E912AB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443B8C15">
        <w:trPr>
          <w:trHeight w:val="272" w:hRule="atLeast"/>
        </w:trPr>
        <w:tc>
          <w:tcPr>
            <w:tcW w:w="7298" w:type="dxa"/>
          </w:tcPr>
          <w:p w14:paraId="5554780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eastAsiaTheme="minorEastAsia"/>
                <w:lang w:eastAsia="zh-CN"/>
              </w:rPr>
              <w:t>：</w:t>
            </w:r>
            <w:r>
              <w:rPr>
                <w:rFonts w:hint="eastAsia" w:eastAsiaTheme="minorEastAsia"/>
                <w:lang w:eastAsia="zh-CN"/>
              </w:rPr>
              <w:t>1989</w:t>
            </w:r>
          </w:p>
        </w:tc>
        <w:tc>
          <w:tcPr>
            <w:tcW w:w="2625" w:type="dxa"/>
            <w:vMerge w:val="continue"/>
          </w:tcPr>
          <w:p w14:paraId="248CAFA8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380CFA6">
        <w:trPr>
          <w:trHeight w:val="221" w:hRule="atLeast"/>
        </w:trPr>
        <w:tc>
          <w:tcPr>
            <w:tcW w:w="7298" w:type="dxa"/>
          </w:tcPr>
          <w:p w14:paraId="3B79E97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4EFEE41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09B229A">
        <w:trPr>
          <w:trHeight w:val="90" w:hRule="atLeast"/>
        </w:trPr>
        <w:tc>
          <w:tcPr>
            <w:tcW w:w="7298" w:type="dxa"/>
          </w:tcPr>
          <w:p w14:paraId="1FAADAD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已婚</w:t>
            </w:r>
          </w:p>
        </w:tc>
        <w:tc>
          <w:tcPr>
            <w:tcW w:w="2625" w:type="dxa"/>
            <w:vMerge w:val="continue"/>
          </w:tcPr>
          <w:p w14:paraId="789B15A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5B830D9">
        <w:trPr>
          <w:trHeight w:val="242" w:hRule="atLeast"/>
        </w:trPr>
        <w:tc>
          <w:tcPr>
            <w:tcW w:w="7298" w:type="dxa"/>
          </w:tcPr>
          <w:p w14:paraId="0A8B53E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北京</w:t>
            </w:r>
          </w:p>
        </w:tc>
        <w:tc>
          <w:tcPr>
            <w:tcW w:w="2625" w:type="dxa"/>
            <w:vMerge w:val="continue"/>
          </w:tcPr>
          <w:p w14:paraId="1E1F66D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3FA3474">
        <w:trPr>
          <w:trHeight w:val="333" w:hRule="atLeast"/>
        </w:trPr>
        <w:tc>
          <w:tcPr>
            <w:tcW w:w="7298" w:type="dxa"/>
          </w:tcPr>
          <w:p w14:paraId="7636D54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eastAsia="zh-CN"/>
              </w:rPr>
              <w:t>北京</w:t>
            </w:r>
          </w:p>
        </w:tc>
        <w:tc>
          <w:tcPr>
            <w:tcW w:w="2625" w:type="dxa"/>
            <w:vMerge w:val="continue"/>
          </w:tcPr>
          <w:p w14:paraId="30A062C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C873A6A">
        <w:tc>
          <w:tcPr>
            <w:tcW w:w="7298" w:type="dxa"/>
          </w:tcPr>
          <w:p w14:paraId="00BAF68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eastAsia="zh-CN"/>
              </w:rPr>
              <w:t>18612887958</w:t>
            </w:r>
          </w:p>
        </w:tc>
        <w:tc>
          <w:tcPr>
            <w:tcW w:w="2625" w:type="dxa"/>
            <w:vMerge w:val="continue"/>
          </w:tcPr>
          <w:p w14:paraId="1F91196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2800DB55">
        <w:tc>
          <w:tcPr>
            <w:tcW w:w="7298" w:type="dxa"/>
          </w:tcPr>
          <w:p w14:paraId="0AD8BEE1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864610324@qq.com</w:t>
            </w:r>
          </w:p>
        </w:tc>
        <w:tc>
          <w:tcPr>
            <w:tcW w:w="2625" w:type="dxa"/>
            <w:vMerge w:val="continue"/>
          </w:tcPr>
          <w:p w14:paraId="381F68B6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3EB1981">
      <w:pPr>
        <w:tabs>
          <w:tab w:val="left" w:pos="2010"/>
        </w:tabs>
        <w:spacing w:line="300" w:lineRule="auto"/>
        <w:rPr>
          <w:iCs/>
          <w:szCs w:val="21"/>
        </w:rPr>
      </w:pPr>
    </w:p>
    <w:p w14:paraId="2D3E4A99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49C0962A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7C4DA724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2008.09</w:t>
      </w:r>
      <w:r>
        <w:rPr>
          <w:rFonts w:hint="eastAsia"/>
          <w:b/>
          <w:szCs w:val="21"/>
          <w:lang w:val="en-US" w:eastAsia="zh-CN"/>
        </w:rPr>
        <w:t>-</w:t>
      </w:r>
      <w:r>
        <w:rPr>
          <w:rFonts w:hint="eastAsia"/>
          <w:b/>
          <w:szCs w:val="21"/>
          <w:lang w:val="en-GB" w:eastAsia="zh-CN"/>
        </w:rPr>
        <w:t>2012.07         河南大学         广告</w:t>
      </w:r>
      <w:r>
        <w:rPr>
          <w:rFonts w:hint="eastAsia"/>
          <w:b/>
          <w:szCs w:val="21"/>
          <w:lang w:val="en-US" w:eastAsia="zh-CN"/>
        </w:rPr>
        <w:t>学</w:t>
      </w:r>
      <w:r>
        <w:rPr>
          <w:rFonts w:hint="eastAsia"/>
          <w:b/>
          <w:szCs w:val="21"/>
          <w:lang w:val="en-GB" w:eastAsia="zh-CN"/>
        </w:rPr>
        <w:t xml:space="preserve">        本科</w:t>
      </w:r>
    </w:p>
    <w:p w14:paraId="4A1200C5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2FB4669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409105EC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40k</w:t>
      </w:r>
      <w:r>
        <w:rPr>
          <w:rFonts w:hint="default"/>
          <w:szCs w:val="21"/>
          <w:lang w:val="en-US" w:eastAsia="zh-CN"/>
        </w:rPr>
        <w:t>*12+Bonus 45w</w:t>
      </w:r>
    </w:p>
    <w:p w14:paraId="05E2F30A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期望薪资：</w:t>
      </w:r>
      <w:r>
        <w:rPr>
          <w:rFonts w:hint="eastAsia"/>
          <w:szCs w:val="21"/>
          <w:lang w:val="en-US" w:eastAsia="zh-CN"/>
        </w:rPr>
        <w:t>面议</w:t>
      </w:r>
    </w:p>
    <w:p w14:paraId="6E926C18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0249CE0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6471BF61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2021.10—至今  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丹纳赫-贝克曼库尔特中国</w:t>
      </w:r>
      <w:r>
        <w:rPr>
          <w:rFonts w:hint="eastAsia"/>
          <w:b/>
          <w:lang w:eastAsia="zh-CN"/>
        </w:rPr>
        <w:t xml:space="preserve">     解决方案销售经理</w:t>
      </w:r>
    </w:p>
    <w:p w14:paraId="7AC7C819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D54727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BB779E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负责贝克曼数字化团队北区+西区数字化策略创新业务（包括大语言模型智能体的应用与推广）。</w:t>
      </w:r>
    </w:p>
    <w:p w14:paraId="37CEF2C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主要从绩效、科研、品牌、就诊、健康管理等维度挖掘医院、医生、患者需求，结合公司市场推广策略，量身打造数字化解决方案，并最终对业绩增长负责。</w:t>
      </w:r>
    </w:p>
    <w:p w14:paraId="754BEA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同时负责商业模式从0到1的全流程，包括需求调研、方案设计、合作商选择，ROI测算，产品定位，市场策略，并协同公司财务、法务、销售、市场等各部门，完成方案落地及市场推广。</w:t>
      </w:r>
    </w:p>
    <w:p w14:paraId="5B5CE63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业绩:</w:t>
      </w:r>
    </w:p>
    <w:p w14:paraId="58047F9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大语言模型打造及应用——构建贝克曼专属智能体，结合专业医学知识（教科书、指南、共识）、公司产品资料、公司专家知识库，并推广至全国上百家医院的实验室。</w:t>
      </w:r>
    </w:p>
    <w:p w14:paraId="1C3E8F6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eastAsia="zh-CN"/>
        </w:rPr>
        <w:t>（</w:t>
      </w:r>
      <w:r>
        <w:rPr>
          <w:rStyle w:val="40"/>
          <w:sz w:val="24"/>
          <w:szCs w:val="24"/>
          <w:lang w:eastAsia="zh-CN"/>
        </w:rPr>
        <w:t>推广部分只负责西区北区），提升公司数智化服务能力，成功使大语言模型技术应用至临床。</w:t>
      </w:r>
    </w:p>
    <w:p w14:paraId="09A249E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科研——在西区、北区完成了科研解决方案的50家客户推广，其中复旦排行100客户覆盖15家左右。</w:t>
      </w:r>
    </w:p>
    <w:p w14:paraId="11C8744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实现公司业务增长3000万。</w:t>
      </w:r>
    </w:p>
    <w:p w14:paraId="688756D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早筛——作为第一负责人完成诊前心脑血管疾病早筛项目，引入宝石花等新的医疗集团的新商业项目，联合阜外医院相关，成功建立心脑血管早筛项目的规划、设计、落地。实现项目落地。</w:t>
      </w:r>
    </w:p>
    <w:p w14:paraId="5AC0931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产学研转化——针对顶尖医疗团队提供科研转化方案，把北大人民、武汉同济、阜外医院、北大医院、中山一院等顶尖团队研究成果进行赋能转化，部分链接到C端及保险端。</w:t>
      </w:r>
    </w:p>
    <w:p w14:paraId="1219F63E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lang w:eastAsia="zh-CN"/>
        </w:rPr>
      </w:pPr>
    </w:p>
    <w:p w14:paraId="2DE143B2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>2019.09—2021.01         飞利浦（中国）投资有限公司</w:t>
      </w:r>
      <w:r>
        <w:rPr>
          <w:rFonts w:hint="eastAsia"/>
          <w:b/>
          <w:lang w:eastAsia="zh-CN"/>
        </w:rPr>
        <w:t xml:space="preserve">     集团北区销售经理</w:t>
      </w:r>
    </w:p>
    <w:p w14:paraId="616C16D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3C69DA8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24E52B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负责飞利浦全线产品的大客户营销和拓展工作，与宝石花医疗集团、通用环球医疗集团等知名央企平台及中国扶贫开发协会、杏林春雨、中国健和基金等建立良好沟通与合作关系。</w:t>
      </w:r>
    </w:p>
    <w:p w14:paraId="029A635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战略合作:从组织架构、管理流程、发展规划等方面深度剖析客户，发掘关键客户KPI，从业务部门到管理部门再到公司高层建立多维度利益契合点，最终推动公司与宝石花、通用环球医疗集团签署战略合作框架协议。</w:t>
      </w:r>
    </w:p>
    <w:p w14:paraId="6CD0A51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渠道建立:建立覆盖全国13个省市，120家医疗机构的销售渠道和网络，实现医疗机构的商务触达。</w:t>
      </w:r>
    </w:p>
    <w:p w14:paraId="1037B4F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团队管理:协调和把控区域销售人员在营销过程中关键节点；</w:t>
      </w:r>
    </w:p>
    <w:p w14:paraId="7C5F083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负责6家经销商的管理及KPI设置，并完成人员培训、销售管理，关键节点把控及风险点提示等工作。</w:t>
      </w:r>
    </w:p>
    <w:p w14:paraId="00C573A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客户运营提升:整合多层次资源，向客户提供多元化的服务及运营提升。</w:t>
      </w:r>
    </w:p>
    <w:p w14:paraId="2D8F935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医疗机构扭亏:针对各地不同医疗机构医疗水平现状，深度介入客户整体运营，成功整合飞利浦在急救绿色通道整合、慢性病并发症治疗与管理、呼吸健康管理等方面的资源，同客户一起探索非公医疗体制下医疗服务的发展方向，帮助医疗机构扭亏为盈；</w:t>
      </w:r>
    </w:p>
    <w:p w14:paraId="20E362F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基金会项目推进:统筹精准扶贫项目的建设与规划，制定针对不同地区不同学科的扶贫标准（如偏远地区基础医疗扶贫、东北地区妇儿项目推广等）并负责项目的落地协调。</w:t>
      </w:r>
    </w:p>
    <w:p w14:paraId="35F3E5F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工作业绩:在职期间所辖区域全线产品市场占有率达40%以上，销售额9000万+，2020年全年销售达成率120%+。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E314E94">
      <w:pPr>
        <w:widowControl w:val="0"/>
        <w:autoSpaceDE w:val="0"/>
        <w:autoSpaceDN w:val="0"/>
        <w:adjustRightInd w:val="0"/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F8D90B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lang w:eastAsia="zh-CN"/>
        </w:rPr>
      </w:pPr>
    </w:p>
    <w:p w14:paraId="1CCC73E0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>2017.01—2019.08         通用电气医疗贸易系统（上海）有限公司</w:t>
      </w:r>
      <w:r>
        <w:rPr>
          <w:rFonts w:hint="eastAsia"/>
          <w:b/>
          <w:lang w:eastAsia="zh-CN"/>
        </w:rPr>
        <w:t xml:space="preserve">     北京区DI销售</w:t>
      </w:r>
    </w:p>
    <w:p w14:paraId="76CFB9BC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B58D9F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自2017年1月进入公司数字化医疗部门，负责京冀及东北、西北等12个省的销售工作。</w:t>
      </w:r>
    </w:p>
    <w:p w14:paraId="6DCC8D9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敏锐的市场洞察，与DI（大型放射类影像设备销售）部门合作向朝阳医院提供一站式解决方案，成为GE公司的销售经典案例，因此于2017年7月破格调入北京区DI部门（公司业绩最佳明星部门），负责公司DI产品的销售。</w:t>
      </w:r>
    </w:p>
    <w:p w14:paraId="43AAF6F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市场策略:结合市场情况及竞品分析，寻找公司产品的核心竞争力及价值优势，并以三甲医院大客户为主要突破方向，深入挖掘潜在客户需求，制定恰当的市场策略及营销方案，促成合作。</w:t>
      </w:r>
    </w:p>
    <w:p w14:paraId="2DA97F8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客户开发:在职期间成功开发佑安医院、小汤山医院两家新客户，并通过客户拜访、市场推广、新等方式实现北京积水潭医院、北京中医医院、西苑医院等客户的再开发。</w:t>
      </w:r>
    </w:p>
    <w:p w14:paraId="7775996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学术推广:定期与官方学会策划并组织行业内展会及论坛，把握区域内学术建设发展状态、政策动向及相关竞品信息，并利用各方资源，使公司在学术领域具有同行业最高影响力。</w:t>
      </w:r>
    </w:p>
    <w:p w14:paraId="50EFAB7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关系维护:通过学术科研合作、市场推广、新设备研发试用、新技术的应用探索等方式，与三甲医院院长、主管院长，临床、医技科室负责人，设备科、信息科及临床医护人员等各层级客户建立良好的合作关系，为产品销售及业绩达成奠定坚实基础。</w:t>
      </w:r>
    </w:p>
    <w:p w14:paraId="2CEE90E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业绩呈现:DI部门:实现新开发医院佑安医院、北京小汤山医院销售额5000万+，完成北京积水潭医院、北京中医医院、西苑医院等三甲医院的二次销售，实现销售额3000万元+，市场占有率保持在40%+。</w:t>
      </w:r>
    </w:p>
    <w:p w14:paraId="137F87DA">
      <w:pPr>
        <w:widowControl w:val="0"/>
        <w:autoSpaceDE w:val="0"/>
        <w:autoSpaceDN w:val="0"/>
        <w:adjustRightInd w:val="0"/>
        <w:spacing w:line="360" w:lineRule="auto"/>
        <w:rPr>
          <w:lang w:eastAsia="zh-CN"/>
        </w:rPr>
      </w:pPr>
      <w:r>
        <w:rPr>
          <w:rStyle w:val="40"/>
          <w:sz w:val="24"/>
          <w:szCs w:val="24"/>
          <w:lang w:eastAsia="zh-CN"/>
        </w:rPr>
        <w:t>HCD部门:六个月内完成302医院升级项目（含三维系统）、朝阳医院PACS升级项目及</w:t>
      </w:r>
      <w:r>
        <w:rPr>
          <w:rFonts w:hint="eastAsia"/>
          <w:lang w:eastAsia="zh-CN"/>
        </w:rPr>
        <w:t xml:space="preserve"> </w:t>
      </w:r>
    </w:p>
    <w:p w14:paraId="267BC1F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lang w:eastAsia="zh-CN"/>
        </w:rPr>
      </w:pPr>
    </w:p>
    <w:p w14:paraId="78C240F6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>2012.08—2016.05         北京嘉和美康信息技术有限公司</w:t>
      </w:r>
      <w:r>
        <w:rPr>
          <w:rFonts w:hint="eastAsia"/>
          <w:b/>
          <w:lang w:eastAsia="zh-CN"/>
        </w:rPr>
        <w:t xml:space="preserve">     项目经理</w:t>
      </w:r>
    </w:p>
    <w:p w14:paraId="58D76803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36F12B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rFonts w:hint="eastAsia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12B87C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</w:t>
      </w:r>
    </w:p>
    <w:p w14:paraId="01286A7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</w:t>
      </w:r>
    </w:p>
    <w:p w14:paraId="722345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自2012年8月进入公司，担任市场专员，主要负责市场推广活动的策划及落地执行工作，因能力突出于2014年8月晋升为项目经理，主要管理各医院实施项目，对实施及售后人员进行培训与考核，并为客户提供销售支持服务。</w:t>
      </w:r>
    </w:p>
    <w:p w14:paraId="1C3C4CC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项目管理：统筹把控项目调研、实施、验收全过程，及时跟进相关项目进度并解决项目问题。</w:t>
      </w:r>
    </w:p>
    <w:p w14:paraId="572333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负责实施人员及售后服务人员专业培训，确保项目进度及完成质量。</w:t>
      </w:r>
    </w:p>
    <w:p w14:paraId="3C9A058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在岗期间完成三个医院的整体验收工作，验收总金额1200W。</w:t>
      </w:r>
    </w:p>
    <w:p w14:paraId="28CD1F4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活动策划：负责公司市场活动策划与落地执行，通过举办院长会、科室会、学术研讨会，地区俱乐部、行业展会等相关市场活动，在行业范围内进行品牌宣传推广，并针对主要大客户提供市场营销方案，促进公司销售任务的达成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DE9F0A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lang w:eastAsia="zh-CN"/>
        </w:rPr>
      </w:pPr>
    </w:p>
    <w:p w14:paraId="06DEF0EE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 Inspira">
    <w:altName w:val="苹方-简"/>
    <w:panose1 w:val="020B0604020202020204"/>
    <w:charset w:val="00"/>
    <w:family w:val="roman"/>
    <w:pitch w:val="default"/>
    <w:sig w:usb0="00000000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MicrosoftYaHei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232F3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83D3D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5D581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491E4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B5706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C9BA2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21B4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75BE1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06E80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56FB2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GE Corporate</Company>
  <Pages>4</Pages>
  <Words>225</Words>
  <Characters>1284</Characters>
  <Lines>10</Lines>
  <Paragraphs>3</Paragraphs>
  <TotalTime>49</TotalTime>
  <ScaleCrop>false</ScaleCrop>
  <LinksUpToDate>false</LinksUpToDate>
  <CharactersWithSpaces>1506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2025-09-09T10:13:00Z</dcterms:created>
  <dc:creator>106003151</dc:creator>
  <cp:lastModifiedBy>    tony</cp:lastModifiedBy>
  <cp:lastPrinted>2008-12-02T14:16:00Z</cp:lastPrinted>
  <dcterms:modified xsi:type="dcterms:W3CDTF">2025-09-11T15:51:50Z</dcterms:modified>
  <dc:title>Title of the role: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BF833D1442C1518C967FC2686DB01D8F_43</vt:lpwstr>
  </property>
  <property fmtid="{D5CDD505-2E9C-101B-9397-08002B2CF9AE}" pid="3" name="KSOProductBuildVer">
    <vt:lpwstr>2052-12.1.22218.22218</vt:lpwstr>
  </property>
</Properties>
</file>