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512D58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65BD0351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高峰</w:t>
      </w:r>
      <w:r>
        <w:rPr>
          <w:b/>
          <w:sz w:val="36"/>
          <w:szCs w:val="36"/>
          <w:lang w:eastAsia="zh-CN"/>
        </w:rPr>
        <w:t>推荐报告</w:t>
      </w:r>
    </w:p>
    <w:p w14:paraId="6FC55C78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28C22429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0B4F3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4379D44F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高峰</w:t>
            </w:r>
          </w:p>
        </w:tc>
        <w:tc>
          <w:tcPr>
            <w:tcW w:w="2625" w:type="dxa"/>
            <w:vMerge w:val="restart"/>
          </w:tcPr>
          <w:p w14:paraId="7ECDD096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049B2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0ADA4F6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1989</w:t>
            </w:r>
          </w:p>
        </w:tc>
        <w:tc>
          <w:tcPr>
            <w:tcW w:w="2625" w:type="dxa"/>
            <w:vMerge w:val="continue"/>
          </w:tcPr>
          <w:p w14:paraId="20F3532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5737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1E47DC6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4189AE8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48FE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59E4F25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65DF44EA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6627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6A80FE9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：吉林</w:t>
            </w:r>
          </w:p>
        </w:tc>
        <w:tc>
          <w:tcPr>
            <w:tcW w:w="2625" w:type="dxa"/>
            <w:vMerge w:val="continue"/>
          </w:tcPr>
          <w:p w14:paraId="09FF77A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44B8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7E72AA5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长春</w:t>
            </w:r>
          </w:p>
        </w:tc>
        <w:tc>
          <w:tcPr>
            <w:tcW w:w="2625" w:type="dxa"/>
            <w:vMerge w:val="continue"/>
          </w:tcPr>
          <w:p w14:paraId="732436F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FA1C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29E5EF0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18644040835</w:t>
            </w:r>
          </w:p>
        </w:tc>
        <w:tc>
          <w:tcPr>
            <w:tcW w:w="2625" w:type="dxa"/>
            <w:vMerge w:val="continue"/>
          </w:tcPr>
          <w:p w14:paraId="14045E2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10485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1302F1D6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380411922@qq.com</w:t>
            </w:r>
          </w:p>
        </w:tc>
        <w:tc>
          <w:tcPr>
            <w:tcW w:w="2625" w:type="dxa"/>
            <w:vMerge w:val="continue"/>
          </w:tcPr>
          <w:p w14:paraId="3DAD3776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7E00A154">
      <w:pPr>
        <w:tabs>
          <w:tab w:val="left" w:pos="2010"/>
        </w:tabs>
        <w:spacing w:line="300" w:lineRule="auto"/>
        <w:rPr>
          <w:iCs/>
          <w:szCs w:val="21"/>
        </w:rPr>
      </w:pPr>
    </w:p>
    <w:p w14:paraId="7AC150BF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1D6B6128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5A6DCDA6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2011.09—2015.06         青岛滨海学院         市场营销        本科</w:t>
      </w:r>
    </w:p>
    <w:p w14:paraId="4F962CD7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76841C15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790791B3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GB" w:eastAsia="zh-CN"/>
        </w:rPr>
        <w:t>年包32w</w:t>
      </w:r>
    </w:p>
    <w:p w14:paraId="7C57420A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40w</w:t>
      </w:r>
    </w:p>
    <w:p w14:paraId="4B2D217F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697C4C68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1B9DAECB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2020.11—2025.07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深圳美团优选科技有限公司</w:t>
      </w:r>
      <w:r>
        <w:rPr>
          <w:rFonts w:hint="eastAsia"/>
          <w:b/>
          <w:lang w:eastAsia="zh-CN"/>
        </w:rPr>
        <w:t xml:space="preserve">     渠道经理</w:t>
      </w:r>
    </w:p>
    <w:p w14:paraId="6EDFFCAA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9DE3A74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1A49C8C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b/>
          <w:szCs w:val="21"/>
          <w:lang w:val="en-GB" w:eastAsia="zh-CN"/>
        </w:rPr>
      </w:pPr>
      <w:r>
        <w:rPr>
          <w:rStyle w:val="40"/>
          <w:sz w:val="24"/>
          <w:szCs w:val="24"/>
          <w:lang w:eastAsia="zh-CN"/>
        </w:rPr>
        <w:t>战略级渠道拓展-统筹规划和参与东北黑吉78城开城项目，36城实地攻坚，通过合作商人员结构、配送时效、用户体验优化以及排兵布阵，取得了吉林省利润最高、商户覆盖率第一、市占第一、GMV产出第一的业绩-设计’铁三角’合作商赋能履约体系，通过UE模型优化+履约排线算法，使合作商平均月收益提升22%-团队垂直管理，梯队搭建，通过“建资源、给方法、抓过程、重复盘”实现乡镇覆盖率从58%→89%，商家量级人团比1：320(行业TOP)革命性成本优化-主导配送策略升级：基于综合配送系统数据，实施动态’拆-合-并’路线规划，单城日均配送车次减少3趟次，准时率达98.6%-推动运载工具新能源化：协调商业资源获取电车补贴，完成8城车队电动化改造，年省燃油费超100万元私域生态构建-建立’团长-企微-社群’三级运营体系，策划’爆品秒杀+万人团’组合活动，用户月均复购率从31%→42%-设计’以老带新’裂变机制，全区域试点3周新增私域用户2万，贡献当月GMV增量18%-优秀协同作战（商品侧），通过商品营销和采购运营，运用地采以及当地品牌引流，仓维度日均售卖件数增长20%,gmv日均提升25%，大区TOP重点效能标杆-建立“单点覆盖，多点渗透”整体覆盖策略，达成战略合作区域，月贡献近4万件，成为区域内量级TOP-全国重点乡镇开发项目中，通过“一包到底”策略，达成新签第一、客情第一、商户收入第一的可复制方法论，业绩全国to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4BAC8906">
      <w:pPr>
        <w:pStyle w:val="3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b/>
          <w:szCs w:val="21"/>
          <w:lang w:val="en-GB" w:eastAsia="zh-CN"/>
        </w:rPr>
      </w:pPr>
      <w:r>
        <w:rPr>
          <w:rFonts w:hint="eastAsia" w:ascii="MicrosoftYaHei" w:hAnsi="MicrosoftYaHei"/>
          <w:b/>
          <w:bCs/>
          <w:color w:val="3F3F3F"/>
          <w:lang w:val="en-US" w:eastAsia="zh-CN"/>
        </w:rPr>
        <w:t>离职</w:t>
      </w:r>
      <w:r>
        <w:rPr>
          <w:rFonts w:hint="eastAsia" w:ascii="MicrosoftYaHei" w:hAnsi="MicrosoftYaHei"/>
          <w:b/>
          <w:bCs/>
          <w:color w:val="3F3F3F"/>
          <w:lang w:eastAsia="zh-CN"/>
        </w:rPr>
        <w:t>原因：</w:t>
      </w:r>
      <w:r>
        <w:rPr>
          <w:rFonts w:hint="eastAsia"/>
          <w:b/>
          <w:szCs w:val="21"/>
          <w:lang w:val="en-GB" w:eastAsia="zh-CN"/>
        </w:rPr>
        <w:t>全国业务调整 美团优选部门地区社区团购关停</w:t>
      </w:r>
    </w:p>
    <w:p w14:paraId="648DBD57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B9571D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27B404DD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2019.11—2020.11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哈尔滨祥博餐饮管理有限公司</w:t>
      </w:r>
      <w:r>
        <w:rPr>
          <w:rFonts w:hint="eastAsia"/>
          <w:b/>
          <w:lang w:eastAsia="zh-CN"/>
        </w:rPr>
        <w:t xml:space="preserve">     区域经理</w:t>
      </w:r>
    </w:p>
    <w:p w14:paraId="7D079AF8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286CDBC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4235F2C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市场增长与竞品狙击-从0到1组建20人地推团队，设计合作商分级管理体系，优化配送结构使履约时效提升5分钟，场景类商户增加20%，品类商户增加25%-制定本地化组合策略，整合政企资源开展异业合作10+场，产品曝光率提升15%-设计’流量产品矩阵’通过低价流量产品策略抢占区域份额，合作商AOI提升22%，市占率反超竞品10个百分点。</w:t>
      </w:r>
    </w:p>
    <w:p w14:paraId="15E58E7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数据驱动运营-搭建核心指标监控看板（覆盖GMV/履约/用户复购等15+维度），通过可视化分析优化起送价模型，推动日均订单量从2万单提升至4万单，呈2倍增长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205268F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55509421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2018.10—2019.11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上海拉扎斯网络科技有限公司</w:t>
      </w:r>
      <w:r>
        <w:rPr>
          <w:rFonts w:hint="eastAsia"/>
          <w:b/>
          <w:lang w:eastAsia="zh-CN"/>
        </w:rPr>
        <w:t xml:space="preserve">     渠道经理</w:t>
      </w:r>
    </w:p>
    <w:p w14:paraId="11822506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6926D76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E6A1EE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Style w:val="40"/>
          <w:sz w:val="24"/>
          <w:szCs w:val="24"/>
          <w:lang w:eastAsia="zh-CN"/>
        </w:rPr>
        <w:t>合作商体系构建-从0拓展东北黑东区域合作商网络，3个月维稳核心合作伙伴，6个月实现21个区域100%覆盖-设计’钻石-黄金-白银’三级合作商认证体系，通过资源倾斜政策使头部合作商业绩增长65%深度赋能实战-动态定价策略：结合时段/品类设置4档佣金标准适合多维度用户需求-成本管控模型：通过路线算法优化降低15%配送成本，合作商平均月收益从2.1万→2.8万（+33%）-私域运营模板：标准化的社群SOP提升用户复购率21%数字化管理突破-自动识别濒危等级商户（准确率89%）-智能推荐改进方案，制定头腰尾商户活动方案（盘活度提升28%以上）-资源投放ROI预测（误差率3%）-该系统使区域合作商流失率下降29%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EB2C1E8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2018.10—2019.11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上海拉扎斯信息科技有限公司</w:t>
      </w:r>
      <w:r>
        <w:rPr>
          <w:rFonts w:hint="eastAsia"/>
          <w:b/>
          <w:lang w:eastAsia="zh-CN"/>
        </w:rPr>
        <w:t xml:space="preserve">     渠道经理</w:t>
      </w:r>
    </w:p>
    <w:p w14:paraId="0B07F12A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0E35B04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4981BF4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合作商体系构建-从0拓展东北黑东区域合作商网络，3个月维稳核心合作伙伴，6个月实现21个区域100%覆盖-设计"钻石-黄金-白银"三级合作商认证体系，通过资源倾斜政策使头部合作商业绩增长65%深度赋能实战-动态定价策略：结合时段/品类设置4档佣金标准适合多维度用户需求-成本管控模型：通过路线算法优化降低15%配送成本，合作商平均月收益从2.1万→2.8万（+33%）-私域运营模板：标准化的社群SOP提升用户复购率21%数字化管理突破-自动识别濒危等级商户（准确率89%）-智能推荐改进方案，制定头腰尾商户活动方案（盘活度提升28%以上）-资源投放ROI预测（误差率&amp;lt;8%）-该系统使区域合作商流失率下降29%存在多段工作时间重合询问T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66899EC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1FB4BA97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2017.03—2018.10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北京三快在线科技有限公司</w:t>
      </w:r>
      <w:r>
        <w:rPr>
          <w:rFonts w:hint="eastAsia"/>
          <w:b/>
          <w:lang w:eastAsia="zh-CN"/>
        </w:rPr>
        <w:t xml:space="preserve">     团队主管/BDM</w:t>
      </w:r>
    </w:p>
    <w:p w14:paraId="4B2FF0C2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3FD6F24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121121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团队建设与管理-负责团队搭建，统一管理理念与制度，跟进策略执行与结果指标，培养人才并提供晋升通道，培养2名核心骨干晋升城市经理业务提升策略-通过高质量B端入驻与菜单、活动优化(起送档位、时段/品类场景),制定’蜂窝网格化’管理机制，3个月实现城市市占从48%提升至65%,同区域内，商户配合度提升45%,午晚高峰单量翻倍，业绩TOP1.-搭建“新签-活动-数据”闭环管理机制，带领团队连续6个月达成新签目标，BD人均新签效率提升50%跨部门协同优化-联动物流部门优化配送距离策略，满足多元化需求；</w:t>
      </w:r>
    </w:p>
    <w:p w14:paraId="6C3A434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通过数据监控发现问题/机会，设定目标并推动闭环管理；</w:t>
      </w:r>
    </w:p>
    <w:p w14:paraId="4F86684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涉及目标拆分、供需预测、用户运营、定价补贴策略等。</w:t>
      </w:r>
    </w:p>
    <w:p w14:paraId="13B2D0F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共同推进“核心专送”“补充外围”策略，覆盖全时段场景，满足不同用户需求，基本全覆盖不同距离用户的需求和体验，带动时段性GMV增长35%,用户复购率提升18%。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DBA9FBA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712FA01F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2015.08—2017.03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济南百度外卖直销中心</w:t>
      </w:r>
      <w:r>
        <w:rPr>
          <w:rFonts w:hint="eastAsia"/>
          <w:b/>
          <w:lang w:eastAsia="zh-CN"/>
        </w:rPr>
        <w:t xml:space="preserve">     BDM</w:t>
      </w:r>
    </w:p>
    <w:p w14:paraId="68E77768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C294D8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7E5F00F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团队与区域管理组建并管理8人团队，点亮城市区域，负责4个蜂窝区域，团队业绩TOP。</w:t>
      </w:r>
    </w:p>
    <w:p w14:paraId="2367BC1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B端活动与增长制定多样化活动定价与品类策略，推动B端活动标准化，提升合作商配合度及体量/GMV,整体商户覆盖提升45%,GMV增速40%以上商家分层运营应用二八原则进行商家分层(头/腰/尾部),打造TOP商家，迭代汰换保证商家池质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1B60E9CF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541F8B36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2015.08—2017.03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百度在线网络技术(北京)有限公司</w:t>
      </w:r>
      <w:r>
        <w:rPr>
          <w:rFonts w:hint="eastAsia"/>
          <w:b/>
          <w:lang w:eastAsia="zh-CN"/>
        </w:rPr>
        <w:t xml:space="preserve">     bdm互联网</w:t>
      </w:r>
    </w:p>
    <w:p w14:paraId="06EE796B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306A486B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2DFB09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bookmarkStart w:id="0" w:name="_GoBack"/>
      <w:bookmarkEnd w:id="0"/>
      <w:r>
        <w:rPr>
          <w:rStyle w:val="40"/>
          <w:sz w:val="24"/>
          <w:szCs w:val="24"/>
          <w:lang w:eastAsia="zh-CN"/>
        </w:rPr>
        <w:t>团队与区域管理组建并管理8人团队，点亮城市区域，负责4个蜂窝区域，团队业绩TOP。</w:t>
      </w:r>
    </w:p>
    <w:p w14:paraId="212E0CB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B端活动与增长制定多样化活动定价与品类策略，推动B端活动标准化，提升合作商配合度及体量/GMV，整体商户覆盖提升45%，GMV增速40%以上商家分层运营应用二八原则进行商家分层（头/腰/尾部），打造TOP商家，迭代汰换保证商家池质量。</w:t>
      </w:r>
    </w:p>
    <w:p w14:paraId="14CEEB7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节日营销策划节日活动，丰富商家活动与品类，满足消费者需求。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E9A509B">
      <w:pPr>
        <w:numPr>
          <w:numId w:val="0"/>
        </w:numPr>
        <w:spacing w:line="360" w:lineRule="auto"/>
        <w:ind w:leftChars="0"/>
        <w:rPr>
          <w:color w:val="000000"/>
          <w:sz w:val="24"/>
          <w:szCs w:val="24"/>
          <w:lang w:eastAsia="zh-CN"/>
        </w:rPr>
      </w:pPr>
    </w:p>
    <w:p w14:paraId="6097FF4A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E79ED">
    <w:pPr>
      <w:pStyle w:val="11"/>
      <w:tabs>
        <w:tab w:val="left" w:pos="812"/>
      </w:tabs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0359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8073D7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818C8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0846A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4</Pages>
  <Words>2502</Words>
  <Characters>2924</Characters>
  <Lines>8</Lines>
  <Paragraphs>2</Paragraphs>
  <TotalTime>4</TotalTime>
  <ScaleCrop>false</ScaleCrop>
  <LinksUpToDate>false</LinksUpToDate>
  <CharactersWithSpaces>3106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2025-10-23T10:49:20Z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DAA828AF9B9E4E67A71F21FEA353ABCA_13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