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19DD" w14:textId="77777777" w:rsidR="006875BD" w:rsidRDefault="00000000">
      <w:pPr>
        <w:widowControl w:val="0"/>
        <w:overflowPunct/>
        <w:autoSpaceDE/>
        <w:autoSpaceDN/>
        <w:adjustRightInd/>
        <w:spacing w:line="288" w:lineRule="auto"/>
        <w:textAlignment w:val="auto"/>
        <w:rPr>
          <w:rFonts w:ascii="宋体" w:hAnsi="宋体"/>
          <w:b/>
          <w:bCs/>
          <w:kern w:val="2"/>
          <w:sz w:val="21"/>
          <w:szCs w:val="21"/>
        </w:rPr>
      </w:pPr>
      <w:r>
        <w:rPr>
          <w:rFonts w:ascii="宋体" w:hAnsi="宋体" w:hint="eastAsia"/>
          <w:b/>
          <w:bCs/>
          <w:kern w:val="2"/>
          <w:sz w:val="21"/>
          <w:szCs w:val="21"/>
        </w:rPr>
        <w:t>推荐职位：广东区域负责人</w:t>
      </w:r>
    </w:p>
    <w:p w14:paraId="6FD092A6" w14:textId="77777777" w:rsidR="006875BD" w:rsidRDefault="006875BD">
      <w:pPr>
        <w:widowControl w:val="0"/>
        <w:overflowPunct/>
        <w:autoSpaceDE/>
        <w:autoSpaceDN/>
        <w:adjustRightInd/>
        <w:spacing w:line="288" w:lineRule="auto"/>
        <w:textAlignment w:val="auto"/>
        <w:rPr>
          <w:rFonts w:ascii="宋体" w:hAnsi="宋体"/>
          <w:b/>
          <w:bCs/>
          <w:kern w:val="2"/>
          <w:sz w:val="21"/>
          <w:szCs w:val="21"/>
        </w:rPr>
      </w:pPr>
    </w:p>
    <w:tbl>
      <w:tblPr>
        <w:tblW w:w="0" w:type="auto"/>
        <w:tblLayout w:type="fixed"/>
        <w:tblCellMar>
          <w:left w:w="0" w:type="dxa"/>
          <w:right w:w="0" w:type="dxa"/>
        </w:tblCellMar>
        <w:tblLook w:val="04A0" w:firstRow="1" w:lastRow="0" w:firstColumn="1" w:lastColumn="0" w:noHBand="0" w:noVBand="1"/>
      </w:tblPr>
      <w:tblGrid>
        <w:gridCol w:w="1390"/>
      </w:tblGrid>
      <w:tr w:rsidR="006875BD" w14:paraId="0CA69E7F" w14:textId="77777777">
        <w:tc>
          <w:tcPr>
            <w:tcW w:w="1390" w:type="dxa"/>
            <w:shd w:val="clear" w:color="auto" w:fill="EAEAEA"/>
          </w:tcPr>
          <w:p w14:paraId="7D545150" w14:textId="77777777" w:rsidR="006875BD" w:rsidRDefault="00000000">
            <w:pPr>
              <w:widowControl w:val="0"/>
              <w:overflowPunct/>
              <w:autoSpaceDE/>
              <w:autoSpaceDN/>
              <w:adjustRightInd/>
              <w:spacing w:line="288" w:lineRule="auto"/>
              <w:ind w:left="100"/>
              <w:jc w:val="both"/>
              <w:textAlignment w:val="auto"/>
              <w:rPr>
                <w:rFonts w:ascii="宋体" w:hAnsi="宋体" w:cs="宋体"/>
                <w:b/>
                <w:bCs/>
                <w:kern w:val="2"/>
                <w:sz w:val="21"/>
                <w:szCs w:val="21"/>
              </w:rPr>
            </w:pPr>
            <w:r>
              <w:rPr>
                <w:rFonts w:ascii="宋体" w:hAnsi="宋体" w:cs="宋体" w:hint="eastAsia"/>
                <w:b/>
                <w:bCs/>
                <w:kern w:val="2"/>
                <w:sz w:val="21"/>
                <w:szCs w:val="21"/>
              </w:rPr>
              <w:t>人选信息</w:t>
            </w:r>
          </w:p>
        </w:tc>
      </w:tr>
    </w:tbl>
    <w:p w14:paraId="1F9CFE74" w14:textId="77777777" w:rsidR="006875BD" w:rsidRDefault="006875BD">
      <w:pPr>
        <w:widowControl w:val="0"/>
        <w:overflowPunct/>
        <w:autoSpaceDE/>
        <w:autoSpaceDN/>
        <w:adjustRightInd/>
        <w:spacing w:line="288" w:lineRule="auto"/>
        <w:textAlignment w:val="auto"/>
        <w:rPr>
          <w:rFonts w:ascii="宋体" w:hAnsi="宋体"/>
          <w:b/>
          <w:kern w:val="2"/>
          <w:sz w:val="21"/>
          <w:szCs w:val="21"/>
        </w:rPr>
      </w:pPr>
    </w:p>
    <w:p w14:paraId="6BDC7CF0" w14:textId="77777777" w:rsidR="006875BD" w:rsidRDefault="00000000">
      <w:pPr>
        <w:widowControl w:val="0"/>
        <w:overflowPunct/>
        <w:autoSpaceDE/>
        <w:autoSpaceDN/>
        <w:adjustRightInd/>
        <w:spacing w:line="288" w:lineRule="auto"/>
        <w:jc w:val="both"/>
        <w:textAlignment w:val="auto"/>
        <w:rPr>
          <w:rFonts w:ascii="宋体" w:hAnsi="宋体"/>
          <w:kern w:val="2"/>
          <w:sz w:val="21"/>
          <w:szCs w:val="21"/>
        </w:rPr>
      </w:pPr>
      <w:r>
        <w:rPr>
          <w:rFonts w:ascii="宋体" w:hAnsi="宋体" w:hint="eastAsia"/>
          <w:kern w:val="2"/>
          <w:sz w:val="21"/>
          <w:szCs w:val="21"/>
        </w:rPr>
        <w:t xml:space="preserve">姓  名：战舟                                                                       </w:t>
      </w:r>
    </w:p>
    <w:p w14:paraId="3954B4BA" w14:textId="77777777" w:rsidR="006875BD" w:rsidRDefault="00000000">
      <w:pPr>
        <w:widowControl w:val="0"/>
        <w:overflowPunct/>
        <w:autoSpaceDE/>
        <w:autoSpaceDN/>
        <w:adjustRightInd/>
        <w:spacing w:line="288" w:lineRule="auto"/>
        <w:jc w:val="both"/>
        <w:textAlignment w:val="auto"/>
        <w:rPr>
          <w:rFonts w:ascii="宋体" w:hAnsi="宋体"/>
          <w:kern w:val="2"/>
          <w:sz w:val="21"/>
          <w:szCs w:val="21"/>
        </w:rPr>
      </w:pPr>
      <w:r>
        <w:rPr>
          <w:rFonts w:ascii="宋体" w:hAnsi="宋体" w:hint="eastAsia"/>
          <w:kern w:val="2"/>
          <w:sz w:val="21"/>
          <w:szCs w:val="21"/>
        </w:rPr>
        <w:t>性  别：男</w:t>
      </w:r>
    </w:p>
    <w:p w14:paraId="78A678EF" w14:textId="77777777" w:rsidR="006875BD" w:rsidRDefault="00000000">
      <w:pPr>
        <w:widowControl w:val="0"/>
        <w:overflowPunct/>
        <w:autoSpaceDE/>
        <w:autoSpaceDN/>
        <w:adjustRightInd/>
        <w:spacing w:line="288" w:lineRule="auto"/>
        <w:jc w:val="both"/>
        <w:textAlignment w:val="auto"/>
        <w:rPr>
          <w:rFonts w:ascii="宋体" w:hAnsi="宋体"/>
          <w:kern w:val="2"/>
          <w:sz w:val="21"/>
          <w:szCs w:val="21"/>
        </w:rPr>
      </w:pPr>
      <w:r>
        <w:rPr>
          <w:rFonts w:ascii="宋体" w:hAnsi="宋体" w:hint="eastAsia"/>
          <w:kern w:val="2"/>
          <w:sz w:val="21"/>
          <w:szCs w:val="21"/>
        </w:rPr>
        <w:t>年  龄：38</w:t>
      </w:r>
    </w:p>
    <w:p w14:paraId="337AED24" w14:textId="77777777" w:rsidR="006875BD" w:rsidRDefault="00000000">
      <w:pPr>
        <w:widowControl w:val="0"/>
        <w:overflowPunct/>
        <w:autoSpaceDE/>
        <w:autoSpaceDN/>
        <w:adjustRightInd/>
        <w:spacing w:line="288" w:lineRule="auto"/>
        <w:jc w:val="both"/>
        <w:textAlignment w:val="auto"/>
        <w:rPr>
          <w:rFonts w:ascii="宋体" w:hAnsi="宋体"/>
          <w:kern w:val="2"/>
          <w:sz w:val="21"/>
          <w:szCs w:val="21"/>
        </w:rPr>
      </w:pPr>
      <w:r>
        <w:rPr>
          <w:rFonts w:ascii="宋体" w:hAnsi="宋体" w:hint="eastAsia"/>
          <w:kern w:val="2"/>
          <w:sz w:val="21"/>
          <w:szCs w:val="21"/>
        </w:rPr>
        <w:t>电  话：15566915699</w:t>
      </w:r>
    </w:p>
    <w:p w14:paraId="20544315" w14:textId="77777777" w:rsidR="006875BD" w:rsidRDefault="00000000">
      <w:pPr>
        <w:widowControl w:val="0"/>
        <w:overflowPunct/>
        <w:autoSpaceDE/>
        <w:autoSpaceDN/>
        <w:adjustRightInd/>
        <w:spacing w:line="288" w:lineRule="auto"/>
        <w:jc w:val="both"/>
        <w:textAlignment w:val="auto"/>
        <w:rPr>
          <w:rFonts w:ascii="宋体" w:hAnsi="宋体"/>
          <w:kern w:val="2"/>
          <w:sz w:val="21"/>
          <w:szCs w:val="21"/>
        </w:rPr>
      </w:pPr>
      <w:r>
        <w:rPr>
          <w:rFonts w:ascii="宋体" w:hAnsi="宋体" w:hint="eastAsia"/>
          <w:kern w:val="2"/>
          <w:sz w:val="21"/>
          <w:szCs w:val="21"/>
        </w:rPr>
        <w:t>邮  箱：165168666@qq.com</w:t>
      </w:r>
    </w:p>
    <w:p w14:paraId="2DD4E576" w14:textId="77777777" w:rsidR="006875BD" w:rsidRDefault="00000000">
      <w:pPr>
        <w:widowControl w:val="0"/>
        <w:overflowPunct/>
        <w:autoSpaceDE/>
        <w:autoSpaceDN/>
        <w:adjustRightInd/>
        <w:spacing w:line="288" w:lineRule="auto"/>
        <w:jc w:val="both"/>
        <w:textAlignment w:val="auto"/>
        <w:rPr>
          <w:rFonts w:ascii="宋体" w:hAnsi="宋体"/>
          <w:kern w:val="2"/>
          <w:sz w:val="21"/>
          <w:szCs w:val="21"/>
        </w:rPr>
      </w:pPr>
      <w:r>
        <w:rPr>
          <w:rFonts w:ascii="宋体" w:hAnsi="宋体" w:hint="eastAsia"/>
          <w:kern w:val="2"/>
          <w:sz w:val="21"/>
          <w:szCs w:val="21"/>
        </w:rPr>
        <w:t>现居地：</w:t>
      </w:r>
      <w:bookmarkStart w:id="0" w:name="OLE_LINK1"/>
      <w:r>
        <w:rPr>
          <w:rFonts w:ascii="宋体" w:hAnsi="宋体" w:hint="eastAsia"/>
          <w:kern w:val="2"/>
          <w:sz w:val="21"/>
          <w:szCs w:val="21"/>
        </w:rPr>
        <w:t>广州</w:t>
      </w:r>
      <w:bookmarkEnd w:id="0"/>
    </w:p>
    <w:p w14:paraId="1C4BB464" w14:textId="77777777" w:rsidR="006875BD" w:rsidRDefault="006875BD">
      <w:pPr>
        <w:widowControl w:val="0"/>
        <w:overflowPunct/>
        <w:autoSpaceDE/>
        <w:autoSpaceDN/>
        <w:adjustRightInd/>
        <w:spacing w:line="288" w:lineRule="auto"/>
        <w:textAlignment w:val="auto"/>
        <w:rPr>
          <w:rFonts w:ascii="宋体" w:hAnsi="宋体"/>
          <w:kern w:val="2"/>
          <w:sz w:val="21"/>
          <w:szCs w:val="21"/>
        </w:rPr>
      </w:pPr>
    </w:p>
    <w:tbl>
      <w:tblPr>
        <w:tblW w:w="0" w:type="auto"/>
        <w:tblLayout w:type="fixed"/>
        <w:tblCellMar>
          <w:left w:w="0" w:type="dxa"/>
          <w:right w:w="0" w:type="dxa"/>
        </w:tblCellMar>
        <w:tblLook w:val="04A0" w:firstRow="1" w:lastRow="0" w:firstColumn="1" w:lastColumn="0" w:noHBand="0" w:noVBand="1"/>
      </w:tblPr>
      <w:tblGrid>
        <w:gridCol w:w="1411"/>
      </w:tblGrid>
      <w:tr w:rsidR="006875BD" w14:paraId="5120AC2F" w14:textId="77777777">
        <w:tc>
          <w:tcPr>
            <w:tcW w:w="1411" w:type="dxa"/>
            <w:shd w:val="clear" w:color="auto" w:fill="EAEAEA"/>
          </w:tcPr>
          <w:p w14:paraId="3ED730B5" w14:textId="77777777" w:rsidR="006875BD" w:rsidRDefault="00000000">
            <w:pPr>
              <w:widowControl w:val="0"/>
              <w:overflowPunct/>
              <w:autoSpaceDE/>
              <w:autoSpaceDN/>
              <w:adjustRightInd/>
              <w:spacing w:line="288" w:lineRule="auto"/>
              <w:ind w:left="100"/>
              <w:jc w:val="both"/>
              <w:textAlignment w:val="auto"/>
              <w:rPr>
                <w:rFonts w:ascii="STSong-Light" w:eastAsia="DengXian" w:hAnsi="STSong-Light" w:cs="STSong-Light"/>
                <w:kern w:val="2"/>
                <w:sz w:val="21"/>
                <w:szCs w:val="21"/>
              </w:rPr>
            </w:pPr>
            <w:r>
              <w:rPr>
                <w:rFonts w:ascii="宋体" w:hAnsi="宋体" w:cs="宋体" w:hint="eastAsia"/>
                <w:b/>
                <w:bCs/>
                <w:kern w:val="2"/>
                <w:sz w:val="21"/>
                <w:szCs w:val="21"/>
              </w:rPr>
              <w:t>教育培训</w:t>
            </w:r>
          </w:p>
        </w:tc>
      </w:tr>
    </w:tbl>
    <w:p w14:paraId="6FE61EED" w14:textId="77777777" w:rsidR="006875BD" w:rsidRDefault="006875BD">
      <w:pPr>
        <w:widowControl w:val="0"/>
        <w:overflowPunct/>
        <w:autoSpaceDE/>
        <w:autoSpaceDN/>
        <w:adjustRightInd/>
        <w:spacing w:line="288" w:lineRule="auto"/>
        <w:textAlignment w:val="auto"/>
        <w:rPr>
          <w:rFonts w:ascii="宋体" w:hAnsi="宋体"/>
          <w:kern w:val="2"/>
          <w:sz w:val="21"/>
          <w:szCs w:val="21"/>
        </w:rPr>
      </w:pPr>
    </w:p>
    <w:p w14:paraId="0B3FD359" w14:textId="77777777" w:rsidR="006875BD" w:rsidRDefault="00000000">
      <w:pPr>
        <w:widowControl w:val="0"/>
        <w:overflowPunct/>
        <w:autoSpaceDE/>
        <w:autoSpaceDN/>
        <w:adjustRightInd/>
        <w:spacing w:line="288" w:lineRule="auto"/>
        <w:jc w:val="both"/>
        <w:textAlignment w:val="auto"/>
        <w:rPr>
          <w:rFonts w:ascii="宋体" w:hAnsi="宋体"/>
          <w:kern w:val="2"/>
          <w:sz w:val="21"/>
          <w:szCs w:val="21"/>
        </w:rPr>
      </w:pPr>
      <w:r>
        <w:rPr>
          <w:rFonts w:ascii="宋体" w:hAnsi="宋体" w:hint="eastAsia"/>
          <w:kern w:val="2"/>
          <w:sz w:val="21"/>
          <w:szCs w:val="21"/>
        </w:rPr>
        <w:t>2006-09-2010-06    大连海事大学    航海技术    本科（统招：是）</w:t>
      </w:r>
    </w:p>
    <w:p w14:paraId="776F2FD6" w14:textId="77777777" w:rsidR="006875BD" w:rsidRDefault="006875BD">
      <w:pPr>
        <w:widowControl w:val="0"/>
        <w:overflowPunct/>
        <w:autoSpaceDE/>
        <w:autoSpaceDN/>
        <w:adjustRightInd/>
        <w:spacing w:line="288" w:lineRule="auto"/>
        <w:textAlignment w:val="auto"/>
        <w:rPr>
          <w:rFonts w:ascii="宋体" w:hAnsi="宋体"/>
          <w:kern w:val="2"/>
          <w:sz w:val="21"/>
          <w:szCs w:val="21"/>
        </w:rPr>
      </w:pPr>
    </w:p>
    <w:tbl>
      <w:tblPr>
        <w:tblW w:w="0" w:type="auto"/>
        <w:tblLayout w:type="fixed"/>
        <w:tblCellMar>
          <w:left w:w="0" w:type="dxa"/>
          <w:right w:w="0" w:type="dxa"/>
        </w:tblCellMar>
        <w:tblLook w:val="04A0" w:firstRow="1" w:lastRow="0" w:firstColumn="1" w:lastColumn="0" w:noHBand="0" w:noVBand="1"/>
      </w:tblPr>
      <w:tblGrid>
        <w:gridCol w:w="1411"/>
      </w:tblGrid>
      <w:tr w:rsidR="006875BD" w14:paraId="487E7F01" w14:textId="77777777">
        <w:tc>
          <w:tcPr>
            <w:tcW w:w="1411" w:type="dxa"/>
            <w:shd w:val="clear" w:color="auto" w:fill="EAEAEA"/>
          </w:tcPr>
          <w:p w14:paraId="26625357" w14:textId="2132C656" w:rsidR="006875BD" w:rsidRDefault="001662AF">
            <w:pPr>
              <w:widowControl w:val="0"/>
              <w:overflowPunct/>
              <w:autoSpaceDE/>
              <w:autoSpaceDN/>
              <w:adjustRightInd/>
              <w:spacing w:line="288" w:lineRule="auto"/>
              <w:ind w:left="100"/>
              <w:jc w:val="both"/>
              <w:textAlignment w:val="auto"/>
              <w:rPr>
                <w:rFonts w:ascii="STSong-Light" w:eastAsia="DengXian" w:hAnsi="STSong-Light" w:cs="STSong-Light"/>
                <w:kern w:val="2"/>
                <w:sz w:val="21"/>
                <w:szCs w:val="21"/>
              </w:rPr>
            </w:pPr>
            <w:r>
              <w:rPr>
                <w:rFonts w:ascii="宋体" w:hAnsi="宋体" w:cs="宋体" w:hint="eastAsia"/>
                <w:b/>
                <w:bCs/>
                <w:kern w:val="2"/>
                <w:sz w:val="21"/>
                <w:szCs w:val="21"/>
              </w:rPr>
              <w:t>自我</w:t>
            </w:r>
            <w:r w:rsidR="00000000">
              <w:rPr>
                <w:rFonts w:ascii="宋体" w:hAnsi="宋体" w:cs="宋体" w:hint="eastAsia"/>
                <w:b/>
                <w:bCs/>
                <w:kern w:val="2"/>
                <w:sz w:val="21"/>
                <w:szCs w:val="21"/>
              </w:rPr>
              <w:t>评价</w:t>
            </w:r>
          </w:p>
        </w:tc>
      </w:tr>
    </w:tbl>
    <w:p w14:paraId="693C58D0" w14:textId="77777777" w:rsidR="006875BD" w:rsidRDefault="006875BD">
      <w:pPr>
        <w:widowControl w:val="0"/>
        <w:overflowPunct/>
        <w:autoSpaceDE/>
        <w:autoSpaceDN/>
        <w:adjustRightInd/>
        <w:spacing w:line="288" w:lineRule="auto"/>
        <w:textAlignment w:val="auto"/>
        <w:rPr>
          <w:rFonts w:ascii="宋体" w:hAnsi="宋体"/>
          <w:kern w:val="2"/>
          <w:sz w:val="21"/>
          <w:szCs w:val="21"/>
        </w:rPr>
      </w:pPr>
    </w:p>
    <w:p w14:paraId="1B768847" w14:textId="77777777" w:rsidR="006875BD" w:rsidRDefault="00000000">
      <w:pPr>
        <w:widowControl w:val="0"/>
        <w:numPr>
          <w:ilvl w:val="0"/>
          <w:numId w:val="1"/>
        </w:numPr>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卓越的销售管理与团队领导力：</w:t>
      </w:r>
    </w:p>
    <w:p w14:paraId="56D8C773" w14:textId="77777777" w:rsidR="006875BD" w:rsidRDefault="00000000">
      <w:pPr>
        <w:widowControl w:val="0"/>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历任新华三广东区域商业副总经理、广州东莞营销中心总经理等职，管理超30人团队，带领团队实现业绩近2亿（2023年），增长率位居公司前列。</w:t>
      </w:r>
    </w:p>
    <w:p w14:paraId="7BC21399" w14:textId="77777777" w:rsidR="006875BD" w:rsidRDefault="00000000">
      <w:pPr>
        <w:widowControl w:val="0"/>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注重团队凝聚力建设，擅长激发成员潜力，推动高质量产出，培养销售同比高增长。</w:t>
      </w:r>
    </w:p>
    <w:p w14:paraId="4A5AC6D3" w14:textId="77777777" w:rsidR="006875BD" w:rsidRDefault="00000000">
      <w:pPr>
        <w:widowControl w:val="0"/>
        <w:numPr>
          <w:ilvl w:val="0"/>
          <w:numId w:val="1"/>
        </w:numPr>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大型项目运作与战略决策能力：</w:t>
      </w:r>
    </w:p>
    <w:p w14:paraId="258E2E6F" w14:textId="77777777" w:rsidR="006875BD" w:rsidRDefault="00000000">
      <w:pPr>
        <w:widowControl w:val="0"/>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主导多个千万级标杆项目，如2000万级AIGC智算中心、南沙信创云项目3000W、黄埔智算中心设备采购（出货金额超2000万）、广雅中学智慧校园信息化项目（连续3年合作），展现从客户沟通到方案落地的全流程把控能力。</w:t>
      </w:r>
    </w:p>
    <w:p w14:paraId="235ABE6B" w14:textId="77777777" w:rsidR="006875BD" w:rsidRDefault="00000000">
      <w:pPr>
        <w:widowControl w:val="0"/>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在关键决策中精准定位客户需求，结合公司战略优势，助力项目高份额中标。</w:t>
      </w:r>
    </w:p>
    <w:p w14:paraId="67282D97" w14:textId="77777777" w:rsidR="006875BD" w:rsidRDefault="00000000">
      <w:pPr>
        <w:widowControl w:val="0"/>
        <w:numPr>
          <w:ilvl w:val="0"/>
          <w:numId w:val="1"/>
        </w:numPr>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深耕广东区域市场，客户资源深厚：</w:t>
      </w:r>
    </w:p>
    <w:p w14:paraId="685888D6" w14:textId="77777777" w:rsidR="006875BD" w:rsidRDefault="00000000">
      <w:pPr>
        <w:widowControl w:val="0"/>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长期负责广东区域商业泛政府（政府、教育、医疗）业务统筹，成功突破南沙、黄埔、荔湾等区域市场，曾建立南沙0份额突破至80%份额的客户格局。</w:t>
      </w:r>
    </w:p>
    <w:p w14:paraId="34950A4E" w14:textId="77777777" w:rsidR="006875BD" w:rsidRDefault="00000000">
      <w:pPr>
        <w:widowControl w:val="0"/>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维护广雅中学、黄埔教育局等TOP级客户，打造省级信息化样板点，形成持续合作优势。</w:t>
      </w:r>
    </w:p>
    <w:p w14:paraId="57ACF980" w14:textId="77777777" w:rsidR="006875BD" w:rsidRDefault="00000000">
      <w:pPr>
        <w:widowControl w:val="0"/>
        <w:numPr>
          <w:ilvl w:val="0"/>
          <w:numId w:val="1"/>
        </w:numPr>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跨行业解决方案营销经验丰富：</w:t>
      </w:r>
    </w:p>
    <w:p w14:paraId="5D051EC0" w14:textId="77777777" w:rsidR="006875BD" w:rsidRDefault="00000000">
      <w:pPr>
        <w:widowControl w:val="0"/>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覆盖政府、教育、医疗、企业四大行业，擅长整合技术资源（如SDN校园网、物联网、高性能计算设备），提供定制化解决方案。</w:t>
      </w:r>
    </w:p>
    <w:p w14:paraId="454B9311" w14:textId="77777777" w:rsidR="006875BD" w:rsidRDefault="00000000">
      <w:pPr>
        <w:widowControl w:val="0"/>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 xml:space="preserve">推动新华三在普教信息化领域的品牌影响力，落地前瞻性项目如AD-Campus智能园区网、物联网手环等。    </w:t>
      </w:r>
    </w:p>
    <w:p w14:paraId="26A4C298" w14:textId="77777777" w:rsidR="006875BD" w:rsidRDefault="006875BD">
      <w:pPr>
        <w:widowControl w:val="0"/>
        <w:overflowPunct/>
        <w:autoSpaceDE/>
        <w:autoSpaceDN/>
        <w:adjustRightInd/>
        <w:spacing w:line="288" w:lineRule="auto"/>
        <w:textAlignment w:val="auto"/>
        <w:rPr>
          <w:rFonts w:ascii="宋体" w:hAnsi="宋体" w:cs="宋体"/>
          <w:kern w:val="2"/>
          <w:sz w:val="21"/>
          <w:szCs w:val="21"/>
        </w:rPr>
      </w:pPr>
    </w:p>
    <w:tbl>
      <w:tblPr>
        <w:tblW w:w="0" w:type="auto"/>
        <w:tblLayout w:type="fixed"/>
        <w:tblCellMar>
          <w:left w:w="0" w:type="dxa"/>
          <w:right w:w="0" w:type="dxa"/>
        </w:tblCellMar>
        <w:tblLook w:val="04A0" w:firstRow="1" w:lastRow="0" w:firstColumn="1" w:lastColumn="0" w:noHBand="0" w:noVBand="1"/>
      </w:tblPr>
      <w:tblGrid>
        <w:gridCol w:w="1379"/>
      </w:tblGrid>
      <w:tr w:rsidR="006875BD" w14:paraId="091DE58B" w14:textId="77777777">
        <w:tc>
          <w:tcPr>
            <w:tcW w:w="1379" w:type="dxa"/>
            <w:shd w:val="clear" w:color="auto" w:fill="EAEAEA"/>
          </w:tcPr>
          <w:p w14:paraId="666FFFD5" w14:textId="77777777" w:rsidR="006875BD" w:rsidRDefault="00000000">
            <w:pPr>
              <w:widowControl w:val="0"/>
              <w:overflowPunct/>
              <w:autoSpaceDE/>
              <w:autoSpaceDN/>
              <w:adjustRightInd/>
              <w:spacing w:line="288" w:lineRule="auto"/>
              <w:ind w:left="100"/>
              <w:jc w:val="both"/>
              <w:textAlignment w:val="auto"/>
              <w:rPr>
                <w:rFonts w:ascii="STSong-Light" w:eastAsia="DengXian" w:hAnsi="STSong-Light" w:cs="STSong-Light"/>
                <w:kern w:val="2"/>
                <w:sz w:val="21"/>
                <w:szCs w:val="21"/>
              </w:rPr>
            </w:pPr>
            <w:r>
              <w:rPr>
                <w:rFonts w:ascii="宋体" w:hAnsi="宋体" w:cs="宋体" w:hint="eastAsia"/>
                <w:b/>
                <w:bCs/>
                <w:kern w:val="2"/>
                <w:sz w:val="21"/>
                <w:szCs w:val="21"/>
              </w:rPr>
              <w:t>工作经验</w:t>
            </w:r>
          </w:p>
        </w:tc>
      </w:tr>
    </w:tbl>
    <w:p w14:paraId="72ADDBA6" w14:textId="77777777" w:rsidR="006875BD" w:rsidRDefault="006875BD">
      <w:pPr>
        <w:widowControl w:val="0"/>
        <w:overflowPunct/>
        <w:autoSpaceDE/>
        <w:autoSpaceDN/>
        <w:adjustRightInd/>
        <w:spacing w:line="288" w:lineRule="auto"/>
        <w:textAlignment w:val="auto"/>
        <w:rPr>
          <w:rFonts w:ascii="宋体" w:hAnsi="宋体"/>
          <w:b/>
          <w:bCs/>
          <w:kern w:val="2"/>
          <w:sz w:val="21"/>
          <w:szCs w:val="21"/>
        </w:rPr>
      </w:pPr>
    </w:p>
    <w:p w14:paraId="0A73A7B4" w14:textId="77777777" w:rsidR="006875BD" w:rsidRDefault="00000000">
      <w:pPr>
        <w:widowControl w:val="0"/>
        <w:overflowPunct/>
        <w:autoSpaceDE/>
        <w:autoSpaceDN/>
        <w:adjustRightInd/>
        <w:spacing w:line="288" w:lineRule="auto"/>
        <w:jc w:val="both"/>
        <w:textAlignment w:val="auto"/>
        <w:rPr>
          <w:rFonts w:ascii="宋体" w:hAnsi="宋体" w:cs="宋体"/>
          <w:b/>
          <w:bCs/>
          <w:kern w:val="2"/>
          <w:sz w:val="21"/>
          <w:szCs w:val="21"/>
        </w:rPr>
      </w:pPr>
      <w:r>
        <w:rPr>
          <w:rFonts w:ascii="宋体" w:hAnsi="宋体" w:cs="宋体" w:hint="eastAsia"/>
          <w:b/>
          <w:bCs/>
          <w:kern w:val="2"/>
          <w:sz w:val="21"/>
          <w:szCs w:val="21"/>
          <w:lang w:val="zh-CN"/>
        </w:rPr>
        <w:lastRenderedPageBreak/>
        <w:t>2017</w:t>
      </w:r>
      <w:r>
        <w:rPr>
          <w:rFonts w:ascii="宋体" w:hAnsi="宋体" w:cs="宋体" w:hint="eastAsia"/>
          <w:b/>
          <w:bCs/>
          <w:kern w:val="2"/>
          <w:sz w:val="21"/>
          <w:szCs w:val="21"/>
        </w:rPr>
        <w:t>-</w:t>
      </w:r>
      <w:r>
        <w:rPr>
          <w:rFonts w:ascii="宋体" w:hAnsi="宋体" w:cs="宋体" w:hint="eastAsia"/>
          <w:b/>
          <w:bCs/>
          <w:kern w:val="2"/>
          <w:sz w:val="21"/>
          <w:szCs w:val="21"/>
          <w:lang w:val="zh-CN"/>
        </w:rPr>
        <w:t>12-至今</w:t>
      </w:r>
      <w:r>
        <w:rPr>
          <w:rFonts w:ascii="宋体" w:hAnsi="宋体" w:cs="宋体" w:hint="eastAsia"/>
          <w:b/>
          <w:bCs/>
          <w:kern w:val="2"/>
          <w:sz w:val="21"/>
          <w:szCs w:val="21"/>
        </w:rPr>
        <w:t>：</w:t>
      </w:r>
      <w:r>
        <w:rPr>
          <w:rFonts w:ascii="宋体" w:hAnsi="宋体" w:cs="宋体" w:hint="eastAsia"/>
          <w:b/>
          <w:bCs/>
          <w:kern w:val="2"/>
          <w:sz w:val="21"/>
          <w:szCs w:val="21"/>
          <w:lang w:val="zh-CN"/>
        </w:rPr>
        <w:t>新华三</w:t>
      </w:r>
    </w:p>
    <w:p w14:paraId="689ACA16" w14:textId="77777777" w:rsidR="006875BD" w:rsidRPr="001662AF" w:rsidRDefault="00000000">
      <w:pPr>
        <w:widowControl w:val="0"/>
        <w:overflowPunct/>
        <w:autoSpaceDE/>
        <w:autoSpaceDN/>
        <w:adjustRightInd/>
        <w:spacing w:line="288" w:lineRule="auto"/>
        <w:textAlignment w:val="auto"/>
        <w:rPr>
          <w:rFonts w:ascii="宋体" w:hAnsi="宋体" w:cs="宋体"/>
          <w:kern w:val="2"/>
          <w:sz w:val="21"/>
          <w:szCs w:val="21"/>
        </w:rPr>
      </w:pPr>
      <w:r w:rsidRPr="001662AF">
        <w:rPr>
          <w:rFonts w:ascii="宋体" w:hAnsi="宋体" w:cs="宋体" w:hint="eastAsia"/>
          <w:kern w:val="2"/>
          <w:sz w:val="21"/>
          <w:szCs w:val="21"/>
        </w:rPr>
        <w:t>2024-06-至今：商业政教文卫销售部部长</w:t>
      </w:r>
    </w:p>
    <w:p w14:paraId="572E9A30" w14:textId="77777777" w:rsidR="006875BD" w:rsidRDefault="00000000">
      <w:pPr>
        <w:widowControl w:val="0"/>
        <w:overflowPunct/>
        <w:autoSpaceDE/>
        <w:autoSpaceDN/>
        <w:adjustRightInd/>
        <w:spacing w:line="288" w:lineRule="auto"/>
        <w:textAlignment w:val="auto"/>
        <w:rPr>
          <w:rFonts w:ascii="宋体" w:hAnsi="宋体" w:cs="宋体"/>
          <w:b/>
          <w:bCs/>
          <w:kern w:val="2"/>
          <w:sz w:val="21"/>
          <w:szCs w:val="21"/>
        </w:rPr>
      </w:pPr>
      <w:r>
        <w:rPr>
          <w:rFonts w:ascii="宋体" w:hAnsi="宋体" w:cs="宋体" w:hint="eastAsia"/>
          <w:b/>
          <w:bCs/>
          <w:kern w:val="2"/>
          <w:sz w:val="21"/>
          <w:szCs w:val="21"/>
        </w:rPr>
        <w:t>工作职责：</w:t>
      </w:r>
    </w:p>
    <w:p w14:paraId="2E28936E" w14:textId="77777777" w:rsidR="006875BD" w:rsidRDefault="00000000">
      <w:pPr>
        <w:widowControl w:val="0"/>
        <w:numPr>
          <w:ilvl w:val="0"/>
          <w:numId w:val="2"/>
        </w:numPr>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战略统筹与业务规划：</w:t>
      </w:r>
    </w:p>
    <w:p w14:paraId="0AADD0B3" w14:textId="77777777" w:rsidR="006875BD" w:rsidRDefault="00000000">
      <w:pPr>
        <w:widowControl w:val="0"/>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制定全省泛政府行业（政府、教育、医疗）的年度业务目标及中长期战略规划，推动业务与公司整体发展方向协同。</w:t>
      </w:r>
    </w:p>
    <w:p w14:paraId="4BCD0A88" w14:textId="77777777" w:rsidR="006875BD" w:rsidRDefault="00000000">
      <w:pPr>
        <w:widowControl w:val="0"/>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分析行业政策与市场动态，挖掘潜在机会，主导政府数字化、智慧教育、医疗信息化等重点领域的业务布局。</w:t>
      </w:r>
    </w:p>
    <w:p w14:paraId="1168ECFD" w14:textId="77777777" w:rsidR="006875BD" w:rsidRDefault="00000000">
      <w:pPr>
        <w:widowControl w:val="0"/>
        <w:numPr>
          <w:ilvl w:val="0"/>
          <w:numId w:val="2"/>
        </w:numPr>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业务管理与跨区域协调：</w:t>
      </w:r>
    </w:p>
    <w:p w14:paraId="27874D7D" w14:textId="77777777" w:rsidR="006875BD" w:rsidRDefault="00000000">
      <w:pPr>
        <w:widowControl w:val="0"/>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统筹广东全省泛政府业务资源，协调全省区域团队协作，确保重大项目落地效率。</w:t>
      </w:r>
    </w:p>
    <w:p w14:paraId="33CECE78" w14:textId="77777777" w:rsidR="006875BD" w:rsidRDefault="00000000">
      <w:pPr>
        <w:widowControl w:val="0"/>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指导各地市团队深耕垂直行业，强化与地方政府、教育局、卫健委等关键客户的合作关系，提升新华三在泛政府市场的品牌影响力。</w:t>
      </w:r>
    </w:p>
    <w:p w14:paraId="31C32D59" w14:textId="77777777" w:rsidR="006875BD" w:rsidRDefault="00000000">
      <w:pPr>
        <w:widowControl w:val="0"/>
        <w:numPr>
          <w:ilvl w:val="0"/>
          <w:numId w:val="2"/>
        </w:numPr>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重大项目推进与标杆打造：</w:t>
      </w:r>
    </w:p>
    <w:p w14:paraId="6B7A2850" w14:textId="77777777" w:rsidR="006875BD" w:rsidRDefault="00000000">
      <w:pPr>
        <w:widowControl w:val="0"/>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主导大型项目全生命周期管理，包括需求对接、方案设计、招投标及交付支持。</w:t>
      </w:r>
    </w:p>
    <w:p w14:paraId="3C0E88D2" w14:textId="77777777" w:rsidR="006875BD" w:rsidRDefault="00000000">
      <w:pPr>
        <w:widowControl w:val="0"/>
        <w:numPr>
          <w:ilvl w:val="0"/>
          <w:numId w:val="2"/>
        </w:numPr>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团队管理与能力建设：</w:t>
      </w:r>
    </w:p>
    <w:p w14:paraId="235FAE88" w14:textId="77777777" w:rsidR="006875BD" w:rsidRDefault="00000000">
      <w:pPr>
        <w:widowControl w:val="0"/>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管理全省泛政府团队，优化团队分工与绩效考核机制，提升人均效能。</w:t>
      </w:r>
    </w:p>
    <w:p w14:paraId="580C8DB9" w14:textId="77777777" w:rsidR="006875BD" w:rsidRDefault="00000000">
      <w:pPr>
        <w:widowControl w:val="0"/>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定期组织行业知识培训与解决方案赋能，强化团队对政策解读、项目运作及客户需求响应的综合能力。</w:t>
      </w:r>
    </w:p>
    <w:p w14:paraId="67DD6231" w14:textId="77777777" w:rsidR="006875BD" w:rsidRDefault="00000000">
      <w:pPr>
        <w:widowControl w:val="0"/>
        <w:numPr>
          <w:ilvl w:val="0"/>
          <w:numId w:val="2"/>
        </w:numPr>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生态合作与平台搭建：</w:t>
      </w:r>
    </w:p>
    <w:p w14:paraId="6E4E76AA" w14:textId="77777777" w:rsidR="006875BD" w:rsidRDefault="00000000">
      <w:pPr>
        <w:widowControl w:val="0"/>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深化与本地合作伙伴的战略协同，联合打造行业解决方案，拓展政企合作生态圈。</w:t>
      </w:r>
    </w:p>
    <w:p w14:paraId="6306EC23" w14:textId="77777777" w:rsidR="006875BD" w:rsidRDefault="00000000">
      <w:pPr>
        <w:widowControl w:val="0"/>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延续“新华三杯足球赛”等品牌活动，通过创新形式增强客户粘性，巩固新华三在广东市场的平台影响力。</w:t>
      </w:r>
    </w:p>
    <w:p w14:paraId="2F88BD18" w14:textId="77777777" w:rsidR="006875BD" w:rsidRPr="001662AF" w:rsidRDefault="00000000">
      <w:pPr>
        <w:widowControl w:val="0"/>
        <w:overflowPunct/>
        <w:autoSpaceDE/>
        <w:autoSpaceDN/>
        <w:adjustRightInd/>
        <w:spacing w:line="288" w:lineRule="auto"/>
        <w:textAlignment w:val="auto"/>
        <w:rPr>
          <w:rFonts w:ascii="宋体" w:hAnsi="宋体" w:cs="宋体"/>
          <w:kern w:val="2"/>
          <w:sz w:val="21"/>
          <w:szCs w:val="21"/>
        </w:rPr>
      </w:pPr>
      <w:r w:rsidRPr="001662AF">
        <w:rPr>
          <w:rFonts w:ascii="宋体" w:hAnsi="宋体" w:cs="宋体" w:hint="eastAsia"/>
          <w:kern w:val="2"/>
          <w:sz w:val="21"/>
          <w:szCs w:val="21"/>
        </w:rPr>
        <w:t>2023-01-2024-06：商业副总经理 广州东莞营销中心总经理</w:t>
      </w:r>
    </w:p>
    <w:p w14:paraId="7B487906" w14:textId="77777777" w:rsidR="006875BD" w:rsidRDefault="00000000">
      <w:pPr>
        <w:widowControl w:val="0"/>
        <w:overflowPunct/>
        <w:autoSpaceDE/>
        <w:autoSpaceDN/>
        <w:adjustRightInd/>
        <w:spacing w:line="288" w:lineRule="auto"/>
        <w:textAlignment w:val="auto"/>
        <w:rPr>
          <w:rFonts w:ascii="宋体" w:hAnsi="宋体" w:cs="宋体"/>
          <w:b/>
          <w:bCs/>
          <w:kern w:val="2"/>
          <w:sz w:val="21"/>
          <w:szCs w:val="21"/>
        </w:rPr>
      </w:pPr>
      <w:r>
        <w:rPr>
          <w:rFonts w:ascii="宋体" w:hAnsi="宋体" w:cs="宋体" w:hint="eastAsia"/>
          <w:b/>
          <w:bCs/>
          <w:kern w:val="2"/>
          <w:sz w:val="21"/>
          <w:szCs w:val="21"/>
        </w:rPr>
        <w:t>工作职责：</w:t>
      </w:r>
    </w:p>
    <w:p w14:paraId="5EF53AF7" w14:textId="77777777" w:rsidR="006875BD" w:rsidRDefault="00000000">
      <w:pPr>
        <w:widowControl w:val="0"/>
        <w:numPr>
          <w:ilvl w:val="0"/>
          <w:numId w:val="3"/>
        </w:numPr>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负责广州、东莞商业市场拓展，管理近 30 人大团队，参与并主导公司首个 2000 万级 AIGC 智算中心项目落地；</w:t>
      </w:r>
    </w:p>
    <w:p w14:paraId="3FE61022" w14:textId="77777777" w:rsidR="006875BD" w:rsidRDefault="00000000">
      <w:pPr>
        <w:widowControl w:val="0"/>
        <w:numPr>
          <w:ilvl w:val="0"/>
          <w:numId w:val="3"/>
        </w:numPr>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负责团队管理：注重团队凝聚力建设，能够充分发掘和激发现有团队成员战斗力，培养高质量产出销售同比增长高；</w:t>
      </w:r>
    </w:p>
    <w:p w14:paraId="65266B79" w14:textId="77777777" w:rsidR="006875BD" w:rsidRDefault="00000000">
      <w:pPr>
        <w:widowControl w:val="0"/>
        <w:numPr>
          <w:ilvl w:val="0"/>
          <w:numId w:val="3"/>
        </w:numPr>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提倡并贯彻全员解决方案营销深耕政府、教育、医疗、企业四大行业，利用丰富的项目运作经验带领并指导团队。</w:t>
      </w:r>
    </w:p>
    <w:p w14:paraId="397B8C2C" w14:textId="77777777" w:rsidR="006875BD" w:rsidRDefault="00000000">
      <w:pPr>
        <w:widowControl w:val="0"/>
        <w:numPr>
          <w:ilvl w:val="0"/>
          <w:numId w:val="3"/>
        </w:numPr>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当年完成(黄埔算力中心，清华附中智慧校园、南沙信创云、南沙车路协同项目、荔湾信创云、从化智慧城市等重大项目)；2023 年广州东莞营销中心完成业绩近 2 亿，增长率完成率均排在公司前列。</w:t>
      </w:r>
    </w:p>
    <w:p w14:paraId="54E7B718" w14:textId="77777777" w:rsidR="006875BD" w:rsidRPr="001662AF" w:rsidRDefault="00000000">
      <w:pPr>
        <w:widowControl w:val="0"/>
        <w:overflowPunct/>
        <w:autoSpaceDE/>
        <w:autoSpaceDN/>
        <w:adjustRightInd/>
        <w:spacing w:line="288" w:lineRule="auto"/>
        <w:textAlignment w:val="auto"/>
        <w:rPr>
          <w:rFonts w:ascii="宋体" w:hAnsi="宋体" w:cs="宋体"/>
          <w:kern w:val="2"/>
          <w:sz w:val="21"/>
          <w:szCs w:val="21"/>
        </w:rPr>
      </w:pPr>
      <w:r w:rsidRPr="001662AF">
        <w:rPr>
          <w:rFonts w:ascii="宋体" w:hAnsi="宋体" w:cs="宋体" w:hint="eastAsia"/>
          <w:kern w:val="2"/>
          <w:sz w:val="21"/>
          <w:szCs w:val="21"/>
        </w:rPr>
        <w:t>2022-01-2022-12：商业教育行业总监</w:t>
      </w:r>
    </w:p>
    <w:p w14:paraId="1C72396B" w14:textId="77777777" w:rsidR="006875BD" w:rsidRDefault="00000000">
      <w:pPr>
        <w:widowControl w:val="0"/>
        <w:overflowPunct/>
        <w:autoSpaceDE/>
        <w:autoSpaceDN/>
        <w:adjustRightInd/>
        <w:spacing w:line="288" w:lineRule="auto"/>
        <w:textAlignment w:val="auto"/>
        <w:rPr>
          <w:rFonts w:ascii="宋体" w:hAnsi="宋体" w:cs="宋体"/>
          <w:b/>
          <w:bCs/>
          <w:kern w:val="2"/>
          <w:sz w:val="21"/>
          <w:szCs w:val="21"/>
        </w:rPr>
      </w:pPr>
      <w:r>
        <w:rPr>
          <w:rFonts w:ascii="宋体" w:hAnsi="宋体" w:cs="宋体" w:hint="eastAsia"/>
          <w:b/>
          <w:bCs/>
          <w:kern w:val="2"/>
          <w:sz w:val="21"/>
          <w:szCs w:val="21"/>
        </w:rPr>
        <w:t>工作职责：</w:t>
      </w:r>
    </w:p>
    <w:p w14:paraId="551E0D9B" w14:textId="77777777" w:rsidR="006875BD" w:rsidRDefault="00000000">
      <w:pPr>
        <w:widowControl w:val="0"/>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负责带领团队以优异的成绩完成顺利全年任务目标，并且个人年度业绩近 2000 万，受任命年公司商业教育一线专家委员会专家，全年表现良好受到再次提拔。</w:t>
      </w:r>
    </w:p>
    <w:p w14:paraId="08CA823D" w14:textId="77777777" w:rsidR="006875BD" w:rsidRPr="001662AF" w:rsidRDefault="00000000">
      <w:pPr>
        <w:widowControl w:val="0"/>
        <w:overflowPunct/>
        <w:autoSpaceDE/>
        <w:autoSpaceDN/>
        <w:adjustRightInd/>
        <w:spacing w:line="288" w:lineRule="auto"/>
        <w:textAlignment w:val="auto"/>
        <w:rPr>
          <w:rFonts w:ascii="宋体" w:hAnsi="宋体" w:cs="宋体"/>
          <w:kern w:val="2"/>
          <w:sz w:val="21"/>
          <w:szCs w:val="21"/>
        </w:rPr>
      </w:pPr>
      <w:r w:rsidRPr="001662AF">
        <w:rPr>
          <w:rFonts w:ascii="宋体" w:hAnsi="宋体" w:cs="宋体" w:hint="eastAsia"/>
          <w:kern w:val="2"/>
          <w:sz w:val="21"/>
          <w:szCs w:val="21"/>
        </w:rPr>
        <w:t>2017-12-2021-12：教育销售部普教行业销售</w:t>
      </w:r>
    </w:p>
    <w:p w14:paraId="1B405669" w14:textId="77777777" w:rsidR="006875BD" w:rsidRDefault="00000000">
      <w:pPr>
        <w:widowControl w:val="0"/>
        <w:overflowPunct/>
        <w:autoSpaceDE/>
        <w:autoSpaceDN/>
        <w:adjustRightInd/>
        <w:spacing w:line="288" w:lineRule="auto"/>
        <w:textAlignment w:val="auto"/>
        <w:rPr>
          <w:rFonts w:ascii="宋体" w:hAnsi="宋体" w:cs="宋体"/>
          <w:b/>
          <w:bCs/>
          <w:kern w:val="2"/>
          <w:sz w:val="21"/>
          <w:szCs w:val="21"/>
        </w:rPr>
      </w:pPr>
      <w:r>
        <w:rPr>
          <w:rFonts w:ascii="宋体" w:hAnsi="宋体" w:cs="宋体" w:hint="eastAsia"/>
          <w:b/>
          <w:bCs/>
          <w:kern w:val="2"/>
          <w:sz w:val="21"/>
          <w:szCs w:val="21"/>
        </w:rPr>
        <w:lastRenderedPageBreak/>
        <w:t>工作职责：</w:t>
      </w:r>
    </w:p>
    <w:p w14:paraId="46EA307D" w14:textId="77777777" w:rsidR="006875BD" w:rsidRDefault="00000000">
      <w:pPr>
        <w:widowControl w:val="0"/>
        <w:numPr>
          <w:ilvl w:val="0"/>
          <w:numId w:val="4"/>
        </w:numPr>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负责快速培育广雅中学、黄埔教育局、番禺教育局等普教 TOP 级客户；南沙区教育市场井喷期通过教育局客户突破短时间内翻盘，实现新华三份额0至80%格局突破；2019 年新华三年度金牌团队成员；</w:t>
      </w:r>
    </w:p>
    <w:p w14:paraId="1B837EB4" w14:textId="77777777" w:rsidR="006875BD" w:rsidRDefault="00000000">
      <w:pPr>
        <w:widowControl w:val="0"/>
        <w:numPr>
          <w:ilvl w:val="0"/>
          <w:numId w:val="4"/>
        </w:numPr>
        <w:overflowPunct/>
        <w:autoSpaceDE/>
        <w:autoSpaceDN/>
        <w:adjustRightInd/>
        <w:spacing w:line="288" w:lineRule="auto"/>
        <w:textAlignment w:val="auto"/>
        <w:rPr>
          <w:rFonts w:ascii="宋体" w:hAnsi="宋体" w:cs="宋体"/>
          <w:kern w:val="2"/>
          <w:sz w:val="21"/>
          <w:szCs w:val="21"/>
        </w:rPr>
      </w:pPr>
      <w:r>
        <w:rPr>
          <w:rFonts w:ascii="宋体" w:hAnsi="宋体" w:cs="宋体" w:hint="eastAsia"/>
          <w:kern w:val="2"/>
          <w:sz w:val="21"/>
          <w:szCs w:val="21"/>
        </w:rPr>
        <w:t>负责维护了交通、金融、医疗、教育、企业和运营商等各行业客户群体，为公司开拓市场提供了平台。</w:t>
      </w:r>
    </w:p>
    <w:p w14:paraId="7F6367A2" w14:textId="77777777" w:rsidR="006875BD" w:rsidRDefault="006875BD">
      <w:pPr>
        <w:widowControl w:val="0"/>
        <w:overflowPunct/>
        <w:autoSpaceDE/>
        <w:autoSpaceDN/>
        <w:adjustRightInd/>
        <w:spacing w:line="288" w:lineRule="auto"/>
        <w:textAlignment w:val="auto"/>
        <w:rPr>
          <w:rFonts w:ascii="宋体" w:hAnsi="宋体" w:cs="宋体"/>
          <w:kern w:val="2"/>
          <w:sz w:val="21"/>
          <w:szCs w:val="21"/>
        </w:rPr>
      </w:pPr>
    </w:p>
    <w:p w14:paraId="474D9852" w14:textId="77777777" w:rsidR="006875BD" w:rsidRDefault="00000000">
      <w:pPr>
        <w:widowControl w:val="0"/>
        <w:overflowPunct/>
        <w:autoSpaceDE/>
        <w:autoSpaceDN/>
        <w:adjustRightInd/>
        <w:spacing w:line="288" w:lineRule="auto"/>
        <w:textAlignment w:val="auto"/>
        <w:rPr>
          <w:rFonts w:ascii="宋体" w:hAnsi="宋体" w:cs="宋体"/>
          <w:b/>
          <w:bCs/>
          <w:kern w:val="2"/>
          <w:sz w:val="21"/>
          <w:szCs w:val="21"/>
        </w:rPr>
      </w:pPr>
      <w:r>
        <w:rPr>
          <w:rFonts w:ascii="宋体" w:hAnsi="宋体" w:cs="宋体" w:hint="eastAsia"/>
          <w:b/>
          <w:bCs/>
          <w:kern w:val="2"/>
          <w:sz w:val="21"/>
          <w:szCs w:val="21"/>
        </w:rPr>
        <w:t>2010-10-2017-02：大连国际合作股份有限公司航业分公司/大副</w:t>
      </w:r>
    </w:p>
    <w:p w14:paraId="17FC737B" w14:textId="77777777" w:rsidR="006875BD" w:rsidRDefault="006875BD">
      <w:pPr>
        <w:widowControl w:val="0"/>
        <w:overflowPunct/>
        <w:autoSpaceDE/>
        <w:autoSpaceDN/>
        <w:adjustRightInd/>
        <w:spacing w:line="288" w:lineRule="auto"/>
        <w:textAlignment w:val="auto"/>
        <w:rPr>
          <w:rFonts w:ascii="宋体" w:hAnsi="宋体" w:cs="宋体"/>
          <w:kern w:val="2"/>
          <w:sz w:val="21"/>
          <w:szCs w:val="21"/>
        </w:rPr>
      </w:pPr>
    </w:p>
    <w:tbl>
      <w:tblPr>
        <w:tblW w:w="0" w:type="auto"/>
        <w:tblLayout w:type="fixed"/>
        <w:tblCellMar>
          <w:left w:w="0" w:type="dxa"/>
          <w:right w:w="0" w:type="dxa"/>
        </w:tblCellMar>
        <w:tblLook w:val="04A0" w:firstRow="1" w:lastRow="0" w:firstColumn="1" w:lastColumn="0" w:noHBand="0" w:noVBand="1"/>
      </w:tblPr>
      <w:tblGrid>
        <w:gridCol w:w="1298"/>
      </w:tblGrid>
      <w:tr w:rsidR="006875BD" w14:paraId="6BE424E7" w14:textId="77777777">
        <w:tc>
          <w:tcPr>
            <w:tcW w:w="1298" w:type="dxa"/>
            <w:shd w:val="clear" w:color="auto" w:fill="EAEAEA"/>
          </w:tcPr>
          <w:p w14:paraId="03707271" w14:textId="77777777" w:rsidR="006875BD" w:rsidRDefault="00000000">
            <w:pPr>
              <w:widowControl w:val="0"/>
              <w:overflowPunct/>
              <w:autoSpaceDE/>
              <w:autoSpaceDN/>
              <w:adjustRightInd/>
              <w:spacing w:line="288" w:lineRule="auto"/>
              <w:ind w:left="100"/>
              <w:jc w:val="both"/>
              <w:textAlignment w:val="auto"/>
              <w:rPr>
                <w:rFonts w:ascii="STSong-Light" w:eastAsia="DengXian" w:hAnsi="STSong-Light" w:cs="STSong-Light"/>
                <w:kern w:val="2"/>
                <w:sz w:val="21"/>
                <w:szCs w:val="21"/>
              </w:rPr>
            </w:pPr>
            <w:r>
              <w:rPr>
                <w:rFonts w:ascii="宋体" w:hAnsi="宋体" w:cs="宋体" w:hint="eastAsia"/>
                <w:b/>
                <w:bCs/>
                <w:kern w:val="2"/>
                <w:sz w:val="21"/>
                <w:szCs w:val="21"/>
              </w:rPr>
              <w:t>项目经验</w:t>
            </w:r>
          </w:p>
        </w:tc>
      </w:tr>
    </w:tbl>
    <w:p w14:paraId="1BA363C1" w14:textId="77777777" w:rsidR="006875BD" w:rsidRDefault="006875BD">
      <w:pPr>
        <w:widowControl w:val="0"/>
        <w:overflowPunct/>
        <w:autoSpaceDE/>
        <w:autoSpaceDN/>
        <w:adjustRightInd/>
        <w:spacing w:line="288" w:lineRule="auto"/>
        <w:textAlignment w:val="auto"/>
        <w:rPr>
          <w:rFonts w:ascii="宋体" w:hAnsi="宋体" w:cs="宋体"/>
          <w:b/>
          <w:kern w:val="2"/>
          <w:sz w:val="21"/>
          <w:szCs w:val="21"/>
        </w:rPr>
      </w:pPr>
    </w:p>
    <w:p w14:paraId="5C6E912C" w14:textId="77777777" w:rsidR="006875BD" w:rsidRDefault="00000000">
      <w:pPr>
        <w:rPr>
          <w:b/>
          <w:bCs/>
          <w:sz w:val="21"/>
          <w:szCs w:val="21"/>
        </w:rPr>
      </w:pPr>
      <w:r>
        <w:rPr>
          <w:rFonts w:hint="eastAsia"/>
          <w:b/>
          <w:bCs/>
          <w:sz w:val="21"/>
          <w:szCs w:val="21"/>
        </w:rPr>
        <w:t>广莞片区中标黄埔智算中心设备采购项目</w:t>
      </w:r>
    </w:p>
    <w:p w14:paraId="503506ED" w14:textId="77777777" w:rsidR="006875BD" w:rsidRDefault="00000000">
      <w:pPr>
        <w:rPr>
          <w:b/>
          <w:bCs/>
          <w:sz w:val="21"/>
          <w:szCs w:val="21"/>
        </w:rPr>
      </w:pPr>
      <w:r>
        <w:rPr>
          <w:rFonts w:hint="eastAsia"/>
          <w:b/>
          <w:bCs/>
          <w:sz w:val="21"/>
          <w:szCs w:val="21"/>
        </w:rPr>
        <w:t>项目描述：</w:t>
      </w:r>
    </w:p>
    <w:p w14:paraId="2728B077" w14:textId="77777777" w:rsidR="006875BD" w:rsidRDefault="00000000">
      <w:pPr>
        <w:rPr>
          <w:sz w:val="21"/>
          <w:szCs w:val="21"/>
        </w:rPr>
      </w:pPr>
      <w:r>
        <w:rPr>
          <w:rFonts w:hint="eastAsia"/>
          <w:sz w:val="21"/>
          <w:szCs w:val="21"/>
        </w:rPr>
        <w:t>黄埔智算中心，是广东代表处继粤港澳大湾区智能算力中心后，第二个成功中标的算力中心项目。同时，作为广州市首个具有市场化运营定位的智算中心，黄埔智算中心将面向各行各业提供数字化算力资源和应用支撑，全面服务大湾区数字经济发展和产业转型升级。</w:t>
      </w:r>
    </w:p>
    <w:p w14:paraId="2E7DF15F" w14:textId="77777777" w:rsidR="006875BD" w:rsidRDefault="00000000">
      <w:pPr>
        <w:rPr>
          <w:sz w:val="21"/>
          <w:szCs w:val="21"/>
        </w:rPr>
      </w:pPr>
      <w:r>
        <w:rPr>
          <w:rFonts w:hint="eastAsia"/>
          <w:sz w:val="21"/>
          <w:szCs w:val="21"/>
        </w:rPr>
        <w:t>项目涉及</w:t>
      </w:r>
      <w:r>
        <w:rPr>
          <w:rFonts w:hint="eastAsia"/>
          <w:sz w:val="21"/>
          <w:szCs w:val="21"/>
        </w:rPr>
        <w:t>H3C R4900 G5</w:t>
      </w:r>
      <w:r>
        <w:rPr>
          <w:rFonts w:hint="eastAsia"/>
          <w:sz w:val="21"/>
          <w:szCs w:val="21"/>
        </w:rPr>
        <w:t>、</w:t>
      </w:r>
      <w:r>
        <w:rPr>
          <w:rFonts w:hint="eastAsia"/>
          <w:sz w:val="21"/>
          <w:szCs w:val="21"/>
        </w:rPr>
        <w:t>R4300 G5</w:t>
      </w:r>
      <w:r>
        <w:rPr>
          <w:rFonts w:hint="eastAsia"/>
          <w:sz w:val="21"/>
          <w:szCs w:val="21"/>
        </w:rPr>
        <w:t>和</w:t>
      </w:r>
      <w:r>
        <w:rPr>
          <w:rFonts w:hint="eastAsia"/>
          <w:sz w:val="21"/>
          <w:szCs w:val="21"/>
        </w:rPr>
        <w:t>R5500 G5</w:t>
      </w:r>
      <w:r>
        <w:rPr>
          <w:rFonts w:hint="eastAsia"/>
          <w:sz w:val="21"/>
          <w:szCs w:val="21"/>
        </w:rPr>
        <w:t>服务器近百台，其中包括近百颗</w:t>
      </w:r>
      <w:r>
        <w:rPr>
          <w:rFonts w:hint="eastAsia"/>
          <w:sz w:val="21"/>
          <w:szCs w:val="21"/>
        </w:rPr>
        <w:t>AMD</w:t>
      </w:r>
      <w:r>
        <w:rPr>
          <w:rFonts w:hint="eastAsia"/>
          <w:sz w:val="21"/>
          <w:szCs w:val="21"/>
        </w:rPr>
        <w:t>高端</w:t>
      </w:r>
      <w:r>
        <w:rPr>
          <w:rFonts w:hint="eastAsia"/>
          <w:sz w:val="21"/>
          <w:szCs w:val="21"/>
        </w:rPr>
        <w:t>CPU</w:t>
      </w:r>
      <w:r>
        <w:rPr>
          <w:rFonts w:hint="eastAsia"/>
          <w:sz w:val="21"/>
          <w:szCs w:val="21"/>
        </w:rPr>
        <w:t>和数百块英伟达</w:t>
      </w:r>
      <w:r>
        <w:rPr>
          <w:rFonts w:hint="eastAsia"/>
          <w:sz w:val="21"/>
          <w:szCs w:val="21"/>
        </w:rPr>
        <w:t>A800 GPU</w:t>
      </w:r>
      <w:r>
        <w:rPr>
          <w:rFonts w:hint="eastAsia"/>
          <w:sz w:val="21"/>
          <w:szCs w:val="21"/>
        </w:rPr>
        <w:t>，以及关键网络安全设备合计</w:t>
      </w:r>
      <w:r>
        <w:rPr>
          <w:rFonts w:hint="eastAsia"/>
          <w:sz w:val="21"/>
          <w:szCs w:val="21"/>
        </w:rPr>
        <w:t>40</w:t>
      </w:r>
      <w:r>
        <w:rPr>
          <w:rFonts w:hint="eastAsia"/>
          <w:sz w:val="21"/>
          <w:szCs w:val="21"/>
        </w:rPr>
        <w:t>余台，总体出货金额超</w:t>
      </w:r>
      <w:r>
        <w:rPr>
          <w:rFonts w:hint="eastAsia"/>
          <w:sz w:val="21"/>
          <w:szCs w:val="21"/>
        </w:rPr>
        <w:t>2000</w:t>
      </w:r>
      <w:r>
        <w:rPr>
          <w:rFonts w:hint="eastAsia"/>
          <w:sz w:val="21"/>
          <w:szCs w:val="21"/>
        </w:rPr>
        <w:t>万。</w:t>
      </w:r>
    </w:p>
    <w:p w14:paraId="0C06C4A7" w14:textId="77777777" w:rsidR="006875BD" w:rsidRDefault="00000000">
      <w:pPr>
        <w:rPr>
          <w:b/>
          <w:bCs/>
          <w:sz w:val="21"/>
          <w:szCs w:val="21"/>
        </w:rPr>
      </w:pPr>
      <w:r>
        <w:rPr>
          <w:rFonts w:hint="eastAsia"/>
          <w:b/>
          <w:bCs/>
          <w:sz w:val="21"/>
          <w:szCs w:val="21"/>
        </w:rPr>
        <w:t>项目业绩：</w:t>
      </w:r>
    </w:p>
    <w:p w14:paraId="5307E09F" w14:textId="77777777" w:rsidR="006875BD" w:rsidRDefault="00000000">
      <w:pPr>
        <w:rPr>
          <w:sz w:val="21"/>
          <w:szCs w:val="21"/>
        </w:rPr>
      </w:pPr>
      <w:r>
        <w:rPr>
          <w:rFonts w:hint="eastAsia"/>
          <w:sz w:val="21"/>
          <w:szCs w:val="21"/>
        </w:rPr>
        <w:t>该项目的落地进一步奠定了公司在本地算力市场的强势格局，树立了高端样板，提升了未来在各行业的影响力，为后续城市治理智慧化等格局项目打下了坚实基础。发挥整体解决方案优势，在客户侧资方等关键决策人的沟通和公司战略决策中做出正确决策，以绝对领先的份额中标该项目。</w:t>
      </w:r>
    </w:p>
    <w:p w14:paraId="0EFF9B8B" w14:textId="77777777" w:rsidR="006875BD" w:rsidRDefault="006875BD">
      <w:pPr>
        <w:rPr>
          <w:sz w:val="21"/>
          <w:szCs w:val="21"/>
        </w:rPr>
      </w:pPr>
    </w:p>
    <w:p w14:paraId="782BA7CA" w14:textId="77777777" w:rsidR="006875BD" w:rsidRDefault="00000000">
      <w:pPr>
        <w:rPr>
          <w:b/>
          <w:bCs/>
          <w:sz w:val="21"/>
          <w:szCs w:val="21"/>
        </w:rPr>
      </w:pPr>
      <w:r>
        <w:rPr>
          <w:rFonts w:hint="eastAsia"/>
          <w:b/>
          <w:bCs/>
          <w:sz w:val="21"/>
          <w:szCs w:val="21"/>
        </w:rPr>
        <w:t>广东广雅中学</w:t>
      </w:r>
      <w:r>
        <w:rPr>
          <w:rFonts w:hint="eastAsia"/>
          <w:b/>
          <w:bCs/>
          <w:sz w:val="21"/>
          <w:szCs w:val="21"/>
        </w:rPr>
        <w:t xml:space="preserve"> 2022 </w:t>
      </w:r>
      <w:r>
        <w:rPr>
          <w:rFonts w:hint="eastAsia"/>
          <w:b/>
          <w:bCs/>
          <w:sz w:val="21"/>
          <w:szCs w:val="21"/>
        </w:rPr>
        <w:t>年度智慧校园信息化项目</w:t>
      </w:r>
    </w:p>
    <w:p w14:paraId="1B24E70D" w14:textId="77777777" w:rsidR="006875BD" w:rsidRDefault="00000000">
      <w:pPr>
        <w:rPr>
          <w:b/>
          <w:bCs/>
          <w:sz w:val="21"/>
          <w:szCs w:val="21"/>
        </w:rPr>
      </w:pPr>
      <w:r>
        <w:rPr>
          <w:rFonts w:hint="eastAsia"/>
          <w:b/>
          <w:bCs/>
          <w:sz w:val="21"/>
          <w:szCs w:val="21"/>
        </w:rPr>
        <w:t>项目描述：</w:t>
      </w:r>
    </w:p>
    <w:p w14:paraId="7FD35524" w14:textId="77777777" w:rsidR="006875BD" w:rsidRDefault="00000000">
      <w:pPr>
        <w:rPr>
          <w:sz w:val="21"/>
          <w:szCs w:val="21"/>
        </w:rPr>
      </w:pPr>
      <w:r>
        <w:rPr>
          <w:rFonts w:hint="eastAsia"/>
          <w:sz w:val="21"/>
          <w:szCs w:val="21"/>
        </w:rPr>
        <w:t>广雅中学作为广州普教信息化龙头学校，已连续</w:t>
      </w:r>
      <w:r>
        <w:rPr>
          <w:rFonts w:hint="eastAsia"/>
          <w:sz w:val="21"/>
          <w:szCs w:val="21"/>
        </w:rPr>
        <w:t>3</w:t>
      </w:r>
      <w:r>
        <w:rPr>
          <w:rFonts w:hint="eastAsia"/>
          <w:sz w:val="21"/>
          <w:szCs w:val="21"/>
        </w:rPr>
        <w:t>年中标广雅中学智慧校园信息化项目。新华三全力支持广雅中学的校园业务创新，本次项目主要作为基于</w:t>
      </w:r>
      <w:r>
        <w:rPr>
          <w:rFonts w:hint="eastAsia"/>
          <w:sz w:val="21"/>
          <w:szCs w:val="21"/>
        </w:rPr>
        <w:t>SDN</w:t>
      </w:r>
      <w:r>
        <w:rPr>
          <w:rFonts w:hint="eastAsia"/>
          <w:sz w:val="21"/>
          <w:szCs w:val="21"/>
        </w:rPr>
        <w:t>的校园网及物联网升级，项目涉及</w:t>
      </w:r>
      <w:r>
        <w:rPr>
          <w:rFonts w:hint="eastAsia"/>
          <w:sz w:val="21"/>
          <w:szCs w:val="21"/>
        </w:rPr>
        <w:t>S7506X</w:t>
      </w:r>
      <w:r>
        <w:rPr>
          <w:rFonts w:hint="eastAsia"/>
          <w:sz w:val="21"/>
          <w:szCs w:val="21"/>
        </w:rPr>
        <w:t>、</w:t>
      </w:r>
      <w:r>
        <w:rPr>
          <w:rFonts w:hint="eastAsia"/>
          <w:sz w:val="21"/>
          <w:szCs w:val="21"/>
        </w:rPr>
        <w:t>S6520X</w:t>
      </w:r>
      <w:r>
        <w:rPr>
          <w:rFonts w:hint="eastAsia"/>
          <w:sz w:val="21"/>
          <w:szCs w:val="21"/>
        </w:rPr>
        <w:t>、</w:t>
      </w:r>
      <w:r>
        <w:rPr>
          <w:rFonts w:hint="eastAsia"/>
          <w:sz w:val="21"/>
          <w:szCs w:val="21"/>
        </w:rPr>
        <w:t>S5570S</w:t>
      </w:r>
      <w:r>
        <w:rPr>
          <w:rFonts w:hint="eastAsia"/>
          <w:sz w:val="21"/>
          <w:szCs w:val="21"/>
        </w:rPr>
        <w:t>等交换机近</w:t>
      </w:r>
      <w:r>
        <w:rPr>
          <w:rFonts w:hint="eastAsia"/>
          <w:sz w:val="21"/>
          <w:szCs w:val="21"/>
        </w:rPr>
        <w:t>300</w:t>
      </w:r>
      <w:r>
        <w:rPr>
          <w:rFonts w:hint="eastAsia"/>
          <w:sz w:val="21"/>
          <w:szCs w:val="21"/>
        </w:rPr>
        <w:t>台，高密无线</w:t>
      </w:r>
      <w:r>
        <w:rPr>
          <w:rFonts w:hint="eastAsia"/>
          <w:sz w:val="21"/>
          <w:szCs w:val="21"/>
        </w:rPr>
        <w:t>APWA6638i</w:t>
      </w:r>
      <w:r>
        <w:rPr>
          <w:rFonts w:hint="eastAsia"/>
          <w:sz w:val="21"/>
          <w:szCs w:val="21"/>
        </w:rPr>
        <w:t>、室外</w:t>
      </w:r>
      <w:r>
        <w:rPr>
          <w:rFonts w:hint="eastAsia"/>
          <w:sz w:val="21"/>
          <w:szCs w:val="21"/>
        </w:rPr>
        <w:t>APWA6620X</w:t>
      </w:r>
      <w:r>
        <w:rPr>
          <w:rFonts w:hint="eastAsia"/>
          <w:sz w:val="21"/>
          <w:szCs w:val="21"/>
        </w:rPr>
        <w:t>近</w:t>
      </w:r>
      <w:r>
        <w:rPr>
          <w:rFonts w:hint="eastAsia"/>
          <w:sz w:val="21"/>
          <w:szCs w:val="21"/>
        </w:rPr>
        <w:t>450</w:t>
      </w:r>
      <w:r>
        <w:rPr>
          <w:rFonts w:hint="eastAsia"/>
          <w:sz w:val="21"/>
          <w:szCs w:val="21"/>
        </w:rPr>
        <w:t>台，物联网模块</w:t>
      </w:r>
      <w:r>
        <w:rPr>
          <w:rFonts w:hint="eastAsia"/>
          <w:sz w:val="21"/>
          <w:szCs w:val="21"/>
        </w:rPr>
        <w:t>T320M</w:t>
      </w:r>
      <w:r>
        <w:rPr>
          <w:rFonts w:hint="eastAsia"/>
          <w:sz w:val="21"/>
          <w:szCs w:val="21"/>
        </w:rPr>
        <w:t>、</w:t>
      </w:r>
      <w:r>
        <w:rPr>
          <w:rFonts w:hint="eastAsia"/>
          <w:sz w:val="21"/>
          <w:szCs w:val="21"/>
        </w:rPr>
        <w:t>T320MX</w:t>
      </w:r>
      <w:r>
        <w:rPr>
          <w:rFonts w:hint="eastAsia"/>
          <w:sz w:val="21"/>
          <w:szCs w:val="21"/>
        </w:rPr>
        <w:t>共</w:t>
      </w:r>
      <w:r>
        <w:rPr>
          <w:rFonts w:hint="eastAsia"/>
          <w:sz w:val="21"/>
          <w:szCs w:val="21"/>
        </w:rPr>
        <w:t>400</w:t>
      </w:r>
      <w:r>
        <w:rPr>
          <w:rFonts w:hint="eastAsia"/>
          <w:sz w:val="21"/>
          <w:szCs w:val="21"/>
        </w:rPr>
        <w:t>个，扩容</w:t>
      </w:r>
      <w:r>
        <w:rPr>
          <w:rFonts w:hint="eastAsia"/>
          <w:sz w:val="21"/>
          <w:szCs w:val="21"/>
        </w:rPr>
        <w:t>2</w:t>
      </w:r>
      <w:r>
        <w:rPr>
          <w:rFonts w:hint="eastAsia"/>
          <w:sz w:val="21"/>
          <w:szCs w:val="21"/>
        </w:rPr>
        <w:t>套</w:t>
      </w:r>
      <w:r>
        <w:rPr>
          <w:rFonts w:hint="eastAsia"/>
          <w:sz w:val="21"/>
          <w:szCs w:val="21"/>
        </w:rPr>
        <w:t>AD-Campus</w:t>
      </w:r>
      <w:r>
        <w:rPr>
          <w:rFonts w:hint="eastAsia"/>
          <w:sz w:val="21"/>
          <w:szCs w:val="21"/>
        </w:rPr>
        <w:t>授权，实现校园网络高速全覆盖、物联网全覆盖，全力支持学校实现智慧化系统的建设，满足智慧校园的建设要求。</w:t>
      </w:r>
    </w:p>
    <w:p w14:paraId="58958A85" w14:textId="77777777" w:rsidR="006875BD" w:rsidRDefault="00000000">
      <w:pPr>
        <w:rPr>
          <w:sz w:val="21"/>
          <w:szCs w:val="21"/>
        </w:rPr>
      </w:pPr>
      <w:r>
        <w:rPr>
          <w:rFonts w:hint="eastAsia"/>
          <w:sz w:val="21"/>
          <w:szCs w:val="21"/>
        </w:rPr>
        <w:t>目前已在广雅中学落地了</w:t>
      </w:r>
      <w:r>
        <w:rPr>
          <w:rFonts w:hint="eastAsia"/>
          <w:sz w:val="21"/>
          <w:szCs w:val="21"/>
        </w:rPr>
        <w:t>AD-Campus</w:t>
      </w:r>
      <w:r>
        <w:rPr>
          <w:rFonts w:hint="eastAsia"/>
          <w:sz w:val="21"/>
          <w:szCs w:val="21"/>
        </w:rPr>
        <w:t>智能园区网、物联网门锁、物联网手环、</w:t>
      </w:r>
      <w:proofErr w:type="spellStart"/>
      <w:r>
        <w:rPr>
          <w:rFonts w:hint="eastAsia"/>
          <w:sz w:val="21"/>
          <w:szCs w:val="21"/>
        </w:rPr>
        <w:t>Ucenter</w:t>
      </w:r>
      <w:proofErr w:type="spellEnd"/>
      <w:r>
        <w:rPr>
          <w:rFonts w:hint="eastAsia"/>
          <w:sz w:val="21"/>
          <w:szCs w:val="21"/>
        </w:rPr>
        <w:t>智能运维等在广州商业普教具有前瞻性的解决方案，树立广东省普教信息化重点产品样板点。</w:t>
      </w:r>
    </w:p>
    <w:p w14:paraId="025FD01E" w14:textId="77777777" w:rsidR="006875BD" w:rsidRDefault="006875BD">
      <w:pPr>
        <w:rPr>
          <w:sz w:val="21"/>
          <w:szCs w:val="21"/>
        </w:rPr>
      </w:pPr>
    </w:p>
    <w:p w14:paraId="6E8D3DA5" w14:textId="77777777" w:rsidR="006875BD" w:rsidRDefault="00000000">
      <w:pPr>
        <w:rPr>
          <w:b/>
          <w:bCs/>
          <w:sz w:val="21"/>
          <w:szCs w:val="21"/>
        </w:rPr>
      </w:pPr>
      <w:r>
        <w:rPr>
          <w:rFonts w:hint="eastAsia"/>
          <w:b/>
          <w:bCs/>
          <w:sz w:val="21"/>
          <w:szCs w:val="21"/>
        </w:rPr>
        <w:t>化区智慧城市建设项目</w:t>
      </w:r>
    </w:p>
    <w:p w14:paraId="15982D94" w14:textId="77777777" w:rsidR="006875BD" w:rsidRDefault="00000000">
      <w:pPr>
        <w:rPr>
          <w:b/>
          <w:bCs/>
          <w:sz w:val="21"/>
          <w:szCs w:val="21"/>
        </w:rPr>
      </w:pPr>
      <w:r>
        <w:rPr>
          <w:rFonts w:hint="eastAsia"/>
          <w:b/>
          <w:bCs/>
          <w:sz w:val="21"/>
          <w:szCs w:val="21"/>
        </w:rPr>
        <w:t>项目描述：</w:t>
      </w:r>
    </w:p>
    <w:p w14:paraId="17437C28" w14:textId="77777777" w:rsidR="006875BD" w:rsidRDefault="00000000">
      <w:pPr>
        <w:rPr>
          <w:sz w:val="21"/>
          <w:szCs w:val="21"/>
        </w:rPr>
      </w:pPr>
      <w:r>
        <w:rPr>
          <w:rFonts w:hint="eastAsia"/>
          <w:sz w:val="21"/>
          <w:szCs w:val="21"/>
        </w:rPr>
        <w:t>使用方是广州市从化区政务服务管理局，目总预算</w:t>
      </w:r>
      <w:r>
        <w:rPr>
          <w:rFonts w:hint="eastAsia"/>
          <w:sz w:val="21"/>
          <w:szCs w:val="21"/>
        </w:rPr>
        <w:t>44832</w:t>
      </w:r>
      <w:r>
        <w:rPr>
          <w:rFonts w:hint="eastAsia"/>
          <w:sz w:val="21"/>
          <w:szCs w:val="21"/>
        </w:rPr>
        <w:t>万元。围绕“以基承智、以数汇智、以知强智、以用联智、以规护智”的总体思路，打造从化区智慧城市“</w:t>
      </w:r>
      <w:r>
        <w:rPr>
          <w:rFonts w:hint="eastAsia"/>
          <w:sz w:val="21"/>
          <w:szCs w:val="21"/>
        </w:rPr>
        <w:t>3</w:t>
      </w:r>
      <w:r>
        <w:rPr>
          <w:rFonts w:hint="eastAsia"/>
          <w:sz w:val="21"/>
          <w:szCs w:val="21"/>
        </w:rPr>
        <w:t>大工程”，即平台建设工程、平台支撑工程、业务应用工程，共计</w:t>
      </w:r>
      <w:r>
        <w:rPr>
          <w:rFonts w:hint="eastAsia"/>
          <w:sz w:val="21"/>
          <w:szCs w:val="21"/>
        </w:rPr>
        <w:t>26</w:t>
      </w:r>
      <w:r>
        <w:rPr>
          <w:rFonts w:hint="eastAsia"/>
          <w:sz w:val="21"/>
          <w:szCs w:val="21"/>
        </w:rPr>
        <w:t>项建设内容。主要采购的（区智慧城市运行指挥中心：平板电脑、有线控制电脑、应用端主控电脑、笔记本电脑、台式电脑、风冷式精密空调；区智慧城市国产云服务平台：列间精密空调；区应急指挥建设：电脑主机、显示器；区智能化监控前端：电视机、</w:t>
      </w:r>
      <w:r>
        <w:rPr>
          <w:rFonts w:hint="eastAsia"/>
          <w:sz w:val="21"/>
          <w:szCs w:val="21"/>
        </w:rPr>
        <w:t>55</w:t>
      </w:r>
      <w:r>
        <w:rPr>
          <w:rFonts w:hint="eastAsia"/>
          <w:sz w:val="21"/>
          <w:szCs w:val="21"/>
        </w:rPr>
        <w:t>寸液晶拼接单元；区慧眼视频图像资源汇聚及智能应用平台：台式工作站、便携式工作站。本项目作为从化区政数局几年最大的发债建设项目之一。</w:t>
      </w:r>
    </w:p>
    <w:p w14:paraId="688F744F" w14:textId="77777777" w:rsidR="006875BD" w:rsidRDefault="006875BD">
      <w:pPr>
        <w:rPr>
          <w:sz w:val="21"/>
          <w:szCs w:val="21"/>
        </w:rPr>
      </w:pPr>
    </w:p>
    <w:p w14:paraId="6B927229" w14:textId="77777777" w:rsidR="006875BD" w:rsidRDefault="00000000">
      <w:pPr>
        <w:rPr>
          <w:b/>
          <w:bCs/>
          <w:sz w:val="21"/>
          <w:szCs w:val="21"/>
        </w:rPr>
      </w:pPr>
      <w:r>
        <w:rPr>
          <w:rFonts w:hint="eastAsia"/>
          <w:b/>
          <w:bCs/>
          <w:sz w:val="21"/>
          <w:szCs w:val="21"/>
        </w:rPr>
        <w:t>南沙信创云项目：</w:t>
      </w:r>
    </w:p>
    <w:p w14:paraId="28F9D040" w14:textId="77777777" w:rsidR="006875BD" w:rsidRDefault="00000000">
      <w:pPr>
        <w:rPr>
          <w:b/>
          <w:bCs/>
          <w:sz w:val="21"/>
          <w:szCs w:val="21"/>
        </w:rPr>
      </w:pPr>
      <w:r>
        <w:rPr>
          <w:rFonts w:hint="eastAsia"/>
          <w:b/>
          <w:bCs/>
          <w:sz w:val="21"/>
          <w:szCs w:val="21"/>
        </w:rPr>
        <w:t>项目描述：</w:t>
      </w:r>
    </w:p>
    <w:p w14:paraId="260F9C23" w14:textId="77777777" w:rsidR="006875BD" w:rsidRDefault="00000000">
      <w:pPr>
        <w:rPr>
          <w:sz w:val="21"/>
          <w:szCs w:val="21"/>
        </w:rPr>
      </w:pPr>
      <w:r>
        <w:rPr>
          <w:sz w:val="21"/>
          <w:szCs w:val="21"/>
        </w:rPr>
        <w:t>南沙信创云作为南沙区</w:t>
      </w:r>
      <w:r>
        <w:rPr>
          <w:sz w:val="21"/>
          <w:szCs w:val="21"/>
        </w:rPr>
        <w:t>”</w:t>
      </w:r>
      <w:r>
        <w:rPr>
          <w:sz w:val="21"/>
          <w:szCs w:val="21"/>
        </w:rPr>
        <w:t>数字城市</w:t>
      </w:r>
      <w:r>
        <w:rPr>
          <w:sz w:val="21"/>
          <w:szCs w:val="21"/>
        </w:rPr>
        <w:t>”</w:t>
      </w:r>
      <w:r>
        <w:rPr>
          <w:sz w:val="21"/>
          <w:szCs w:val="21"/>
        </w:rPr>
        <w:t>的基础底座，通过机房搬迁，扩容政务云平台资源，优化平台架构，新增国产云计算服务、裸金属服务、异地备份服务等多种云服务，为南沙区政务应用系统提供一个更可靠、更安全、更多样的运行环境。</w:t>
      </w:r>
      <w:r>
        <w:rPr>
          <w:rFonts w:hint="eastAsia"/>
          <w:sz w:val="21"/>
          <w:szCs w:val="21"/>
        </w:rPr>
        <w:t>本司</w:t>
      </w:r>
      <w:r>
        <w:rPr>
          <w:sz w:val="21"/>
          <w:szCs w:val="21"/>
        </w:rPr>
        <w:t>统一提供商用资源、国产海光、鲲鹏、飞腾等资源池为区级各部门部署不同类型的应用系统提供多样化的云服务。南沙区政务云通过国家等保三级规划和测评，真正做到安全可控，最安全的区级政务云。</w:t>
      </w:r>
      <w:r>
        <w:rPr>
          <w:rFonts w:hint="eastAsia"/>
          <w:sz w:val="21"/>
          <w:szCs w:val="21"/>
        </w:rPr>
        <w:t>项目金额：</w:t>
      </w:r>
      <w:r>
        <w:rPr>
          <w:rFonts w:hint="eastAsia"/>
          <w:sz w:val="21"/>
          <w:szCs w:val="21"/>
        </w:rPr>
        <w:t>3000W</w:t>
      </w:r>
      <w:r>
        <w:rPr>
          <w:rFonts w:hint="eastAsia"/>
          <w:sz w:val="21"/>
          <w:szCs w:val="21"/>
        </w:rPr>
        <w:t>。</w:t>
      </w:r>
    </w:p>
    <w:p w14:paraId="0A2AF209" w14:textId="77777777" w:rsidR="006875BD" w:rsidRDefault="006875BD">
      <w:pPr>
        <w:rPr>
          <w:sz w:val="21"/>
          <w:szCs w:val="21"/>
        </w:rPr>
      </w:pPr>
    </w:p>
    <w:p w14:paraId="18FA10A9" w14:textId="77777777" w:rsidR="006875BD" w:rsidRDefault="00000000">
      <w:pPr>
        <w:rPr>
          <w:b/>
          <w:bCs/>
          <w:sz w:val="21"/>
          <w:szCs w:val="21"/>
        </w:rPr>
      </w:pPr>
      <w:r>
        <w:rPr>
          <w:b/>
          <w:bCs/>
          <w:sz w:val="21"/>
          <w:szCs w:val="21"/>
        </w:rPr>
        <w:t>南沙车路协同</w:t>
      </w:r>
    </w:p>
    <w:p w14:paraId="7E4C182F" w14:textId="77777777" w:rsidR="006875BD" w:rsidRDefault="00000000">
      <w:pPr>
        <w:rPr>
          <w:b/>
          <w:bCs/>
          <w:sz w:val="21"/>
          <w:szCs w:val="21"/>
        </w:rPr>
      </w:pPr>
      <w:r>
        <w:rPr>
          <w:b/>
          <w:bCs/>
          <w:sz w:val="21"/>
          <w:szCs w:val="21"/>
        </w:rPr>
        <w:t>项目</w:t>
      </w:r>
      <w:r>
        <w:rPr>
          <w:rFonts w:hint="eastAsia"/>
          <w:b/>
          <w:bCs/>
          <w:sz w:val="21"/>
          <w:szCs w:val="21"/>
        </w:rPr>
        <w:t>描述</w:t>
      </w:r>
      <w:r>
        <w:rPr>
          <w:b/>
          <w:bCs/>
          <w:sz w:val="21"/>
          <w:szCs w:val="21"/>
        </w:rPr>
        <w:t>：</w:t>
      </w:r>
    </w:p>
    <w:p w14:paraId="17D9B619" w14:textId="77777777" w:rsidR="006875BD" w:rsidRDefault="00000000">
      <w:pPr>
        <w:rPr>
          <w:sz w:val="21"/>
          <w:szCs w:val="21"/>
        </w:rPr>
      </w:pPr>
      <w:r>
        <w:rPr>
          <w:sz w:val="21"/>
          <w:szCs w:val="21"/>
        </w:rPr>
        <w:t>带领团队深度参与了南沙区明珠湾智慧城市示范园新型城市基础设施首期建设，承建了车路协同云资源底座的建设，为南沙首期新城建及车联网相关业务系统提供安全可靠的资源平台提供包括计算服务、存储服务、网络服务以及备份服务在内的</w:t>
      </w:r>
      <w:proofErr w:type="spellStart"/>
      <w:r>
        <w:rPr>
          <w:sz w:val="21"/>
          <w:szCs w:val="21"/>
        </w:rPr>
        <w:t>laa</w:t>
      </w:r>
      <w:r>
        <w:rPr>
          <w:rFonts w:hint="eastAsia"/>
          <w:sz w:val="21"/>
          <w:szCs w:val="21"/>
        </w:rPr>
        <w:t>S</w:t>
      </w:r>
      <w:proofErr w:type="spellEnd"/>
      <w:r>
        <w:rPr>
          <w:sz w:val="21"/>
          <w:szCs w:val="21"/>
        </w:rPr>
        <w:t>服务、以及包含容器服务云数据库的</w:t>
      </w:r>
      <w:r>
        <w:rPr>
          <w:sz w:val="21"/>
          <w:szCs w:val="21"/>
        </w:rPr>
        <w:t>PaaS</w:t>
      </w:r>
      <w:r>
        <w:rPr>
          <w:sz w:val="21"/>
          <w:szCs w:val="21"/>
        </w:rPr>
        <w:t>服务，并按等保三级要求建设信息安全体系提供相应的云安全服务。</w:t>
      </w:r>
    </w:p>
    <w:p w14:paraId="4BCB1BA9" w14:textId="77777777" w:rsidR="006875BD" w:rsidRDefault="006875BD">
      <w:pPr>
        <w:rPr>
          <w:sz w:val="21"/>
          <w:szCs w:val="21"/>
        </w:rPr>
      </w:pPr>
    </w:p>
    <w:p w14:paraId="635F02D7" w14:textId="77777777" w:rsidR="006875BD" w:rsidRDefault="00000000">
      <w:pPr>
        <w:rPr>
          <w:b/>
          <w:bCs/>
          <w:sz w:val="21"/>
          <w:szCs w:val="21"/>
        </w:rPr>
      </w:pPr>
      <w:r>
        <w:rPr>
          <w:b/>
          <w:bCs/>
          <w:sz w:val="21"/>
          <w:szCs w:val="21"/>
        </w:rPr>
        <w:t>广州市荔湾区</w:t>
      </w:r>
      <w:r>
        <w:rPr>
          <w:b/>
          <w:bCs/>
          <w:sz w:val="21"/>
          <w:szCs w:val="21"/>
        </w:rPr>
        <w:t>AI</w:t>
      </w:r>
      <w:r>
        <w:rPr>
          <w:b/>
          <w:bCs/>
          <w:sz w:val="21"/>
          <w:szCs w:val="21"/>
        </w:rPr>
        <w:t>视觉中枢</w:t>
      </w:r>
      <w:r>
        <w:rPr>
          <w:rFonts w:hint="eastAsia"/>
          <w:b/>
          <w:bCs/>
          <w:sz w:val="21"/>
          <w:szCs w:val="21"/>
        </w:rPr>
        <w:t>项目</w:t>
      </w:r>
    </w:p>
    <w:p w14:paraId="780AF7D4" w14:textId="77777777" w:rsidR="006875BD" w:rsidRDefault="00000000">
      <w:pPr>
        <w:rPr>
          <w:b/>
          <w:bCs/>
          <w:sz w:val="21"/>
          <w:szCs w:val="21"/>
        </w:rPr>
      </w:pPr>
      <w:r>
        <w:rPr>
          <w:rFonts w:hint="eastAsia"/>
          <w:b/>
          <w:bCs/>
          <w:sz w:val="21"/>
          <w:szCs w:val="21"/>
        </w:rPr>
        <w:t>项目描述：</w:t>
      </w:r>
    </w:p>
    <w:p w14:paraId="0CBDF1AB" w14:textId="77777777" w:rsidR="006875BD" w:rsidRDefault="00000000">
      <w:pPr>
        <w:rPr>
          <w:sz w:val="21"/>
          <w:szCs w:val="21"/>
        </w:rPr>
      </w:pPr>
      <w:r>
        <w:rPr>
          <w:sz w:val="21"/>
          <w:szCs w:val="21"/>
        </w:rPr>
        <w:t>荔湾区根据《广东省数字政府省域治理</w:t>
      </w:r>
      <w:r>
        <w:rPr>
          <w:sz w:val="21"/>
          <w:szCs w:val="21"/>
        </w:rPr>
        <w:t>”</w:t>
      </w:r>
      <w:r>
        <w:rPr>
          <w:sz w:val="21"/>
          <w:szCs w:val="21"/>
        </w:rPr>
        <w:t>一网统管</w:t>
      </w:r>
      <w:r>
        <w:rPr>
          <w:sz w:val="21"/>
          <w:szCs w:val="21"/>
        </w:rPr>
        <w:t>”</w:t>
      </w:r>
      <w:r>
        <w:rPr>
          <w:sz w:val="21"/>
          <w:szCs w:val="21"/>
        </w:rPr>
        <w:t>三年行动计划》《广东省数字政府省域治理</w:t>
      </w:r>
      <w:r>
        <w:rPr>
          <w:sz w:val="21"/>
          <w:szCs w:val="21"/>
        </w:rPr>
        <w:t>“</w:t>
      </w:r>
      <w:r>
        <w:rPr>
          <w:sz w:val="21"/>
          <w:szCs w:val="21"/>
        </w:rPr>
        <w:t>一网统管地区试点工作方案》等文件要求，推进基层社会治理改革，充分发挥数据治理的作用，做精作细网格化工作。</w:t>
      </w:r>
    </w:p>
    <w:p w14:paraId="78F27E54" w14:textId="77777777" w:rsidR="006875BD" w:rsidRDefault="00000000">
      <w:pPr>
        <w:rPr>
          <w:b/>
          <w:bCs/>
          <w:sz w:val="21"/>
          <w:szCs w:val="21"/>
        </w:rPr>
      </w:pPr>
      <w:r>
        <w:rPr>
          <w:rFonts w:hint="eastAsia"/>
          <w:b/>
          <w:bCs/>
          <w:sz w:val="21"/>
          <w:szCs w:val="21"/>
        </w:rPr>
        <w:t>项目职责：</w:t>
      </w:r>
    </w:p>
    <w:p w14:paraId="44E94EFE" w14:textId="77777777" w:rsidR="006875BD" w:rsidRDefault="00000000">
      <w:pPr>
        <w:rPr>
          <w:sz w:val="21"/>
          <w:szCs w:val="21"/>
        </w:rPr>
      </w:pPr>
      <w:r>
        <w:rPr>
          <w:rFonts w:hint="eastAsia"/>
          <w:sz w:val="21"/>
          <w:szCs w:val="21"/>
        </w:rPr>
        <w:t>负责带领</w:t>
      </w:r>
      <w:r>
        <w:rPr>
          <w:sz w:val="21"/>
          <w:szCs w:val="21"/>
        </w:rPr>
        <w:t>团队做</w:t>
      </w:r>
      <w:r>
        <w:rPr>
          <w:rFonts w:hint="eastAsia"/>
          <w:sz w:val="21"/>
          <w:szCs w:val="21"/>
        </w:rPr>
        <w:t>维系</w:t>
      </w:r>
      <w:r>
        <w:rPr>
          <w:sz w:val="21"/>
          <w:szCs w:val="21"/>
        </w:rPr>
        <w:t>政数局领导关系，拉通运营商联通高层关系</w:t>
      </w:r>
      <w:r>
        <w:rPr>
          <w:rFonts w:hint="eastAsia"/>
          <w:sz w:val="21"/>
          <w:szCs w:val="21"/>
        </w:rPr>
        <w:t>；</w:t>
      </w:r>
      <w:r>
        <w:rPr>
          <w:sz w:val="21"/>
          <w:szCs w:val="21"/>
        </w:rPr>
        <w:t>为荔湾区建设了统一的视觉中枢平台，全面对接全区</w:t>
      </w:r>
      <w:r>
        <w:rPr>
          <w:sz w:val="21"/>
          <w:szCs w:val="21"/>
        </w:rPr>
        <w:t>11000+</w:t>
      </w:r>
      <w:r>
        <w:rPr>
          <w:sz w:val="21"/>
          <w:szCs w:val="21"/>
        </w:rPr>
        <w:t>视频点位（公安）</w:t>
      </w:r>
      <w:r>
        <w:rPr>
          <w:sz w:val="21"/>
          <w:szCs w:val="21"/>
        </w:rPr>
        <w:t>8500+</w:t>
      </w:r>
      <w:r>
        <w:rPr>
          <w:sz w:val="21"/>
          <w:szCs w:val="21"/>
        </w:rPr>
        <w:t>社会面点位（教育、政务），提供</w:t>
      </w:r>
      <w:r>
        <w:rPr>
          <w:sz w:val="21"/>
          <w:szCs w:val="21"/>
        </w:rPr>
        <w:t>400+</w:t>
      </w:r>
      <w:r>
        <w:rPr>
          <w:sz w:val="21"/>
          <w:szCs w:val="21"/>
        </w:rPr>
        <w:t>城市算法能力。</w:t>
      </w:r>
    </w:p>
    <w:sectPr w:rsidR="006875BD">
      <w:headerReference w:type="default" r:id="rId7"/>
      <w:footerReference w:type="default" r:id="rId8"/>
      <w:pgSz w:w="11906" w:h="16838"/>
      <w:pgMar w:top="1174" w:right="1440" w:bottom="1174" w:left="1440" w:header="851" w:footer="386"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AC87E" w14:textId="77777777" w:rsidR="00CD2771" w:rsidRDefault="00CD2771">
      <w:r>
        <w:separator/>
      </w:r>
    </w:p>
  </w:endnote>
  <w:endnote w:type="continuationSeparator" w:id="0">
    <w:p w14:paraId="5FFCB561" w14:textId="77777777" w:rsidR="00CD2771" w:rsidRDefault="00CD2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G Times">
    <w:altName w:val="Times New Roman"/>
    <w:panose1 w:val="020B0604020202020204"/>
    <w:charset w:val="00"/>
    <w:family w:val="roman"/>
    <w:pitch w:val="default"/>
    <w:sig w:usb0="00000000" w:usb1="00000000" w:usb2="00000000" w:usb3="00000000" w:csb0="00000001" w:csb1="00000000"/>
  </w:font>
  <w:font w:name="STSong-Light">
    <w:altName w:val="Times New Roman"/>
    <w:panose1 w:val="02010600040101010101"/>
    <w:charset w:val="00"/>
    <w:family w:val="roman"/>
    <w:pitch w:val="default"/>
    <w:sig w:usb0="00000000"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B94B" w14:textId="77777777" w:rsidR="006875BD" w:rsidRDefault="006875BD">
    <w:pPr>
      <w:spacing w:line="220" w:lineRule="atLeast"/>
      <w:ind w:right="158"/>
      <w:rPr>
        <w:rFonts w:ascii="微软雅黑" w:eastAsia="微软雅黑" w:hAnsi="微软雅黑"/>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9A9B6" w14:textId="77777777" w:rsidR="00CD2771" w:rsidRDefault="00CD2771">
      <w:r>
        <w:separator/>
      </w:r>
    </w:p>
  </w:footnote>
  <w:footnote w:type="continuationSeparator" w:id="0">
    <w:p w14:paraId="29ACB391" w14:textId="77777777" w:rsidR="00CD2771" w:rsidRDefault="00CD2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6ADB" w14:textId="77777777" w:rsidR="006875BD" w:rsidRDefault="006875BD">
    <w:pPr>
      <w:jc w:val="center"/>
      <w:rPr>
        <w:rFonts w:ascii="Arial" w:hAnsi="Arial" w:cs="Arial"/>
        <w:color w:val="000000"/>
        <w:sz w:val="18"/>
        <w:szCs w:val="18"/>
      </w:rPr>
    </w:pPr>
  </w:p>
  <w:p w14:paraId="56BFA406" w14:textId="77777777" w:rsidR="006875BD" w:rsidRDefault="00000000">
    <w:pPr>
      <w:jc w:val="right"/>
      <w:rPr>
        <w:rFonts w:ascii="宋体" w:hAnsi="宋体"/>
        <w:color w:val="000000"/>
        <w:sz w:val="21"/>
        <w:szCs w:val="21"/>
        <w:shd w:val="clear" w:color="auto" w:fill="FFFFFF"/>
      </w:rPr>
    </w:pPr>
    <w:r>
      <w:rPr>
        <w:rFonts w:ascii="微软雅黑" w:eastAsia="微软雅黑" w:hAnsi="微软雅黑"/>
        <w:b/>
        <w:color w:val="00B050"/>
        <w:sz w:val="18"/>
        <w:szCs w:val="18"/>
        <w:shd w:val="clear" w:color="auto" w:fill="FFFFF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1CF378"/>
    <w:multiLevelType w:val="singleLevel"/>
    <w:tmpl w:val="B41CF378"/>
    <w:lvl w:ilvl="0">
      <w:start w:val="1"/>
      <w:numFmt w:val="decimal"/>
      <w:suff w:val="space"/>
      <w:lvlText w:val="%1."/>
      <w:lvlJc w:val="left"/>
    </w:lvl>
  </w:abstractNum>
  <w:abstractNum w:abstractNumId="1" w15:restartNumberingAfterBreak="0">
    <w:nsid w:val="49647DE5"/>
    <w:multiLevelType w:val="singleLevel"/>
    <w:tmpl w:val="49647DE5"/>
    <w:lvl w:ilvl="0">
      <w:start w:val="1"/>
      <w:numFmt w:val="decimal"/>
      <w:suff w:val="space"/>
      <w:lvlText w:val="%1."/>
      <w:lvlJc w:val="left"/>
    </w:lvl>
  </w:abstractNum>
  <w:abstractNum w:abstractNumId="2" w15:restartNumberingAfterBreak="0">
    <w:nsid w:val="5331A2B4"/>
    <w:multiLevelType w:val="singleLevel"/>
    <w:tmpl w:val="5331A2B4"/>
    <w:lvl w:ilvl="0">
      <w:start w:val="1"/>
      <w:numFmt w:val="decimal"/>
      <w:suff w:val="space"/>
      <w:lvlText w:val="%1."/>
      <w:lvlJc w:val="left"/>
    </w:lvl>
  </w:abstractNum>
  <w:abstractNum w:abstractNumId="3" w15:restartNumberingAfterBreak="0">
    <w:nsid w:val="68CC01CA"/>
    <w:multiLevelType w:val="singleLevel"/>
    <w:tmpl w:val="68CC01CA"/>
    <w:lvl w:ilvl="0">
      <w:start w:val="1"/>
      <w:numFmt w:val="decimal"/>
      <w:suff w:val="space"/>
      <w:lvlText w:val="%1."/>
      <w:lvlJc w:val="left"/>
    </w:lvl>
  </w:abstractNum>
  <w:num w:numId="1" w16cid:durableId="128716343">
    <w:abstractNumId w:val="3"/>
  </w:num>
  <w:num w:numId="2" w16cid:durableId="74400369">
    <w:abstractNumId w:val="2"/>
  </w:num>
  <w:num w:numId="3" w16cid:durableId="1363750636">
    <w:abstractNumId w:val="0"/>
  </w:num>
  <w:num w:numId="4" w16cid:durableId="4331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A1MjE5MzMxMDM2ZDA1MWY4ZTIyZDQ3MjhjZjk1OGYifQ=="/>
  </w:docVars>
  <w:rsids>
    <w:rsidRoot w:val="00213138"/>
    <w:rsid w:val="0003086E"/>
    <w:rsid w:val="000375BC"/>
    <w:rsid w:val="00055540"/>
    <w:rsid w:val="0006761A"/>
    <w:rsid w:val="000A3251"/>
    <w:rsid w:val="000B16C9"/>
    <w:rsid w:val="000D10C4"/>
    <w:rsid w:val="000E3EE8"/>
    <w:rsid w:val="00116CE1"/>
    <w:rsid w:val="001234DF"/>
    <w:rsid w:val="00136790"/>
    <w:rsid w:val="0014176D"/>
    <w:rsid w:val="001418C8"/>
    <w:rsid w:val="001532BB"/>
    <w:rsid w:val="001662AF"/>
    <w:rsid w:val="00176414"/>
    <w:rsid w:val="00176CFF"/>
    <w:rsid w:val="0019070C"/>
    <w:rsid w:val="001919A2"/>
    <w:rsid w:val="0019625F"/>
    <w:rsid w:val="00196B20"/>
    <w:rsid w:val="001B06F3"/>
    <w:rsid w:val="001D0A94"/>
    <w:rsid w:val="001E294C"/>
    <w:rsid w:val="001E5447"/>
    <w:rsid w:val="001E7278"/>
    <w:rsid w:val="00213138"/>
    <w:rsid w:val="00215AD4"/>
    <w:rsid w:val="00220647"/>
    <w:rsid w:val="002266D2"/>
    <w:rsid w:val="00231D5D"/>
    <w:rsid w:val="00232530"/>
    <w:rsid w:val="002416A7"/>
    <w:rsid w:val="00243BCA"/>
    <w:rsid w:val="00243F43"/>
    <w:rsid w:val="002573C3"/>
    <w:rsid w:val="00261E98"/>
    <w:rsid w:val="002674DB"/>
    <w:rsid w:val="002B71B9"/>
    <w:rsid w:val="0030450B"/>
    <w:rsid w:val="003177F8"/>
    <w:rsid w:val="00323218"/>
    <w:rsid w:val="00327ABD"/>
    <w:rsid w:val="003335E1"/>
    <w:rsid w:val="0033392B"/>
    <w:rsid w:val="003559BE"/>
    <w:rsid w:val="00360A50"/>
    <w:rsid w:val="0036350D"/>
    <w:rsid w:val="00385DC5"/>
    <w:rsid w:val="003911C7"/>
    <w:rsid w:val="003A02AF"/>
    <w:rsid w:val="003B5F0A"/>
    <w:rsid w:val="003C019F"/>
    <w:rsid w:val="003D3280"/>
    <w:rsid w:val="003D38A9"/>
    <w:rsid w:val="003E3D1B"/>
    <w:rsid w:val="003F55E8"/>
    <w:rsid w:val="003F5A35"/>
    <w:rsid w:val="003F79BF"/>
    <w:rsid w:val="00412674"/>
    <w:rsid w:val="00416CAC"/>
    <w:rsid w:val="00430342"/>
    <w:rsid w:val="00433BBC"/>
    <w:rsid w:val="004537DB"/>
    <w:rsid w:val="004B4CEA"/>
    <w:rsid w:val="004F0C46"/>
    <w:rsid w:val="004F10E2"/>
    <w:rsid w:val="004F7375"/>
    <w:rsid w:val="0051253E"/>
    <w:rsid w:val="00520181"/>
    <w:rsid w:val="005426AF"/>
    <w:rsid w:val="005813F7"/>
    <w:rsid w:val="0058250A"/>
    <w:rsid w:val="005971CC"/>
    <w:rsid w:val="005A2DE8"/>
    <w:rsid w:val="005A6E32"/>
    <w:rsid w:val="005F5947"/>
    <w:rsid w:val="005F7DF1"/>
    <w:rsid w:val="00606444"/>
    <w:rsid w:val="00611AC0"/>
    <w:rsid w:val="006174F6"/>
    <w:rsid w:val="00647900"/>
    <w:rsid w:val="006479F0"/>
    <w:rsid w:val="00657E0B"/>
    <w:rsid w:val="00661709"/>
    <w:rsid w:val="00670720"/>
    <w:rsid w:val="006719F5"/>
    <w:rsid w:val="006875BD"/>
    <w:rsid w:val="00687DDA"/>
    <w:rsid w:val="00690701"/>
    <w:rsid w:val="00695D70"/>
    <w:rsid w:val="00697E48"/>
    <w:rsid w:val="006A20A1"/>
    <w:rsid w:val="006A62F8"/>
    <w:rsid w:val="006B1B20"/>
    <w:rsid w:val="006B5918"/>
    <w:rsid w:val="006C50E2"/>
    <w:rsid w:val="006F529C"/>
    <w:rsid w:val="00737E8F"/>
    <w:rsid w:val="00762F9A"/>
    <w:rsid w:val="00786EC7"/>
    <w:rsid w:val="007A0D56"/>
    <w:rsid w:val="007A369A"/>
    <w:rsid w:val="007C06AC"/>
    <w:rsid w:val="007D106F"/>
    <w:rsid w:val="007E277B"/>
    <w:rsid w:val="0080044E"/>
    <w:rsid w:val="00805861"/>
    <w:rsid w:val="00806EDC"/>
    <w:rsid w:val="00823F4F"/>
    <w:rsid w:val="00826A5B"/>
    <w:rsid w:val="008472DC"/>
    <w:rsid w:val="00857518"/>
    <w:rsid w:val="00864E22"/>
    <w:rsid w:val="008C5C00"/>
    <w:rsid w:val="009029CC"/>
    <w:rsid w:val="009126FC"/>
    <w:rsid w:val="00941453"/>
    <w:rsid w:val="00975AF3"/>
    <w:rsid w:val="00976F31"/>
    <w:rsid w:val="009A2D1C"/>
    <w:rsid w:val="009A425B"/>
    <w:rsid w:val="009B2BF8"/>
    <w:rsid w:val="009D7100"/>
    <w:rsid w:val="009F7A87"/>
    <w:rsid w:val="00A0300D"/>
    <w:rsid w:val="00A11835"/>
    <w:rsid w:val="00A230B8"/>
    <w:rsid w:val="00A320BF"/>
    <w:rsid w:val="00A56C7A"/>
    <w:rsid w:val="00A61448"/>
    <w:rsid w:val="00A70E72"/>
    <w:rsid w:val="00A76C76"/>
    <w:rsid w:val="00A82809"/>
    <w:rsid w:val="00A954E3"/>
    <w:rsid w:val="00AB665A"/>
    <w:rsid w:val="00AC0A9F"/>
    <w:rsid w:val="00AD4527"/>
    <w:rsid w:val="00AE30B0"/>
    <w:rsid w:val="00AE77EF"/>
    <w:rsid w:val="00AF3750"/>
    <w:rsid w:val="00AF7BD5"/>
    <w:rsid w:val="00B06EAB"/>
    <w:rsid w:val="00B13AC9"/>
    <w:rsid w:val="00B30395"/>
    <w:rsid w:val="00B4078B"/>
    <w:rsid w:val="00B47FBB"/>
    <w:rsid w:val="00B6473F"/>
    <w:rsid w:val="00B75C01"/>
    <w:rsid w:val="00B804E3"/>
    <w:rsid w:val="00B81575"/>
    <w:rsid w:val="00BB2AF3"/>
    <w:rsid w:val="00BB5FE0"/>
    <w:rsid w:val="00BC6A19"/>
    <w:rsid w:val="00BC7C72"/>
    <w:rsid w:val="00C51337"/>
    <w:rsid w:val="00C519A7"/>
    <w:rsid w:val="00C520A1"/>
    <w:rsid w:val="00C8459A"/>
    <w:rsid w:val="00C90090"/>
    <w:rsid w:val="00CA0FF8"/>
    <w:rsid w:val="00CA78A1"/>
    <w:rsid w:val="00CB7952"/>
    <w:rsid w:val="00CC3269"/>
    <w:rsid w:val="00CD2771"/>
    <w:rsid w:val="00CF5726"/>
    <w:rsid w:val="00D03A5C"/>
    <w:rsid w:val="00D05C03"/>
    <w:rsid w:val="00D12869"/>
    <w:rsid w:val="00D360E8"/>
    <w:rsid w:val="00D50F16"/>
    <w:rsid w:val="00D72291"/>
    <w:rsid w:val="00D736C1"/>
    <w:rsid w:val="00D931B9"/>
    <w:rsid w:val="00DA1A33"/>
    <w:rsid w:val="00DA2617"/>
    <w:rsid w:val="00DB7FCE"/>
    <w:rsid w:val="00DC2A49"/>
    <w:rsid w:val="00DF3E9B"/>
    <w:rsid w:val="00E04914"/>
    <w:rsid w:val="00E07DA0"/>
    <w:rsid w:val="00E10177"/>
    <w:rsid w:val="00E10699"/>
    <w:rsid w:val="00E23CF0"/>
    <w:rsid w:val="00E25D46"/>
    <w:rsid w:val="00E46758"/>
    <w:rsid w:val="00E614A7"/>
    <w:rsid w:val="00EC38F9"/>
    <w:rsid w:val="00ED35DA"/>
    <w:rsid w:val="00ED7C52"/>
    <w:rsid w:val="00F33075"/>
    <w:rsid w:val="00F430EF"/>
    <w:rsid w:val="00F475AC"/>
    <w:rsid w:val="00F57CB2"/>
    <w:rsid w:val="00F57E0F"/>
    <w:rsid w:val="00F632C4"/>
    <w:rsid w:val="00F643D8"/>
    <w:rsid w:val="00F70784"/>
    <w:rsid w:val="00FB4ACF"/>
    <w:rsid w:val="00FB68DF"/>
    <w:rsid w:val="00FE6AD8"/>
    <w:rsid w:val="01E90844"/>
    <w:rsid w:val="022E6257"/>
    <w:rsid w:val="03101E00"/>
    <w:rsid w:val="03830824"/>
    <w:rsid w:val="039E2346"/>
    <w:rsid w:val="03BF6E60"/>
    <w:rsid w:val="04AD3DAA"/>
    <w:rsid w:val="050D65F7"/>
    <w:rsid w:val="08D82863"/>
    <w:rsid w:val="09EA6F07"/>
    <w:rsid w:val="0B325009"/>
    <w:rsid w:val="0BEF4CA9"/>
    <w:rsid w:val="0D95646D"/>
    <w:rsid w:val="0E8141E2"/>
    <w:rsid w:val="0F781A43"/>
    <w:rsid w:val="0FF21716"/>
    <w:rsid w:val="103A5EDF"/>
    <w:rsid w:val="120D6691"/>
    <w:rsid w:val="128B590F"/>
    <w:rsid w:val="17C074F9"/>
    <w:rsid w:val="17CB3F68"/>
    <w:rsid w:val="199B6211"/>
    <w:rsid w:val="1A3933D9"/>
    <w:rsid w:val="1BB34C9E"/>
    <w:rsid w:val="1DD71A40"/>
    <w:rsid w:val="1E21655D"/>
    <w:rsid w:val="235C0A1E"/>
    <w:rsid w:val="25013FA3"/>
    <w:rsid w:val="255177DD"/>
    <w:rsid w:val="2C2220D9"/>
    <w:rsid w:val="2CDB1412"/>
    <w:rsid w:val="2D2F0F51"/>
    <w:rsid w:val="314D16E5"/>
    <w:rsid w:val="332B37FF"/>
    <w:rsid w:val="33945FB2"/>
    <w:rsid w:val="343A1643"/>
    <w:rsid w:val="368E38A6"/>
    <w:rsid w:val="37971BCD"/>
    <w:rsid w:val="37C93D50"/>
    <w:rsid w:val="393D2C48"/>
    <w:rsid w:val="394C65D5"/>
    <w:rsid w:val="398E0DAD"/>
    <w:rsid w:val="3A8678D5"/>
    <w:rsid w:val="3AE23638"/>
    <w:rsid w:val="3CAD05FD"/>
    <w:rsid w:val="3EBF1B09"/>
    <w:rsid w:val="403C77DC"/>
    <w:rsid w:val="40A62E81"/>
    <w:rsid w:val="40FB36E7"/>
    <w:rsid w:val="436808C1"/>
    <w:rsid w:val="43A833B4"/>
    <w:rsid w:val="44095C00"/>
    <w:rsid w:val="465857FB"/>
    <w:rsid w:val="4ADF76BB"/>
    <w:rsid w:val="4BA206E8"/>
    <w:rsid w:val="4CDC007E"/>
    <w:rsid w:val="4DA30E74"/>
    <w:rsid w:val="4E7C16C5"/>
    <w:rsid w:val="4EB33338"/>
    <w:rsid w:val="4FC06760"/>
    <w:rsid w:val="51960CEF"/>
    <w:rsid w:val="535F4FF6"/>
    <w:rsid w:val="53F02939"/>
    <w:rsid w:val="54B33E69"/>
    <w:rsid w:val="555416F1"/>
    <w:rsid w:val="565E1121"/>
    <w:rsid w:val="575136EE"/>
    <w:rsid w:val="57D61E46"/>
    <w:rsid w:val="589B7C31"/>
    <w:rsid w:val="59443528"/>
    <w:rsid w:val="5A9618DF"/>
    <w:rsid w:val="5ADC7773"/>
    <w:rsid w:val="5B99131B"/>
    <w:rsid w:val="5C9F7056"/>
    <w:rsid w:val="5F105C3D"/>
    <w:rsid w:val="604E5031"/>
    <w:rsid w:val="64B76814"/>
    <w:rsid w:val="656868A0"/>
    <w:rsid w:val="66BB5028"/>
    <w:rsid w:val="6A813E93"/>
    <w:rsid w:val="6AA57BA0"/>
    <w:rsid w:val="6B142F59"/>
    <w:rsid w:val="6D6F7427"/>
    <w:rsid w:val="6D7B2E1B"/>
    <w:rsid w:val="6DB34087"/>
    <w:rsid w:val="70091DE5"/>
    <w:rsid w:val="70FC314C"/>
    <w:rsid w:val="70FC32E3"/>
    <w:rsid w:val="72685E41"/>
    <w:rsid w:val="732950C8"/>
    <w:rsid w:val="73465C7A"/>
    <w:rsid w:val="73972979"/>
    <w:rsid w:val="74E61666"/>
    <w:rsid w:val="7A6C25CA"/>
    <w:rsid w:val="7B571836"/>
    <w:rsid w:val="7DBF0B02"/>
    <w:rsid w:val="7FBA0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692E9ED"/>
  <w15:docId w15:val="{8A98A5E2-0CE4-DF41-9CC6-5A83D0564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overflowPunct w:val="0"/>
      <w:autoSpaceDE w:val="0"/>
      <w:autoSpaceDN w:val="0"/>
      <w:adjustRightInd w:val="0"/>
      <w:textAlignment w:val="baseline"/>
    </w:pPr>
  </w:style>
  <w:style w:type="paragraph" w:styleId="1">
    <w:name w:val="heading 1"/>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0"/>
    <w:qFormat/>
    <w:pPr>
      <w:keepNext/>
      <w:jc w:val="center"/>
      <w:outlineLvl w:val="1"/>
    </w:pPr>
    <w:rPr>
      <w:b/>
      <w:i/>
      <w:sz w:val="44"/>
      <w:u w:val="single"/>
    </w:rPr>
  </w:style>
  <w:style w:type="paragraph" w:styleId="3">
    <w:name w:val="heading 3"/>
    <w:autoRedefine/>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autoRedefine/>
    <w:uiPriority w:val="9"/>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uiPriority w:val="9"/>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autoRedefine/>
    <w:uiPriority w:val="9"/>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autoRedefine/>
    <w:qFormat/>
    <w:pPr>
      <w:ind w:firstLine="420"/>
    </w:pPr>
  </w:style>
  <w:style w:type="paragraph" w:styleId="a4">
    <w:name w:val="Balloon Text"/>
    <w:basedOn w:val="a"/>
    <w:link w:val="a5"/>
    <w:qFormat/>
    <w:rPr>
      <w:sz w:val="18"/>
      <w:szCs w:val="18"/>
    </w:rPr>
  </w:style>
  <w:style w:type="paragraph" w:styleId="a6">
    <w:name w:val="footer"/>
    <w:basedOn w:val="a"/>
    <w:link w:val="a7"/>
    <w:uiPriority w:val="99"/>
    <w:qFormat/>
    <w:pPr>
      <w:tabs>
        <w:tab w:val="center" w:pos="4153"/>
        <w:tab w:val="right" w:pos="8306"/>
      </w:tabs>
      <w:snapToGrid w:val="0"/>
    </w:pPr>
    <w:rPr>
      <w:sz w:val="18"/>
      <w:szCs w:val="18"/>
    </w:rPr>
  </w:style>
  <w:style w:type="paragraph" w:styleId="a8">
    <w:name w:val="header"/>
    <w:basedOn w:val="a"/>
    <w:link w:val="10"/>
    <w:autoRedefine/>
    <w:uiPriority w:val="99"/>
    <w:qFormat/>
    <w:pPr>
      <w:pBdr>
        <w:bottom w:val="single" w:sz="6" w:space="1" w:color="auto"/>
      </w:pBdr>
      <w:tabs>
        <w:tab w:val="center" w:pos="4153"/>
        <w:tab w:val="right" w:pos="8306"/>
      </w:tabs>
      <w:snapToGrid w:val="0"/>
      <w:jc w:val="center"/>
    </w:pPr>
    <w:rPr>
      <w:sz w:val="18"/>
      <w:szCs w:val="18"/>
    </w:rPr>
  </w:style>
  <w:style w:type="paragraph" w:styleId="20">
    <w:name w:val="Body Text 2"/>
    <w:basedOn w:val="a"/>
    <w:autoRedefine/>
    <w:qFormat/>
    <w:pPr>
      <w:overflowPunct/>
      <w:autoSpaceDE/>
      <w:autoSpaceDN/>
      <w:adjustRightInd/>
      <w:spacing w:before="100" w:beforeAutospacing="1" w:after="100" w:afterAutospacing="1"/>
      <w:textAlignment w:val="auto"/>
    </w:pPr>
    <w:rPr>
      <w:rFonts w:ascii="宋体" w:hAnsi="宋体"/>
      <w:sz w:val="24"/>
      <w:szCs w:val="24"/>
    </w:rPr>
  </w:style>
  <w:style w:type="paragraph" w:styleId="a9">
    <w:name w:val="Normal (Web)"/>
    <w:basedOn w:val="a"/>
    <w:qFormat/>
    <w:rPr>
      <w:sz w:val="24"/>
    </w:rPr>
  </w:style>
  <w:style w:type="table" w:styleId="aa">
    <w:name w:val="Table Grid"/>
    <w:basedOn w:val="a2"/>
    <w:autoRedefine/>
    <w:qFormat/>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1"/>
    <w:qFormat/>
    <w:rPr>
      <w:b/>
    </w:rPr>
  </w:style>
  <w:style w:type="character" w:styleId="ac">
    <w:name w:val="page number"/>
    <w:basedOn w:val="a1"/>
    <w:qFormat/>
  </w:style>
  <w:style w:type="character" w:styleId="ad">
    <w:name w:val="Hyperlink"/>
    <w:autoRedefine/>
    <w:qFormat/>
    <w:rPr>
      <w:color w:val="0000FF"/>
      <w:u w:val="single"/>
    </w:rPr>
  </w:style>
  <w:style w:type="character" w:customStyle="1" w:styleId="a5">
    <w:name w:val="批注框文本 字符"/>
    <w:basedOn w:val="a1"/>
    <w:link w:val="a4"/>
    <w:qFormat/>
    <w:rPr>
      <w:sz w:val="18"/>
      <w:szCs w:val="18"/>
    </w:rPr>
  </w:style>
  <w:style w:type="character" w:customStyle="1" w:styleId="a7">
    <w:name w:val="页脚 字符"/>
    <w:link w:val="a6"/>
    <w:autoRedefine/>
    <w:uiPriority w:val="99"/>
    <w:qFormat/>
    <w:rPr>
      <w:sz w:val="18"/>
      <w:szCs w:val="18"/>
    </w:rPr>
  </w:style>
  <w:style w:type="character" w:customStyle="1" w:styleId="10">
    <w:name w:val="页眉 字符1"/>
    <w:link w:val="a8"/>
    <w:uiPriority w:val="99"/>
    <w:qFormat/>
    <w:rPr>
      <w:sz w:val="18"/>
      <w:szCs w:val="18"/>
    </w:rPr>
  </w:style>
  <w:style w:type="paragraph" w:customStyle="1" w:styleId="ResumeEducation">
    <w:name w:val="Resume/Education"/>
    <w:basedOn w:val="a"/>
    <w:qFormat/>
    <w:pPr>
      <w:tabs>
        <w:tab w:val="left" w:pos="2160"/>
        <w:tab w:val="left" w:pos="2520"/>
        <w:tab w:val="left" w:pos="2880"/>
      </w:tabs>
      <w:overflowPunct/>
      <w:autoSpaceDE/>
      <w:autoSpaceDN/>
      <w:adjustRightInd/>
      <w:jc w:val="both"/>
      <w:textAlignment w:val="auto"/>
    </w:pPr>
    <w:rPr>
      <w:rFonts w:ascii="CG Times" w:hAnsi="CG Times"/>
      <w:sz w:val="24"/>
      <w:lang w:val="en-GB" w:eastAsia="en-US"/>
    </w:rPr>
  </w:style>
  <w:style w:type="paragraph" w:customStyle="1" w:styleId="ResumeCompany">
    <w:name w:val="Resume/Company"/>
    <w:basedOn w:val="a"/>
    <w:qFormat/>
    <w:pPr>
      <w:tabs>
        <w:tab w:val="left" w:pos="3240"/>
        <w:tab w:val="left" w:pos="4320"/>
        <w:tab w:val="left" w:pos="4594"/>
      </w:tabs>
      <w:overflowPunct/>
      <w:autoSpaceDE/>
      <w:autoSpaceDN/>
      <w:adjustRightInd/>
      <w:textAlignment w:val="auto"/>
    </w:pPr>
    <w:rPr>
      <w:rFonts w:ascii="CG Times" w:hAnsi="CG Times"/>
      <w:sz w:val="24"/>
      <w:lang w:val="en-GB" w:eastAsia="en-US"/>
    </w:rPr>
  </w:style>
  <w:style w:type="character" w:customStyle="1" w:styleId="ae">
    <w:name w:val="页眉 字符"/>
    <w:autoRedefine/>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529</Words>
  <Characters>3021</Characters>
  <Application>Microsoft Office Word</Application>
  <DocSecurity>0</DocSecurity>
  <Lines>25</Lines>
  <Paragraphs>7</Paragraphs>
  <ScaleCrop>false</ScaleCrop>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TO：INVENSYS (QINGDAO)</dc:title>
  <dc:creator>*</dc:creator>
  <cp:lastModifiedBy>a468</cp:lastModifiedBy>
  <cp:revision>3</cp:revision>
  <dcterms:created xsi:type="dcterms:W3CDTF">2023-07-21T05:54:00Z</dcterms:created>
  <dcterms:modified xsi:type="dcterms:W3CDTF">2025-11-21T01:02:00Z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2530570E164A4824B49510C70B48D9A4_13</vt:lpwstr>
  </property>
  <property fmtid="{D5CDD505-2E9C-101B-9397-08002B2CF9AE}" pid="3" name="KSOProductBuildVer">
    <vt:lpwstr>2052-12.1.0.21171</vt:lpwstr>
  </property>
  <property fmtid="{D5CDD505-2E9C-101B-9397-08002B2CF9AE}" pid="4" name="KSOTemplateDocerSaveRecord">
    <vt:lpwstr>eyJoZGlkIjoiMDIzY2YxZWM5YTRlMjQ4MTQ1OTY3Y2UzZDBiMTNjNjQiLCJ1c2VySWQiOiIyNTY4NjIxNDkifQ==</vt:lpwstr>
  </property>
</Properties>
</file>