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C7D5172">
      <w:pPr>
        <w:spacing w:line="300" w:lineRule="auto"/>
        <w:jc w:val="center"/>
        <w:rPr>
          <w:b/>
          <w:sz w:val="10"/>
          <w:szCs w:val="10"/>
          <w:lang w:eastAsia="zh-CN"/>
        </w:rPr>
      </w:pPr>
    </w:p>
    <w:p w14:paraId="2B8E8C5C">
      <w:pPr>
        <w:spacing w:line="300" w:lineRule="auto"/>
        <w:ind w:firstLine="3947" w:firstLineChars="1092"/>
        <w:rPr>
          <w:b/>
          <w:sz w:val="36"/>
          <w:szCs w:val="36"/>
          <w:lang w:eastAsia="zh-CN"/>
        </w:rPr>
      </w:pPr>
      <w:r>
        <w:rPr>
          <w:rFonts w:hint="eastAsia"/>
          <w:b/>
          <w:sz w:val="36"/>
          <w:szCs w:val="36"/>
          <w:lang w:val="en-US" w:eastAsia="zh-CN"/>
        </w:rPr>
        <w:t>胡福荣</w:t>
      </w:r>
      <w:r>
        <w:rPr>
          <w:b/>
          <w:sz w:val="36"/>
          <w:szCs w:val="36"/>
          <w:lang w:eastAsia="zh-CN"/>
        </w:rPr>
        <w:t>推荐报告</w:t>
      </w:r>
    </w:p>
    <w:p w14:paraId="663CED94">
      <w:pPr>
        <w:spacing w:line="300" w:lineRule="auto"/>
        <w:ind w:firstLine="6939" w:firstLineChars="2880"/>
        <w:rPr>
          <w:b/>
          <w:bCs/>
          <w:lang w:eastAsia="zh-CN"/>
        </w:rPr>
      </w:pPr>
      <w:r>
        <w:rPr>
          <w:rFonts w:hint="eastAsia"/>
          <w:b/>
          <w:bCs/>
          <w:lang w:eastAsia="zh-CN"/>
        </w:rPr>
        <w:t xml:space="preserve"> </w:t>
      </w:r>
    </w:p>
    <w:p w14:paraId="2AE3619B">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71ADFCBE">
        <w:tblPrEx>
          <w:tblCellMar>
            <w:top w:w="0" w:type="dxa"/>
            <w:left w:w="108" w:type="dxa"/>
            <w:bottom w:w="0" w:type="dxa"/>
            <w:right w:w="108" w:type="dxa"/>
          </w:tblCellMar>
        </w:tblPrEx>
        <w:tc>
          <w:tcPr>
            <w:tcW w:w="7298" w:type="dxa"/>
          </w:tcPr>
          <w:p w14:paraId="0F48F258">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胡福荣</w:t>
            </w:r>
          </w:p>
        </w:tc>
        <w:tc>
          <w:tcPr>
            <w:tcW w:w="2625" w:type="dxa"/>
            <w:vMerge w:val="restart"/>
          </w:tcPr>
          <w:p w14:paraId="6DF4F3F4">
            <w:pPr>
              <w:tabs>
                <w:tab w:val="left" w:pos="2700"/>
                <w:tab w:val="left" w:pos="3000"/>
                <w:tab w:val="left" w:pos="7965"/>
              </w:tabs>
              <w:spacing w:line="300" w:lineRule="auto"/>
              <w:rPr>
                <w:lang w:eastAsia="zh-CN"/>
              </w:rPr>
            </w:pPr>
          </w:p>
        </w:tc>
      </w:tr>
      <w:tr w14:paraId="693A64D1">
        <w:tblPrEx>
          <w:tblCellMar>
            <w:top w:w="0" w:type="dxa"/>
            <w:left w:w="108" w:type="dxa"/>
            <w:bottom w:w="0" w:type="dxa"/>
            <w:right w:w="108" w:type="dxa"/>
          </w:tblCellMar>
        </w:tblPrEx>
        <w:trPr>
          <w:trHeight w:val="272" w:hRule="atLeast"/>
        </w:trPr>
        <w:tc>
          <w:tcPr>
            <w:tcW w:w="7298" w:type="dxa"/>
          </w:tcPr>
          <w:p w14:paraId="6EF806FF">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1990</w:t>
            </w:r>
          </w:p>
        </w:tc>
        <w:tc>
          <w:tcPr>
            <w:tcW w:w="2625" w:type="dxa"/>
            <w:vMerge w:val="continue"/>
          </w:tcPr>
          <w:p w14:paraId="36277A1A">
            <w:pPr>
              <w:tabs>
                <w:tab w:val="left" w:pos="2700"/>
                <w:tab w:val="left" w:pos="3000"/>
                <w:tab w:val="left" w:pos="7965"/>
              </w:tabs>
              <w:spacing w:line="300" w:lineRule="auto"/>
              <w:ind w:firstLine="120" w:firstLineChars="50"/>
              <w:rPr>
                <w:lang w:eastAsia="zh-CN"/>
              </w:rPr>
            </w:pPr>
          </w:p>
        </w:tc>
      </w:tr>
      <w:tr w14:paraId="3511F81D">
        <w:tblPrEx>
          <w:tblCellMar>
            <w:top w:w="0" w:type="dxa"/>
            <w:left w:w="108" w:type="dxa"/>
            <w:bottom w:w="0" w:type="dxa"/>
            <w:right w:w="108" w:type="dxa"/>
          </w:tblCellMar>
        </w:tblPrEx>
        <w:trPr>
          <w:trHeight w:val="221" w:hRule="atLeast"/>
        </w:trPr>
        <w:tc>
          <w:tcPr>
            <w:tcW w:w="7298" w:type="dxa"/>
          </w:tcPr>
          <w:p w14:paraId="441447C6">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394A6BCC">
            <w:pPr>
              <w:tabs>
                <w:tab w:val="left" w:pos="2700"/>
                <w:tab w:val="left" w:pos="3000"/>
                <w:tab w:val="left" w:pos="7965"/>
              </w:tabs>
              <w:spacing w:line="300" w:lineRule="auto"/>
              <w:ind w:firstLine="120" w:firstLineChars="50"/>
              <w:rPr>
                <w:lang w:eastAsia="zh-CN"/>
              </w:rPr>
            </w:pPr>
          </w:p>
        </w:tc>
      </w:tr>
      <w:tr w14:paraId="258A4551">
        <w:tblPrEx>
          <w:tblCellMar>
            <w:top w:w="0" w:type="dxa"/>
            <w:left w:w="108" w:type="dxa"/>
            <w:bottom w:w="0" w:type="dxa"/>
            <w:right w:w="108" w:type="dxa"/>
          </w:tblCellMar>
        </w:tblPrEx>
        <w:trPr>
          <w:trHeight w:val="90" w:hRule="atLeast"/>
        </w:trPr>
        <w:tc>
          <w:tcPr>
            <w:tcW w:w="7298" w:type="dxa"/>
          </w:tcPr>
          <w:p w14:paraId="1E46C67C">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bCs/>
                <w:lang w:val="en-US" w:eastAsia="zh-CN"/>
              </w:rPr>
              <w:t>已婚已育</w:t>
            </w:r>
          </w:p>
        </w:tc>
        <w:tc>
          <w:tcPr>
            <w:tcW w:w="2625" w:type="dxa"/>
            <w:vMerge w:val="continue"/>
          </w:tcPr>
          <w:p w14:paraId="544E4F12">
            <w:pPr>
              <w:tabs>
                <w:tab w:val="left" w:pos="2700"/>
                <w:tab w:val="left" w:pos="3000"/>
                <w:tab w:val="left" w:pos="7965"/>
              </w:tabs>
              <w:spacing w:line="300" w:lineRule="auto"/>
              <w:ind w:firstLine="120" w:firstLineChars="50"/>
              <w:rPr>
                <w:lang w:eastAsia="zh-CN"/>
              </w:rPr>
            </w:pPr>
          </w:p>
        </w:tc>
      </w:tr>
      <w:tr w14:paraId="29FEF55A">
        <w:tblPrEx>
          <w:tblCellMar>
            <w:top w:w="0" w:type="dxa"/>
            <w:left w:w="108" w:type="dxa"/>
            <w:bottom w:w="0" w:type="dxa"/>
            <w:right w:w="108" w:type="dxa"/>
          </w:tblCellMar>
        </w:tblPrEx>
        <w:trPr>
          <w:trHeight w:val="242" w:hRule="atLeast"/>
        </w:trPr>
        <w:tc>
          <w:tcPr>
            <w:tcW w:w="7298" w:type="dxa"/>
          </w:tcPr>
          <w:p w14:paraId="38BF8369">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p>
        </w:tc>
        <w:tc>
          <w:tcPr>
            <w:tcW w:w="2625" w:type="dxa"/>
            <w:vMerge w:val="continue"/>
          </w:tcPr>
          <w:p w14:paraId="56F9A06C">
            <w:pPr>
              <w:tabs>
                <w:tab w:val="left" w:pos="2700"/>
                <w:tab w:val="left" w:pos="3000"/>
                <w:tab w:val="left" w:pos="7965"/>
              </w:tabs>
              <w:spacing w:line="300" w:lineRule="auto"/>
              <w:ind w:firstLine="120" w:firstLineChars="50"/>
              <w:rPr>
                <w:lang w:eastAsia="zh-CN"/>
              </w:rPr>
            </w:pPr>
          </w:p>
        </w:tc>
      </w:tr>
      <w:tr w14:paraId="0E44BAA3">
        <w:tblPrEx>
          <w:tblCellMar>
            <w:top w:w="0" w:type="dxa"/>
            <w:left w:w="108" w:type="dxa"/>
            <w:bottom w:w="0" w:type="dxa"/>
            <w:right w:w="108" w:type="dxa"/>
          </w:tblCellMar>
        </w:tblPrEx>
        <w:trPr>
          <w:trHeight w:val="333" w:hRule="atLeast"/>
        </w:trPr>
        <w:tc>
          <w:tcPr>
            <w:tcW w:w="7298" w:type="dxa"/>
          </w:tcPr>
          <w:p w14:paraId="3E18A507">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杭州</w:t>
            </w:r>
          </w:p>
        </w:tc>
        <w:tc>
          <w:tcPr>
            <w:tcW w:w="2625" w:type="dxa"/>
            <w:vMerge w:val="continue"/>
          </w:tcPr>
          <w:p w14:paraId="4B28F624">
            <w:pPr>
              <w:tabs>
                <w:tab w:val="left" w:pos="2700"/>
                <w:tab w:val="left" w:pos="3000"/>
                <w:tab w:val="left" w:pos="7965"/>
              </w:tabs>
              <w:spacing w:line="300" w:lineRule="auto"/>
              <w:ind w:firstLine="120" w:firstLineChars="50"/>
              <w:rPr>
                <w:lang w:eastAsia="zh-CN"/>
              </w:rPr>
            </w:pPr>
          </w:p>
        </w:tc>
      </w:tr>
      <w:tr w14:paraId="35937498">
        <w:tblPrEx>
          <w:tblCellMar>
            <w:top w:w="0" w:type="dxa"/>
            <w:left w:w="108" w:type="dxa"/>
            <w:bottom w:w="0" w:type="dxa"/>
            <w:right w:w="108" w:type="dxa"/>
          </w:tblCellMar>
        </w:tblPrEx>
        <w:tc>
          <w:tcPr>
            <w:tcW w:w="7298" w:type="dxa"/>
          </w:tcPr>
          <w:p w14:paraId="34C5D27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18911687299</w:t>
            </w:r>
          </w:p>
        </w:tc>
        <w:tc>
          <w:tcPr>
            <w:tcW w:w="2625" w:type="dxa"/>
            <w:vMerge w:val="continue"/>
          </w:tcPr>
          <w:p w14:paraId="0B287619">
            <w:pPr>
              <w:tabs>
                <w:tab w:val="left" w:pos="2700"/>
                <w:tab w:val="left" w:pos="3000"/>
                <w:tab w:val="left" w:pos="7965"/>
              </w:tabs>
              <w:spacing w:line="300" w:lineRule="auto"/>
              <w:rPr>
                <w:lang w:eastAsia="zh-CN"/>
              </w:rPr>
            </w:pPr>
          </w:p>
        </w:tc>
      </w:tr>
      <w:tr w14:paraId="740DB71D">
        <w:tblPrEx>
          <w:tblCellMar>
            <w:top w:w="0" w:type="dxa"/>
            <w:left w:w="108" w:type="dxa"/>
            <w:bottom w:w="0" w:type="dxa"/>
            <w:right w:w="108" w:type="dxa"/>
          </w:tblCellMar>
        </w:tblPrEx>
        <w:tc>
          <w:tcPr>
            <w:tcW w:w="7298" w:type="dxa"/>
          </w:tcPr>
          <w:p w14:paraId="330AF645">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512589620@qq.com</w:t>
            </w:r>
          </w:p>
        </w:tc>
        <w:tc>
          <w:tcPr>
            <w:tcW w:w="2625" w:type="dxa"/>
            <w:vMerge w:val="continue"/>
          </w:tcPr>
          <w:p w14:paraId="302A66F4">
            <w:pPr>
              <w:tabs>
                <w:tab w:val="left" w:pos="2700"/>
                <w:tab w:val="left" w:pos="3000"/>
                <w:tab w:val="left" w:pos="7965"/>
              </w:tabs>
              <w:spacing w:line="300" w:lineRule="auto"/>
              <w:rPr>
                <w:lang w:eastAsia="zh-CN"/>
              </w:rPr>
            </w:pPr>
          </w:p>
        </w:tc>
      </w:tr>
    </w:tbl>
    <w:p w14:paraId="791AF1E1">
      <w:pPr>
        <w:tabs>
          <w:tab w:val="left" w:pos="2010"/>
        </w:tabs>
        <w:spacing w:line="300" w:lineRule="auto"/>
        <w:rPr>
          <w:iCs/>
          <w:szCs w:val="21"/>
        </w:rPr>
      </w:pPr>
    </w:p>
    <w:p w14:paraId="7EFE0216">
      <w:pPr>
        <w:tabs>
          <w:tab w:val="left" w:pos="2552"/>
        </w:tabs>
        <w:spacing w:line="300" w:lineRule="auto"/>
        <w:rPr>
          <w:b/>
          <w:szCs w:val="21"/>
          <w:lang w:val="en-GB" w:eastAsia="zh-CN"/>
        </w:rPr>
      </w:pPr>
    </w:p>
    <w:p w14:paraId="0BCC89AA">
      <w:pPr>
        <w:tabs>
          <w:tab w:val="left" w:pos="2552"/>
        </w:tabs>
        <w:spacing w:line="300" w:lineRule="auto"/>
        <w:rPr>
          <w:b/>
          <w:szCs w:val="21"/>
          <w:lang w:val="en-GB" w:eastAsia="zh-CN"/>
        </w:rPr>
      </w:pPr>
      <w:r>
        <w:rPr>
          <w:b/>
          <w:szCs w:val="21"/>
          <w:lang w:val="en-GB" w:eastAsia="zh-CN"/>
        </w:rPr>
        <w:t>教育背景</w:t>
      </w:r>
    </w:p>
    <w:p w14:paraId="0AE50AB4">
      <w:pPr>
        <w:tabs>
          <w:tab w:val="left" w:pos="2552"/>
        </w:tabs>
        <w:spacing w:line="300" w:lineRule="auto"/>
        <w:rPr>
          <w:b/>
          <w:szCs w:val="21"/>
          <w:lang w:val="en-GB" w:eastAsia="zh-CN"/>
        </w:rPr>
      </w:pPr>
      <w:r>
        <w:rPr>
          <w:rFonts w:hint="eastAsia"/>
          <w:b/>
          <w:szCs w:val="21"/>
          <w:lang w:val="en-GB" w:eastAsia="zh-CN"/>
        </w:rPr>
        <w:t>2007—2010         江西工程职业学院         机械设计与制造        大专</w:t>
      </w:r>
    </w:p>
    <w:p w14:paraId="1A9FB80E">
      <w:pPr>
        <w:spacing w:line="300" w:lineRule="auto"/>
        <w:rPr>
          <w:b/>
          <w:bCs/>
          <w:szCs w:val="21"/>
          <w:u w:val="single"/>
          <w:shd w:val="pct10" w:color="auto" w:fill="FFFFFF"/>
          <w:lang w:eastAsia="zh-CN"/>
        </w:rPr>
      </w:pPr>
    </w:p>
    <w:p w14:paraId="12E2DEE7">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436E9047">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基本月薪20*13.5，年包40w左右</w:t>
      </w:r>
    </w:p>
    <w:p w14:paraId="06B003F7">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期望月薪20-30k</w:t>
      </w:r>
    </w:p>
    <w:p w14:paraId="18DFA25C">
      <w:pPr>
        <w:tabs>
          <w:tab w:val="left" w:pos="2552"/>
        </w:tabs>
        <w:spacing w:line="300" w:lineRule="auto"/>
        <w:rPr>
          <w:szCs w:val="21"/>
          <w:lang w:val="en-GB" w:eastAsia="zh-CN"/>
        </w:rPr>
      </w:pPr>
    </w:p>
    <w:p w14:paraId="43BE81E6">
      <w:pPr>
        <w:spacing w:line="360" w:lineRule="auto"/>
        <w:rPr>
          <w:b/>
          <w:bCs/>
          <w:u w:val="single"/>
          <w:shd w:val="pct10" w:color="auto" w:fill="FFFFFF"/>
          <w:lang w:eastAsia="zh-CN"/>
        </w:rPr>
      </w:pPr>
      <w:r>
        <w:rPr>
          <w:b/>
          <w:bCs/>
          <w:u w:val="single"/>
          <w:shd w:val="pct10" w:color="auto" w:fill="FFFFFF"/>
          <w:lang w:eastAsia="zh-CN"/>
        </w:rPr>
        <w:t>简介与评价</w:t>
      </w:r>
    </w:p>
    <w:p w14:paraId="4A65441A">
      <w:pPr>
        <w:numPr>
          <w:ilvl w:val="0"/>
          <w:numId w:val="1"/>
        </w:numPr>
        <w:spacing w:line="360" w:lineRule="auto"/>
        <w:ind w:left="420" w:leftChars="0" w:hanging="420" w:firstLineChars="0"/>
        <w:rPr>
          <w:rFonts w:hint="eastAsia" w:ascii="Arial" w:hAnsi="Arial" w:eastAsia="宋体" w:cs="Arial"/>
          <w:i w:val="0"/>
          <w:iCs w:val="0"/>
          <w:caps w:val="0"/>
          <w:color w:val="222222"/>
          <w:spacing w:val="0"/>
          <w:sz w:val="24"/>
          <w:szCs w:val="24"/>
          <w:shd w:val="clear" w:color="auto" w:fill="FDFDFD"/>
          <w:lang w:eastAsia="zh-CN"/>
        </w:rPr>
      </w:pPr>
      <w:r>
        <w:rPr>
          <w:rFonts w:hint="eastAsia" w:ascii="Arial" w:hAnsi="Arial" w:eastAsia="宋体" w:cs="Arial"/>
          <w:i w:val="0"/>
          <w:iCs w:val="0"/>
          <w:caps w:val="0"/>
          <w:color w:val="222222"/>
          <w:spacing w:val="0"/>
          <w:sz w:val="24"/>
          <w:szCs w:val="24"/>
          <w:shd w:val="clear" w:color="auto" w:fill="FDFDFD"/>
          <w:lang w:eastAsia="zh-CN"/>
        </w:rPr>
        <w:t>生态构建与战略招商：精通从0到1的业务开拓与生态体系搭建。具备全国视野，能高效整合头部品牌与本地装企（如实现圣都、生活家、欧派等全覆盖），并成功构建活跃的设计师社群</w:t>
      </w:r>
      <w:r>
        <w:rPr>
          <w:rFonts w:hint="eastAsia" w:ascii="Arial" w:hAnsi="Arial" w:cs="Arial"/>
          <w:i w:val="0"/>
          <w:iCs w:val="0"/>
          <w:caps w:val="0"/>
          <w:color w:val="222222"/>
          <w:spacing w:val="0"/>
          <w:sz w:val="24"/>
          <w:szCs w:val="24"/>
          <w:shd w:val="clear" w:color="auto" w:fill="FDFDFD"/>
          <w:lang w:eastAsia="zh-CN"/>
        </w:rPr>
        <w:t>。</w:t>
      </w:r>
    </w:p>
    <w:p w14:paraId="7E834B49">
      <w:pPr>
        <w:numPr>
          <w:ilvl w:val="0"/>
          <w:numId w:val="1"/>
        </w:numPr>
        <w:spacing w:line="360" w:lineRule="auto"/>
        <w:ind w:left="420" w:leftChars="0" w:hanging="420" w:firstLineChars="0"/>
        <w:rPr>
          <w:rFonts w:hint="eastAsia" w:ascii="Arial" w:hAnsi="Arial" w:eastAsia="宋体" w:cs="Arial"/>
          <w:i w:val="0"/>
          <w:iCs w:val="0"/>
          <w:caps w:val="0"/>
          <w:color w:val="222222"/>
          <w:spacing w:val="0"/>
          <w:sz w:val="24"/>
          <w:szCs w:val="24"/>
          <w:shd w:val="clear" w:color="auto" w:fill="FDFDFD"/>
          <w:lang w:eastAsia="zh-CN"/>
        </w:rPr>
      </w:pPr>
      <w:r>
        <w:rPr>
          <w:rFonts w:hint="eastAsia" w:ascii="Arial" w:hAnsi="Arial" w:eastAsia="宋体" w:cs="Arial"/>
          <w:i w:val="0"/>
          <w:iCs w:val="0"/>
          <w:caps w:val="0"/>
          <w:color w:val="222222"/>
          <w:spacing w:val="0"/>
          <w:sz w:val="24"/>
          <w:szCs w:val="24"/>
          <w:shd w:val="clear" w:color="auto" w:fill="FDFDFD"/>
          <w:lang w:eastAsia="zh-CN"/>
        </w:rPr>
        <w:t>数据化运营与效能提升：擅长通过</w:t>
      </w:r>
      <w:bookmarkStart w:id="0" w:name="_GoBack"/>
      <w:bookmarkEnd w:id="0"/>
      <w:r>
        <w:rPr>
          <w:rFonts w:hint="eastAsia" w:ascii="Arial" w:hAnsi="Arial" w:eastAsia="宋体" w:cs="Arial"/>
          <w:i w:val="0"/>
          <w:iCs w:val="0"/>
          <w:caps w:val="0"/>
          <w:color w:val="222222"/>
          <w:spacing w:val="0"/>
          <w:sz w:val="24"/>
          <w:szCs w:val="24"/>
          <w:shd w:val="clear" w:color="auto" w:fill="FDFDFD"/>
          <w:lang w:eastAsia="zh-CN"/>
        </w:rPr>
        <w:t>数据复盘驱动决策，为商家提供定制化赋能，提升关键指标（接单率、转单率）；通过优化内部流程与定价策略，有效控制客资成本，提升整体ROI。</w:t>
      </w:r>
    </w:p>
    <w:p w14:paraId="74883C1D">
      <w:pPr>
        <w:numPr>
          <w:ilvl w:val="0"/>
          <w:numId w:val="1"/>
        </w:numPr>
        <w:spacing w:line="360" w:lineRule="auto"/>
        <w:ind w:left="420" w:leftChars="0" w:hanging="420" w:firstLineChars="0"/>
        <w:rPr>
          <w:rFonts w:hint="eastAsia" w:ascii="Arial" w:hAnsi="Arial" w:eastAsia="宋体" w:cs="Arial"/>
          <w:i w:val="0"/>
          <w:iCs w:val="0"/>
          <w:caps w:val="0"/>
          <w:color w:val="222222"/>
          <w:spacing w:val="0"/>
          <w:sz w:val="24"/>
          <w:szCs w:val="24"/>
          <w:shd w:val="clear" w:color="auto" w:fill="FDFDFD"/>
          <w:lang w:eastAsia="zh-CN"/>
        </w:rPr>
      </w:pPr>
      <w:r>
        <w:rPr>
          <w:rFonts w:hint="eastAsia" w:ascii="Arial" w:hAnsi="Arial" w:eastAsia="宋体" w:cs="Arial"/>
          <w:i w:val="0"/>
          <w:iCs w:val="0"/>
          <w:caps w:val="0"/>
          <w:color w:val="222222"/>
          <w:spacing w:val="0"/>
          <w:sz w:val="24"/>
          <w:szCs w:val="24"/>
          <w:shd w:val="clear" w:color="auto" w:fill="FDFDFD"/>
          <w:lang w:eastAsia="zh-CN"/>
        </w:rPr>
        <w:t>商家全生命周期管理：掌握互联网平台的商家分层运营方法论。能精准识别高潜力商家并打造标杆，通过常态化培训与策略复盘，提升商家效能与忠诚度，保障业务健康度。</w:t>
      </w:r>
    </w:p>
    <w:p w14:paraId="4701785B">
      <w:pPr>
        <w:numPr>
          <w:ilvl w:val="0"/>
          <w:numId w:val="1"/>
        </w:numPr>
        <w:spacing w:line="360" w:lineRule="auto"/>
        <w:ind w:left="420" w:leftChars="0" w:hanging="420" w:firstLineChars="0"/>
        <w:rPr>
          <w:rFonts w:hint="eastAsia" w:ascii="Arial" w:hAnsi="Arial" w:eastAsia="宋体" w:cs="Arial"/>
          <w:i w:val="0"/>
          <w:iCs w:val="0"/>
          <w:caps w:val="0"/>
          <w:color w:val="222222"/>
          <w:spacing w:val="0"/>
          <w:sz w:val="24"/>
          <w:szCs w:val="24"/>
          <w:shd w:val="clear" w:color="auto" w:fill="FDFDFD"/>
          <w:lang w:eastAsia="zh-CN"/>
        </w:rPr>
      </w:pPr>
      <w:r>
        <w:rPr>
          <w:rFonts w:hint="eastAsia" w:ascii="Arial" w:hAnsi="Arial" w:eastAsia="宋体" w:cs="Arial"/>
          <w:i w:val="0"/>
          <w:iCs w:val="0"/>
          <w:caps w:val="0"/>
          <w:color w:val="222222"/>
          <w:spacing w:val="0"/>
          <w:sz w:val="24"/>
          <w:szCs w:val="24"/>
          <w:shd w:val="clear" w:color="auto" w:fill="FDFDFD"/>
          <w:lang w:eastAsia="zh-CN"/>
        </w:rPr>
        <w:t>跨界资源整合与创新：具备出色的跨部门、跨生态协作能力。能联动品牌、展会、设计师及渠道服务商，策划并落地如设计师大赛、跨界联合项目等创新活动，为业务开辟新增量。</w:t>
      </w:r>
    </w:p>
    <w:p w14:paraId="37E3704B">
      <w:pPr>
        <w:numPr>
          <w:numId w:val="0"/>
        </w:numPr>
        <w:spacing w:line="360" w:lineRule="auto"/>
        <w:ind w:leftChars="0"/>
        <w:rPr>
          <w:rFonts w:hint="eastAsia" w:ascii="Arial" w:hAnsi="Arial" w:eastAsia="宋体" w:cs="Arial"/>
          <w:i w:val="0"/>
          <w:iCs w:val="0"/>
          <w:caps w:val="0"/>
          <w:color w:val="222222"/>
          <w:spacing w:val="0"/>
          <w:sz w:val="24"/>
          <w:szCs w:val="24"/>
          <w:shd w:val="clear" w:color="auto" w:fill="FDFDFD"/>
          <w:lang w:eastAsia="zh-CN"/>
        </w:rPr>
      </w:pPr>
    </w:p>
    <w:p w14:paraId="68C8107A">
      <w:pPr>
        <w:numPr>
          <w:numId w:val="0"/>
        </w:numPr>
        <w:spacing w:line="360" w:lineRule="auto"/>
        <w:ind w:leftChars="0"/>
        <w:rPr>
          <w:rFonts w:hint="eastAsia" w:ascii="Arial" w:hAnsi="Arial" w:eastAsia="宋体" w:cs="Arial"/>
          <w:i w:val="0"/>
          <w:iCs w:val="0"/>
          <w:caps w:val="0"/>
          <w:color w:val="222222"/>
          <w:spacing w:val="0"/>
          <w:sz w:val="24"/>
          <w:szCs w:val="24"/>
          <w:shd w:val="clear" w:color="auto" w:fill="FDFDFD"/>
          <w:lang w:eastAsia="zh-CN"/>
        </w:rPr>
      </w:pPr>
    </w:p>
    <w:p w14:paraId="223238FD">
      <w:pPr>
        <w:tabs>
          <w:tab w:val="left" w:pos="2552"/>
        </w:tabs>
        <w:spacing w:line="300" w:lineRule="auto"/>
        <w:rPr>
          <w:szCs w:val="21"/>
          <w:lang w:val="en-GB" w:eastAsia="zh-CN"/>
        </w:rPr>
      </w:pPr>
    </w:p>
    <w:p w14:paraId="2C366E99">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66127478">
      <w:pPr>
        <w:spacing w:line="300" w:lineRule="auto"/>
        <w:rPr>
          <w:rFonts w:hint="eastAsia" w:ascii="宋体" w:hAnsi="宋体" w:cs="宋体"/>
          <w:b/>
          <w:color w:val="000000"/>
          <w:lang w:eastAsia="zh-CN"/>
        </w:rPr>
      </w:pPr>
      <w:r>
        <w:rPr>
          <w:rFonts w:hint="eastAsia" w:ascii="宋体" w:hAnsi="宋体" w:cs="宋体"/>
          <w:b/>
          <w:color w:val="000000"/>
          <w:lang w:val="en-US" w:eastAsia="zh-CN"/>
        </w:rPr>
        <w:t>2024.03—至今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杭州中艺实业股份有限公司</w:t>
      </w:r>
      <w:r>
        <w:rPr>
          <w:rFonts w:hint="eastAsia"/>
          <w:b/>
          <w:lang w:eastAsia="zh-CN"/>
        </w:rPr>
        <w:t xml:space="preserve">     渠道总监</w:t>
      </w:r>
    </w:p>
    <w:p w14:paraId="013C004A">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区域：杭州；</w:t>
      </w:r>
    </w:p>
    <w:p w14:paraId="4A78970D">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业绩：全国招商活动实施：制定并控制全国招商节奏与计划，成功落地418国内首场招商大会，吸引30余家经销商到访，并促成10余家经销商签约。到24年年底成功招商30＋家；</w:t>
      </w:r>
    </w:p>
    <w:p w14:paraId="47829834">
      <w:pPr>
        <w:pStyle w:val="32"/>
        <w:widowControl w:val="0"/>
        <w:numPr>
          <w:ilvl w:val="0"/>
          <w:numId w:val="2"/>
        </w:numPr>
        <w:autoSpaceDE w:val="0"/>
        <w:autoSpaceDN w:val="0"/>
        <w:adjustRightInd w:val="0"/>
        <w:spacing w:line="360" w:lineRule="auto"/>
        <w:ind w:left="420" w:leftChars="0" w:hanging="420" w:firstLineChars="0"/>
        <w:jc w:val="both"/>
        <w:rPr>
          <w:rFonts w:hint="eastAsia" w:ascii="宋体" w:hAnsi="宋体" w:cs="宋体"/>
          <w:b/>
          <w:color w:val="000000"/>
          <w:lang w:eastAsia="zh-CN"/>
        </w:rPr>
      </w:pPr>
      <w:r>
        <w:rPr>
          <w:rStyle w:val="40"/>
          <w:rFonts w:hint="eastAsia"/>
          <w:sz w:val="24"/>
          <w:szCs w:val="24"/>
          <w:lang w:val="en-US" w:eastAsia="zh-CN"/>
        </w:rPr>
        <w:t>客户：杭州西湖一号餐厅：从项目立项至最终落地，全程参与并促成合作。升华中心：主导项目推进，确保从立项到落地各环节顺利进行。德清莫隐参观项目：有效管理项目周期，成功实现项目签约及实施落地。</w:t>
      </w:r>
    </w:p>
    <w:p w14:paraId="32D531EE">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D1D472A">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主要负责杭州中艺实业股份有限公司欧铂纳智能观景棚韬品威牌的中国区经销商业务从0到1</w:t>
      </w:r>
    </w:p>
    <w:p w14:paraId="6441A2AD">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国内销售渠道规划：从零开始构建国内销售渠道，针对主要城市制定并执行针对性招商策略。</w:t>
      </w:r>
    </w:p>
    <w:p w14:paraId="6665ABF4">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全国招商活动实施：制定并控制全国招商节奏与计划，成功落地418国内首场招商大会，吸引30余家经销商到访，并促成10余家经销商签约。到24年年底成功招商30＋家</w:t>
      </w:r>
    </w:p>
    <w:p w14:paraId="79E8BB48">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展会参与：参加国内重要展会，包括CIFF展会、广交会及R+T展会，扩大品牌曝光度。</w:t>
      </w:r>
    </w:p>
    <w:p w14:paraId="4057F2A4">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经销商赋能活动：组织经销商进行基础产品知识培训，并举办设计师渠道活动，提升经销商专业能力。</w:t>
      </w:r>
    </w:p>
    <w:p w14:paraId="732E2D9C">
      <w:pPr>
        <w:pBdr>
          <w:bottom w:val="single" w:color="auto" w:sz="4" w:space="0"/>
        </w:pBdr>
        <w:spacing w:line="300" w:lineRule="auto"/>
        <w:rPr>
          <w:rFonts w:hint="default" w:ascii="宋体" w:hAnsi="宋体" w:cs="宋体"/>
          <w:b/>
          <w:color w:val="000000"/>
          <w:lang w:val="en-US" w:eastAsia="zh-CN"/>
        </w:rPr>
      </w:pPr>
      <w:r>
        <w:rPr>
          <w:rFonts w:hint="eastAsia" w:ascii="宋体" w:hAnsi="宋体" w:cs="宋体"/>
          <w:b/>
          <w:color w:val="000000"/>
          <w:lang w:val="en-US" w:eastAsia="zh-CN"/>
        </w:rPr>
        <w:t>看机会原因：市场行情不好，公司业务线调整，需要更稳定、更有发展的机会。</w:t>
      </w:r>
    </w:p>
    <w:p w14:paraId="4E8EA80E">
      <w:pPr>
        <w:spacing w:line="300" w:lineRule="auto"/>
        <w:rPr>
          <w:rFonts w:hint="default" w:ascii="宋体" w:hAnsi="宋体" w:cs="宋体"/>
          <w:b/>
          <w:color w:val="000000"/>
          <w:lang w:val="en-US" w:eastAsia="zh-CN"/>
        </w:rPr>
      </w:pPr>
    </w:p>
    <w:p w14:paraId="137199AF">
      <w:pPr>
        <w:spacing w:line="300" w:lineRule="auto"/>
        <w:rPr>
          <w:rFonts w:hint="eastAsia"/>
          <w:b/>
          <w:lang w:eastAsia="zh-CN"/>
        </w:rPr>
      </w:pPr>
      <w:r>
        <w:rPr>
          <w:rFonts w:hint="eastAsia" w:ascii="宋体" w:hAnsi="宋体" w:cs="宋体"/>
          <w:b/>
          <w:color w:val="000000"/>
          <w:lang w:val="en-US" w:eastAsia="zh-CN"/>
        </w:rPr>
        <w:t>2021.11—2023.08</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每平每屋设计家（杭州）科技有限公司</w:t>
      </w:r>
      <w:r>
        <w:rPr>
          <w:rFonts w:hint="eastAsia"/>
          <w:b/>
          <w:lang w:eastAsia="zh-CN"/>
        </w:rPr>
        <w:t xml:space="preserve">     商务拓展运营</w:t>
      </w:r>
    </w:p>
    <w:p w14:paraId="36108EC8">
      <w:pPr>
        <w:pStyle w:val="32"/>
        <w:widowControl w:val="0"/>
        <w:autoSpaceDE w:val="0"/>
        <w:autoSpaceDN w:val="0"/>
        <w:adjustRightInd w:val="0"/>
        <w:spacing w:line="360" w:lineRule="auto"/>
        <w:ind w:firstLine="0" w:firstLineChars="0"/>
        <w:jc w:val="both"/>
        <w:rPr>
          <w:rStyle w:val="40"/>
          <w:sz w:val="24"/>
          <w:szCs w:val="24"/>
          <w:lang w:eastAsia="zh-CN"/>
        </w:rPr>
      </w:pPr>
    </w:p>
    <w:p w14:paraId="520AE21A">
      <w:pPr>
        <w:pStyle w:val="32"/>
        <w:widowControl w:val="0"/>
        <w:autoSpaceDE w:val="0"/>
        <w:autoSpaceDN w:val="0"/>
        <w:adjustRightInd w:val="0"/>
        <w:spacing w:line="360" w:lineRule="auto"/>
        <w:ind w:firstLine="0" w:firstLineChars="0"/>
        <w:jc w:val="both"/>
        <w:rPr>
          <w:rFonts w:hint="eastAsia"/>
          <w:b/>
          <w:lang w:eastAsia="zh-CN"/>
        </w:rPr>
      </w:pPr>
      <w:r>
        <w:rPr>
          <w:rStyle w:val="40"/>
          <w:sz w:val="24"/>
          <w:szCs w:val="24"/>
          <w:lang w:eastAsia="zh-CN"/>
        </w:rPr>
        <w:t>工作职责</w:t>
      </w:r>
    </w:p>
    <w:p w14:paraId="092045BC">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区域：华东华中地区</w:t>
      </w:r>
    </w:p>
    <w:p w14:paraId="627594C8">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业绩：连续两年拿到阿里评级3.5</w:t>
      </w:r>
    </w:p>
    <w:p w14:paraId="73462FAD">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客户：</w:t>
      </w:r>
    </w:p>
    <w:p w14:paraId="53AE9157">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实现全国大型装企如圣都、生活家、点石、爱空间、欧派整体装等全覆盖。</w:t>
      </w:r>
    </w:p>
    <w:p w14:paraId="07033729">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全屋定制品牌如欧派、索菲亚、志邦、金牌、全友也已入驻。</w:t>
      </w:r>
    </w:p>
    <w:p w14:paraId="2C4638EC">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杭州市场深耕，成功引进麦丰、恒彩、中博、良工等本地头部装企。</w:t>
      </w:r>
    </w:p>
    <w:p w14:paraId="572693D0">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上海市场深耕，成功引进海域、朗域、沪上名家、纪家等本地头部装企。</w:t>
      </w:r>
    </w:p>
    <w:p w14:paraId="1177B893">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具体工作内容：</w:t>
      </w:r>
    </w:p>
    <w:p w14:paraId="76CC5F7D">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品牌招商与区域覆盖：深度挖掘并招募新零售试点城市的本地及总部全屋定制品牌和装企，构建强大的合作网络。通过精细化运营，确保商家供给的丰富性和多样性，持续优化投放策略，提升ROI。商家运营与效能提升：</w:t>
      </w:r>
    </w:p>
    <w:p w14:paraId="3B30036F">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定制化培训与能力提升：为本地定制品牌和装企提供接单产品培训，强化其接单和服务能力。实时跟进新零售线索分配进度，定期与商家进行数据复盘，精准施策，提升接单率和转单率，确保GMV目标达成。</w:t>
      </w:r>
    </w:p>
    <w:p w14:paraId="395FEA58">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商家分层运营与标杆打造：实施商家分层运营策略，识别并重点扶持高潜力商家，打造业务标杆，引领整体业绩增长。</w:t>
      </w:r>
    </w:p>
    <w:p w14:paraId="0FF71BC6">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大促招商与策略执行：在大促期间，用高效组织品牌招商活动，利用GMV权重在每平每屋分会场和轻应用进行精准曝光用，助力商家实现销售爆发。线索商业化（CPA）业务优化</w:t>
      </w:r>
    </w:p>
    <w:p w14:paraId="56BBEC5D">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全国范围线索招募与品类拓展：广泛招募全国及本地定制品牌、服务商家（如涂料刷新、装企、瓷砖、地板、中央空调等），采用CPA合作模式，持续拓新汰换，提升品类ROI。</w:t>
      </w:r>
    </w:p>
    <w:p w14:paraId="49C50955">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商家运营与成本优化：数据驱动与效能提升：定期与商家进行数据复盘，精准识别问题，提升接单率和转单率，有效降低客资成本。实施商家分层运营，打造业务标杆，提升商家续签率。</w:t>
      </w:r>
    </w:p>
    <w:p w14:paraId="36E053AD">
      <w:pPr>
        <w:pStyle w:val="32"/>
        <w:widowControl w:val="0"/>
        <w:numPr>
          <w:ilvl w:val="0"/>
          <w:numId w:val="2"/>
        </w:numPr>
        <w:pBdr>
          <w:bottom w:val="single" w:color="auto" w:sz="4" w:space="0"/>
        </w:pBd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内部效率提升与价格调整：优化内部线索处理流程，提升线索有效率。根据市场变化灵活调整CPA价格，保持竞争力。</w:t>
      </w:r>
    </w:p>
    <w:p w14:paraId="03FA4D8C">
      <w:pPr>
        <w:pStyle w:val="32"/>
        <w:widowControl w:val="0"/>
        <w:numPr>
          <w:numId w:val="0"/>
        </w:numPr>
        <w:autoSpaceDE w:val="0"/>
        <w:autoSpaceDN w:val="0"/>
        <w:adjustRightInd w:val="0"/>
        <w:spacing w:line="360" w:lineRule="auto"/>
        <w:ind w:leftChars="0"/>
        <w:jc w:val="both"/>
        <w:rPr>
          <w:rStyle w:val="40"/>
          <w:rFonts w:hint="default"/>
          <w:sz w:val="24"/>
          <w:szCs w:val="24"/>
          <w:lang w:val="en-US" w:eastAsia="zh-CN"/>
        </w:rPr>
      </w:pPr>
    </w:p>
    <w:p w14:paraId="2F9218A9">
      <w:pPr>
        <w:spacing w:line="300" w:lineRule="auto"/>
        <w:rPr>
          <w:rFonts w:hint="eastAsia"/>
          <w:b/>
          <w:lang w:eastAsia="zh-CN"/>
        </w:rPr>
      </w:pPr>
      <w:r>
        <w:rPr>
          <w:rFonts w:hint="eastAsia" w:ascii="宋体" w:hAnsi="宋体" w:cs="宋体"/>
          <w:b/>
          <w:color w:val="000000"/>
          <w:lang w:val="en-US" w:eastAsia="zh-CN"/>
        </w:rPr>
        <w:t>2020.06-2021.11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北京蜜蜂兄弟科技有限公司</w:t>
      </w:r>
      <w:r>
        <w:rPr>
          <w:rFonts w:hint="eastAsia"/>
          <w:b/>
          <w:lang w:eastAsia="zh-CN"/>
        </w:rPr>
        <w:t xml:space="preserve">     高级商务经理</w:t>
      </w:r>
    </w:p>
    <w:p w14:paraId="16385E1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828E45F">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区域：杭州</w:t>
      </w:r>
    </w:p>
    <w:p w14:paraId="727B3D17">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业绩：杭州的地区装修主材业务本地化服务业务从0到1。</w:t>
      </w:r>
    </w:p>
    <w:p w14:paraId="57D2E9A2">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客户：华东产业带全国团购招商：招募 LG 、松下、蓝盒子、喜临门、多乐士、芝华仕、奥普、三星、乐巢、亿田集成灶、科沃斯、西门子开关等品牌参与全国性电商团购。</w:t>
      </w:r>
    </w:p>
    <w:p w14:paraId="0891A856">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具体工作内容：</w:t>
      </w:r>
    </w:p>
    <w:p w14:paraId="3D70F3A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全国电商团购业务的品牌招商。</w:t>
      </w:r>
    </w:p>
    <w:p w14:paraId="5DF2194A">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本地招商：签约包括有杭州头部品牌和本地优质工厂供应商，完成家装类目主材品类全覆盖，实现业务在杭州从0到1。</w:t>
      </w:r>
    </w:p>
    <w:p w14:paraId="243EE787">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 xml:space="preserve">私域运营：通过私域社群运营，拉新、培养种子，通过月末、周年庆、双十一等活动联合商家发起联盟活动对监理私域客户进 行转化。 </w:t>
      </w:r>
    </w:p>
    <w:p w14:paraId="565E6D55">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3、售后支持：协助运营解决终端客户在平台沟通产品出现的售后服务，协助销售支持阶段性同合作商家的对账。</w:t>
      </w:r>
    </w:p>
    <w:p w14:paraId="5D47E060">
      <w:pPr>
        <w:pStyle w:val="32"/>
        <w:widowControl w:val="0"/>
        <w:numPr>
          <w:ilvl w:val="0"/>
          <w:numId w:val="2"/>
        </w:numPr>
        <w:pBdr>
          <w:bottom w:val="single" w:color="auto" w:sz="4" w:space="0"/>
        </w:pBd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4、线下互动：维护当地品牌商和商城的关系，联合苏宁、恒大、月星的卖场进行阶段性线下落地活动，让客户最大化的通过平台 进行消化。</w:t>
      </w:r>
    </w:p>
    <w:p w14:paraId="07D10943">
      <w:pPr>
        <w:pStyle w:val="32"/>
        <w:widowControl w:val="0"/>
        <w:numPr>
          <w:numId w:val="0"/>
        </w:numPr>
        <w:autoSpaceDE w:val="0"/>
        <w:autoSpaceDN w:val="0"/>
        <w:adjustRightInd w:val="0"/>
        <w:spacing w:line="360" w:lineRule="auto"/>
        <w:ind w:leftChars="0"/>
        <w:jc w:val="both"/>
        <w:rPr>
          <w:rFonts w:hint="default" w:ascii="宋体" w:hAnsi="宋体" w:cs="宋体"/>
          <w:sz w:val="24"/>
          <w:szCs w:val="24"/>
          <w:lang w:val="en-US" w:eastAsia="zh-CN"/>
        </w:rPr>
      </w:pPr>
    </w:p>
    <w:p w14:paraId="7F87529A">
      <w:pPr>
        <w:spacing w:line="300" w:lineRule="auto"/>
        <w:rPr>
          <w:rFonts w:hint="eastAsia"/>
          <w:b/>
          <w:lang w:eastAsia="zh-CN"/>
        </w:rPr>
      </w:pPr>
      <w:r>
        <w:rPr>
          <w:rFonts w:hint="eastAsia" w:ascii="宋体" w:hAnsi="宋体" w:cs="宋体"/>
          <w:b/>
          <w:color w:val="000000"/>
          <w:lang w:val="en-US" w:eastAsia="zh-CN"/>
        </w:rPr>
        <w:t>2018.06-2020.05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杭州乔瓦尼经贸有限公司（意大利versace瓷砖）</w:t>
      </w:r>
      <w:r>
        <w:rPr>
          <w:rFonts w:hint="eastAsia"/>
          <w:b/>
          <w:lang w:eastAsia="zh-CN"/>
        </w:rPr>
        <w:t xml:space="preserve">     销售总监</w:t>
      </w:r>
    </w:p>
    <w:p w14:paraId="354DDC64">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D4CF70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区域：全国</w:t>
      </w:r>
    </w:p>
    <w:p w14:paraId="1DC1EC5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业绩：销售总监负责全国加盟商业务。</w:t>
      </w:r>
    </w:p>
    <w:p w14:paraId="190DB4BC">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客户：全国加盟商。</w:t>
      </w:r>
    </w:p>
    <w:p w14:paraId="23BC799B">
      <w:pPr>
        <w:pStyle w:val="32"/>
        <w:widowControl w:val="0"/>
        <w:numPr>
          <w:numId w:val="0"/>
        </w:numPr>
        <w:autoSpaceDE w:val="0"/>
        <w:autoSpaceDN w:val="0"/>
        <w:adjustRightInd w:val="0"/>
        <w:spacing w:line="360" w:lineRule="auto"/>
        <w:ind w:leftChars="0"/>
        <w:jc w:val="both"/>
        <w:rPr>
          <w:rStyle w:val="40"/>
          <w:rFonts w:hint="eastAsia"/>
          <w:sz w:val="24"/>
          <w:szCs w:val="24"/>
          <w:lang w:val="en-US" w:eastAsia="zh-CN"/>
        </w:rPr>
      </w:pPr>
      <w:r>
        <w:rPr>
          <w:rStyle w:val="40"/>
          <w:rFonts w:hint="eastAsia"/>
          <w:sz w:val="24"/>
          <w:szCs w:val="24"/>
          <w:lang w:val="en-US" w:eastAsia="zh-CN"/>
        </w:rPr>
        <w:t>具体工作内容：</w:t>
      </w:r>
    </w:p>
    <w:p w14:paraId="60B3F32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 xml:space="preserve">全国市场一盘棋：全国渠道规划、设计师活动规划、新品规划、销售规划。 </w:t>
      </w:r>
    </w:p>
    <w:p w14:paraId="5056DD61">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 xml:space="preserve">门店指导：加盟商门店店员的产品知识培训，对店面组织架构提出合理化建议，每年样品调整指导上样，组织全国性设计师活 动和区域性设计师沙龙。 </w:t>
      </w:r>
    </w:p>
    <w:p w14:paraId="7EEC3B49">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样板门店打造：区域店面标准化建设，从产品知识、话术讲解、接单分解动作、意向客户客户跟进、客户方案从店面、人员、 销量等多维度区域样板级市场打造。</w:t>
      </w:r>
    </w:p>
    <w:p w14:paraId="4A7DDE61">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售后保障：作为公司以及加盟商之间的桥梁，有效处理加盟商碰到的各种质量问题、安装问题、货期问题以及其他工作。</w:t>
      </w:r>
    </w:p>
    <w:p w14:paraId="482CB514">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加盟商管理：带领团队完成公司制定的年度销售任务和招商任务。</w:t>
      </w:r>
    </w:p>
    <w:p w14:paraId="5D7AF478">
      <w:pPr>
        <w:pStyle w:val="32"/>
        <w:widowControl w:val="0"/>
        <w:numPr>
          <w:ilvl w:val="0"/>
          <w:numId w:val="2"/>
        </w:numPr>
        <w:pBdr>
          <w:bottom w:val="single" w:color="auto" w:sz="4" w:space="0"/>
        </w:pBdr>
        <w:autoSpaceDE w:val="0"/>
        <w:autoSpaceDN w:val="0"/>
        <w:adjustRightInd w:val="0"/>
        <w:spacing w:line="360" w:lineRule="auto"/>
        <w:ind w:left="420" w:leftChars="0" w:hanging="420" w:firstLineChars="0"/>
        <w:jc w:val="both"/>
        <w:rPr>
          <w:rStyle w:val="40"/>
          <w:sz w:val="24"/>
          <w:szCs w:val="24"/>
          <w:lang w:eastAsia="zh-CN"/>
        </w:rPr>
      </w:pPr>
      <w:r>
        <w:rPr>
          <w:rFonts w:ascii="宋体" w:hAnsi="宋体" w:eastAsia="宋体" w:cs="宋体"/>
          <w:sz w:val="24"/>
          <w:szCs w:val="24"/>
        </w:rPr>
        <w:t>加盟商门店管理：当地物业合作、位置调整、门店设计、门店装修等。</w:t>
      </w:r>
    </w:p>
    <w:p w14:paraId="4E6CA6A4">
      <w:pPr>
        <w:pStyle w:val="32"/>
        <w:widowControl w:val="0"/>
        <w:numPr>
          <w:numId w:val="0"/>
        </w:numPr>
        <w:autoSpaceDE w:val="0"/>
        <w:autoSpaceDN w:val="0"/>
        <w:adjustRightInd w:val="0"/>
        <w:spacing w:line="360" w:lineRule="auto"/>
        <w:ind w:leftChars="0"/>
        <w:jc w:val="both"/>
        <w:rPr>
          <w:rStyle w:val="40"/>
          <w:rFonts w:hint="eastAsia"/>
          <w:sz w:val="24"/>
          <w:szCs w:val="24"/>
          <w:lang w:val="en-US" w:eastAsia="zh-CN"/>
        </w:rPr>
      </w:pPr>
    </w:p>
    <w:p w14:paraId="5B1AE366">
      <w:pPr>
        <w:spacing w:line="300" w:lineRule="auto"/>
        <w:rPr>
          <w:rFonts w:hint="eastAsia"/>
          <w:b/>
          <w:lang w:eastAsia="zh-CN"/>
        </w:rPr>
      </w:pPr>
      <w:r>
        <w:rPr>
          <w:rFonts w:hint="eastAsia" w:ascii="宋体" w:hAnsi="宋体" w:cs="宋体"/>
          <w:b/>
          <w:color w:val="000000"/>
          <w:lang w:val="en-US" w:eastAsia="zh-CN"/>
        </w:rPr>
        <w:t>2015.06-2017.12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希丁安（中国）家具有限公司</w:t>
      </w:r>
      <w:r>
        <w:rPr>
          <w:rFonts w:hint="eastAsia"/>
          <w:b/>
          <w:lang w:eastAsia="zh-CN"/>
        </w:rPr>
        <w:t xml:space="preserve">     </w:t>
      </w:r>
      <w:r>
        <w:rPr>
          <w:rFonts w:hint="eastAsia"/>
          <w:b/>
          <w:lang w:val="en-US" w:eastAsia="zh-CN"/>
        </w:rPr>
        <w:t xml:space="preserve">   </w:t>
      </w:r>
      <w:r>
        <w:rPr>
          <w:rFonts w:hint="eastAsia"/>
          <w:b/>
          <w:lang w:eastAsia="zh-CN"/>
        </w:rPr>
        <w:t>销售经理</w:t>
      </w:r>
    </w:p>
    <w:p w14:paraId="1B2F736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A00B10A">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w:t>
      </w:r>
      <w:r>
        <w:rPr>
          <w:rStyle w:val="40"/>
          <w:sz w:val="24"/>
          <w:szCs w:val="24"/>
          <w:lang w:eastAsia="zh-CN"/>
        </w:rPr>
        <w:t>苏南</w:t>
      </w:r>
      <w:r>
        <w:rPr>
          <w:rStyle w:val="40"/>
          <w:rFonts w:hint="eastAsia"/>
          <w:sz w:val="24"/>
          <w:szCs w:val="24"/>
          <w:lang w:val="en-US" w:eastAsia="zh-CN"/>
        </w:rPr>
        <w:t>地区</w:t>
      </w:r>
    </w:p>
    <w:p w14:paraId="4AC27B78">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业绩：公司旗下品牌斯林百兰、富豪、Bico 在苏南地区空白市场和空白商场的招商工作，老加盟商业绩提升，完成公司制定的月度季度年度销售目标。</w:t>
      </w:r>
    </w:p>
    <w:p w14:paraId="718EBA8A">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客户：红星、月星、居然等商场。</w:t>
      </w:r>
    </w:p>
    <w:p w14:paraId="75D58EA0">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rFonts w:hint="eastAsia"/>
          <w:sz w:val="24"/>
          <w:szCs w:val="24"/>
          <w:lang w:val="en-US" w:eastAsia="zh-CN"/>
        </w:rPr>
        <w:t>具体工作内容：</w:t>
      </w:r>
    </w:p>
    <w:p w14:paraId="132CFCBC">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公司旗下品牌斯林百兰、富豪、Bico 在苏南地区空白市场和空白商场的招商工作，老加盟商业绩提升，完成公司制定的月度季度年度销售目标。</w:t>
      </w:r>
    </w:p>
    <w:p w14:paraId="4A9491FC">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直营店面管理：南通四家直营门店人员的管理，直营门店店面出样、送货、售后各项事情全面跟进。完成公司既定销售目标。南通四家直营门店各种活动策划、监督。2017年根据公司战略，成功把南通四家直营店转化成加盟店。</w:t>
      </w:r>
    </w:p>
    <w:p w14:paraId="1C0D5BF4">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物业关系合作：区域内红星、月星、居然等商场物业保持良好的沟通。积极跟进区域内商场位置调整情况，为新增加门店和老门店调整做准备。做到苏南地区和南通地区实现基本无空白市场。</w:t>
      </w:r>
    </w:p>
    <w:p w14:paraId="61B0D3C0">
      <w:pPr>
        <w:pStyle w:val="32"/>
        <w:widowControl w:val="0"/>
        <w:numPr>
          <w:ilvl w:val="0"/>
          <w:numId w:val="2"/>
        </w:numPr>
        <w:pBdr>
          <w:bottom w:val="single" w:color="auto" w:sz="4" w:space="0"/>
        </w:pBd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eastAsia="zh-CN"/>
        </w:rPr>
        <w:t>加盟商主动营销：通过各种方式组织加盟店的店面导购培训。。推动公司、商场和联盟的各种活动进行。根据各新老门店情况不一样，为各门店制定适合各门店店情的促销活动。如红星联盟活动、以旧换新活动、爆品促销活动、买一送一活动等。作为加盟商和公司之间的桥梁，有效传达公司的各项指示，积极反馈加盟商的各种建议，售后问题。</w:t>
      </w:r>
    </w:p>
    <w:p w14:paraId="1F468B6F">
      <w:pPr>
        <w:pStyle w:val="32"/>
        <w:widowControl w:val="0"/>
        <w:numPr>
          <w:numId w:val="0"/>
        </w:numPr>
        <w:autoSpaceDE w:val="0"/>
        <w:autoSpaceDN w:val="0"/>
        <w:adjustRightInd w:val="0"/>
        <w:spacing w:line="360" w:lineRule="auto"/>
        <w:ind w:leftChars="0"/>
        <w:jc w:val="both"/>
        <w:rPr>
          <w:rStyle w:val="40"/>
          <w:rFonts w:hint="eastAsia"/>
          <w:sz w:val="24"/>
          <w:szCs w:val="24"/>
          <w:lang w:val="en-US" w:eastAsia="zh-CN"/>
        </w:rPr>
      </w:pPr>
    </w:p>
    <w:p w14:paraId="024BC5DD">
      <w:pPr>
        <w:spacing w:line="300" w:lineRule="auto"/>
        <w:rPr>
          <w:rFonts w:hint="eastAsia"/>
          <w:b/>
          <w:lang w:eastAsia="zh-CN"/>
        </w:rPr>
      </w:pPr>
      <w:r>
        <w:rPr>
          <w:rFonts w:hint="eastAsia" w:ascii="宋体" w:hAnsi="宋体" w:cs="宋体"/>
          <w:b/>
          <w:color w:val="000000"/>
          <w:lang w:val="en-US" w:eastAsia="zh-CN"/>
        </w:rPr>
        <w:t>2010.09-2015.05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北京东方格莱美墙纸有限公司</w:t>
      </w:r>
      <w:r>
        <w:rPr>
          <w:rFonts w:hint="eastAsia"/>
          <w:b/>
          <w:lang w:eastAsia="zh-CN"/>
        </w:rPr>
        <w:t xml:space="preserve">     </w:t>
      </w:r>
      <w:r>
        <w:rPr>
          <w:rFonts w:hint="eastAsia"/>
          <w:b/>
          <w:lang w:val="en-US" w:eastAsia="zh-CN"/>
        </w:rPr>
        <w:t xml:space="preserve">   </w:t>
      </w:r>
      <w:r>
        <w:rPr>
          <w:rFonts w:hint="eastAsia"/>
          <w:b/>
          <w:lang w:eastAsia="zh-CN"/>
        </w:rPr>
        <w:t>地推区域经理</w:t>
      </w:r>
    </w:p>
    <w:p w14:paraId="12DBF9C1">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330B68D">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区域：陕西、甘肃、宁夏、青海、新疆五省</w:t>
      </w:r>
    </w:p>
    <w:p w14:paraId="7D6E24B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val="en-US" w:eastAsia="zh-CN"/>
        </w:rPr>
        <w:t>业绩：活动完成率在公司排名前三。。</w:t>
      </w:r>
    </w:p>
    <w:p w14:paraId="5D4647BD">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val="en-US" w:eastAsia="zh-CN"/>
        </w:rPr>
      </w:pPr>
      <w:r>
        <w:rPr>
          <w:rStyle w:val="40"/>
          <w:rFonts w:hint="eastAsia"/>
          <w:sz w:val="24"/>
          <w:szCs w:val="24"/>
          <w:lang w:val="en-US" w:eastAsia="zh-CN"/>
        </w:rPr>
        <w:t>客户：专卖店</w:t>
      </w:r>
    </w:p>
    <w:p w14:paraId="5FA9E273">
      <w:pPr>
        <w:pStyle w:val="32"/>
        <w:widowControl w:val="0"/>
        <w:numPr>
          <w:ilvl w:val="0"/>
          <w:numId w:val="0"/>
        </w:numPr>
        <w:autoSpaceDE w:val="0"/>
        <w:autoSpaceDN w:val="0"/>
        <w:adjustRightInd w:val="0"/>
        <w:spacing w:line="360" w:lineRule="auto"/>
        <w:ind w:leftChars="0"/>
        <w:jc w:val="both"/>
        <w:rPr>
          <w:rStyle w:val="40"/>
          <w:rFonts w:hint="default"/>
          <w:sz w:val="24"/>
          <w:szCs w:val="24"/>
          <w:lang w:val="en-US" w:eastAsia="zh-CN"/>
        </w:rPr>
      </w:pPr>
      <w:r>
        <w:rPr>
          <w:rStyle w:val="40"/>
          <w:rFonts w:hint="eastAsia"/>
          <w:sz w:val="24"/>
          <w:szCs w:val="24"/>
          <w:lang w:val="en-US" w:eastAsia="zh-CN"/>
        </w:rPr>
        <w:t>具体工作内容：</w:t>
      </w:r>
    </w:p>
    <w:p w14:paraId="25CEBEBD">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val="en-US" w:eastAsia="zh-CN"/>
        </w:rPr>
        <w:t>完成</w:t>
      </w:r>
      <w:r>
        <w:rPr>
          <w:rStyle w:val="40"/>
          <w:rFonts w:hint="eastAsia"/>
          <w:sz w:val="24"/>
          <w:szCs w:val="24"/>
          <w:lang w:eastAsia="zh-CN"/>
        </w:rPr>
        <w:t>陕西、甘肃、宁夏、青海、新疆五省的空白市场招商</w:t>
      </w:r>
    </w:p>
    <w:p w14:paraId="43A29CEB">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样板客户的打造，提成品牌在区域内影响力。分别在西安、银川、乌鲁木齐各打造出一家实力强、店面形象好的专卖店。</w:t>
      </w:r>
    </w:p>
    <w:p w14:paraId="5639FDA7">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收集区域内竞争对手的情况。</w:t>
      </w:r>
    </w:p>
    <w:p w14:paraId="7ED52C04">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参与经销商设计师渠道、小区渠道、团购渠道的业务初步开展。</w:t>
      </w:r>
    </w:p>
    <w:p w14:paraId="6F6928F6">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区域内工程项目的跟踪。</w:t>
      </w:r>
    </w:p>
    <w:p w14:paraId="49BA2259">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应收账款及时到位。</w:t>
      </w:r>
    </w:p>
    <w:p w14:paraId="25644F94">
      <w:pPr>
        <w:pStyle w:val="32"/>
        <w:widowControl w:val="0"/>
        <w:numPr>
          <w:ilvl w:val="0"/>
          <w:numId w:val="2"/>
        </w:numPr>
        <w:autoSpaceDE w:val="0"/>
        <w:autoSpaceDN w:val="0"/>
        <w:adjustRightInd w:val="0"/>
        <w:spacing w:line="360" w:lineRule="auto"/>
        <w:ind w:left="420" w:leftChars="0" w:hanging="420" w:firstLineChars="0"/>
        <w:jc w:val="both"/>
        <w:rPr>
          <w:rStyle w:val="40"/>
          <w:rFonts w:hint="eastAsia"/>
          <w:sz w:val="24"/>
          <w:szCs w:val="24"/>
          <w:lang w:eastAsia="zh-CN"/>
        </w:rPr>
      </w:pPr>
      <w:r>
        <w:rPr>
          <w:rStyle w:val="40"/>
          <w:rFonts w:hint="eastAsia"/>
          <w:sz w:val="24"/>
          <w:szCs w:val="24"/>
          <w:lang w:eastAsia="zh-CN"/>
        </w:rPr>
        <w:t>监督和带领区域经销商积极参加公司举行的活动。</w:t>
      </w:r>
    </w:p>
    <w:p w14:paraId="58AE8EAB">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eastAsia="zh-CN"/>
        </w:rPr>
        <w:t>产品知识、销售礼仪等培训。</w:t>
      </w:r>
    </w:p>
    <w:p w14:paraId="3EFFD8DC">
      <w:pPr>
        <w:pStyle w:val="32"/>
        <w:widowControl w:val="0"/>
        <w:numPr>
          <w:ilvl w:val="0"/>
          <w:numId w:val="2"/>
        </w:numPr>
        <w:autoSpaceDE w:val="0"/>
        <w:autoSpaceDN w:val="0"/>
        <w:adjustRightInd w:val="0"/>
        <w:spacing w:line="360" w:lineRule="auto"/>
        <w:ind w:left="420" w:leftChars="0" w:hanging="420" w:firstLineChars="0"/>
        <w:jc w:val="both"/>
        <w:rPr>
          <w:rStyle w:val="40"/>
          <w:sz w:val="24"/>
          <w:szCs w:val="24"/>
          <w:lang w:eastAsia="zh-CN"/>
        </w:rPr>
      </w:pPr>
      <w:r>
        <w:rPr>
          <w:rStyle w:val="40"/>
          <w:rFonts w:hint="eastAsia"/>
          <w:sz w:val="24"/>
          <w:szCs w:val="24"/>
          <w:lang w:eastAsia="zh-CN"/>
        </w:rPr>
        <w:t>利用公司 ERP 系统数据分析客户订单进行大数据分析，合理调整市场，对客户进行有效的管理。</w:t>
      </w:r>
    </w:p>
    <w:p w14:paraId="57DCC5F6">
      <w:pPr>
        <w:pStyle w:val="32"/>
        <w:widowControl w:val="0"/>
        <w:numPr>
          <w:ilvl w:val="0"/>
          <w:numId w:val="0"/>
        </w:numPr>
        <w:autoSpaceDE w:val="0"/>
        <w:autoSpaceDN w:val="0"/>
        <w:adjustRightInd w:val="0"/>
        <w:spacing w:line="360" w:lineRule="auto"/>
        <w:ind w:leftChars="0"/>
        <w:jc w:val="both"/>
        <w:rPr>
          <w:rFonts w:hint="eastAsia"/>
          <w:lang w:eastAsia="zh-CN"/>
        </w:rPr>
      </w:pPr>
    </w:p>
    <w:p w14:paraId="65296BE1">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AE88E">
    <w:pPr>
      <w:pStyle w:val="11"/>
      <w:tabs>
        <w:tab w:val="left" w:pos="812"/>
      </w:tabs>
      <w:ind w:left="-2" w:leftChars="-1"/>
      <w:rPr>
        <w:sz w:val="16"/>
        <w:szCs w:val="16"/>
      </w:rPr>
    </w:pPr>
    <w:r>
      <w:rPr>
        <w:sz w:val="16"/>
        <w:szCs w:val="16"/>
      </w:rPr>
      <w:t>Talent Witkey Human Resources (Shang</w:t>
    </w:r>
    <w:r>
      <w:rPr>
        <w:rFonts w:hint="eastAsia"/>
        <w:sz w:val="16"/>
        <w:szCs w:val="16"/>
      </w:rPr>
      <w:t xml:space="preserve"> H</w:t>
    </w:r>
    <w:r>
      <w:rPr>
        <w:sz w:val="16"/>
        <w:szCs w:val="16"/>
      </w:rPr>
      <w:t>ai) Co., ltd.</w:t>
    </w:r>
  </w:p>
  <w:p w14:paraId="1A1CEE1B">
    <w:pPr>
      <w:pStyle w:val="11"/>
      <w:tabs>
        <w:tab w:val="left" w:pos="812"/>
      </w:tabs>
      <w:ind w:left="-2" w:leftChars="-1"/>
      <w:rPr>
        <w:sz w:val="16"/>
        <w:szCs w:val="16"/>
      </w:rPr>
    </w:pPr>
    <w:r>
      <w:rPr>
        <w:sz w:val="16"/>
        <w:szCs w:val="16"/>
      </w:rPr>
      <w:t xml:space="preserve">Address: Room 1511,No 31, Lane 2419 Hu Nan Road, </w:t>
    </w:r>
  </w:p>
  <w:p w14:paraId="535CCE09">
    <w:pPr>
      <w:pStyle w:val="11"/>
      <w:tabs>
        <w:tab w:val="left" w:pos="812"/>
      </w:tabs>
      <w:ind w:left="-2" w:leftChars="-1"/>
      <w:rPr>
        <w:sz w:val="16"/>
        <w:szCs w:val="16"/>
      </w:rPr>
    </w:pPr>
    <w:r>
      <w:rPr>
        <w:sz w:val="16"/>
        <w:szCs w:val="16"/>
      </w:rPr>
      <w:t xml:space="preserve">Building A Forte Vanke Energy City, </w:t>
    </w:r>
  </w:p>
  <w:p w14:paraId="75425D51">
    <w:pPr>
      <w:pStyle w:val="11"/>
      <w:tabs>
        <w:tab w:val="left" w:pos="812"/>
      </w:tabs>
      <w:ind w:left="-2" w:leftChars="-1"/>
      <w:rPr>
        <w:sz w:val="16"/>
        <w:szCs w:val="16"/>
      </w:rPr>
    </w:pPr>
    <w:r>
      <w:rPr>
        <w:sz w:val="16"/>
        <w:szCs w:val="16"/>
      </w:rPr>
      <w:t>Shanghai China, 201204</w:t>
    </w:r>
  </w:p>
  <w:p w14:paraId="0A43BEDD">
    <w:pPr>
      <w:pStyle w:val="11"/>
      <w:tabs>
        <w:tab w:val="left" w:pos="812"/>
      </w:tabs>
      <w:ind w:left="-2" w:leftChars="-1"/>
      <w:rPr>
        <w:sz w:val="16"/>
        <w:szCs w:val="16"/>
      </w:rPr>
    </w:pPr>
    <w:r>
      <w:rPr>
        <w:rFonts w:hint="eastAsia"/>
        <w:sz w:val="16"/>
        <w:szCs w:val="16"/>
      </w:rPr>
      <w:t xml:space="preserve">L 86 21 </w:t>
    </w:r>
    <w:r>
      <w:rPr>
        <w:sz w:val="16"/>
        <w:szCs w:val="16"/>
      </w:rPr>
      <w:t>6110</w:t>
    </w:r>
    <w:r>
      <w:rPr>
        <w:rFonts w:hint="eastAsia"/>
        <w:sz w:val="16"/>
        <w:szCs w:val="16"/>
      </w:rPr>
      <w:t xml:space="preserve"> </w:t>
    </w:r>
    <w:r>
      <w:rPr>
        <w:sz w:val="16"/>
        <w:szCs w:val="16"/>
      </w:rPr>
      <w:t>1318</w:t>
    </w:r>
  </w:p>
  <w:p w14:paraId="10672FA3">
    <w:pPr>
      <w:pStyle w:val="11"/>
      <w:tabs>
        <w:tab w:val="left" w:pos="812"/>
      </w:tabs>
      <w:ind w:left="-2" w:leftChars="-1"/>
      <w:rPr>
        <w:sz w:val="16"/>
        <w:szCs w:val="16"/>
      </w:rPr>
    </w:pPr>
    <w:r>
      <w:rPr>
        <w:rFonts w:hint="eastAsia"/>
        <w:sz w:val="16"/>
        <w:szCs w:val="16"/>
      </w:rPr>
      <w:t xml:space="preserve">T 86 21 </w:t>
    </w:r>
    <w:r>
      <w:rPr>
        <w:sz w:val="16"/>
        <w:szCs w:val="16"/>
      </w:rPr>
      <w:t>6110</w:t>
    </w:r>
    <w:r>
      <w:rPr>
        <w:rFonts w:hint="eastAsia"/>
        <w:sz w:val="16"/>
        <w:szCs w:val="16"/>
      </w:rPr>
      <w:t xml:space="preserve"> </w:t>
    </w:r>
    <w:r>
      <w:rPr>
        <w:sz w:val="16"/>
        <w:szCs w:val="16"/>
      </w:rPr>
      <w:t>131</w:t>
    </w:r>
    <w:r>
      <w:rPr>
        <w:rFonts w:hint="eastAsia"/>
        <w:sz w:val="16"/>
        <w:szCs w:val="16"/>
      </w:rPr>
      <w:t>9</w:t>
    </w:r>
  </w:p>
  <w:p w14:paraId="2582AF5C">
    <w:pPr>
      <w:pStyle w:val="11"/>
      <w:tabs>
        <w:tab w:val="left" w:pos="812"/>
      </w:tabs>
      <w:ind w:left="-2" w:leftChars="-1"/>
      <w:rPr>
        <w:sz w:val="16"/>
        <w:szCs w:val="16"/>
      </w:rPr>
    </w:pPr>
    <w:r>
      <w:rPr>
        <w:sz w:val="16"/>
        <w:szCs w:val="16"/>
      </w:rPr>
      <w:t>www.talentwitkey.com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48E61">
    <w:pPr>
      <w:pStyle w:val="12"/>
    </w:pPr>
    <w:r>
      <w:rPr>
        <w:lang w:eastAsia="zh-CN"/>
      </w:rPr>
      <w:drawing>
        <wp:inline distT="0" distB="0" distL="0" distR="0">
          <wp:extent cx="2688590" cy="61023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
                  <a:srcRect l="5364" t="16108" b="20004"/>
                  <a:stretch>
                    <a:fillRect/>
                  </a:stretch>
                </pic:blipFill>
                <pic:spPr>
                  <a:xfrm>
                    <a:off x="0" y="0"/>
                    <a:ext cx="2715244" cy="616234"/>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abstractNum w:abstractNumId="1">
    <w:nsid w:val="38C864AB"/>
    <w:multiLevelType w:val="singleLevel"/>
    <w:tmpl w:val="38C864AB"/>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5756B0"/>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2D0F3F"/>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A92AF2"/>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6</Pages>
  <Words>3630</Words>
  <Characters>3923</Characters>
  <Lines>8</Lines>
  <Paragraphs>2</Paragraphs>
  <TotalTime>7</TotalTime>
  <ScaleCrop>false</ScaleCrop>
  <LinksUpToDate>false</LinksUpToDate>
  <CharactersWithSpaces>3975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不到130不改名</cp:lastModifiedBy>
  <cp:lastPrinted>2008-12-02T06:16:00Z</cp:lastPrinted>
  <dcterms:modified xsi:type="dcterms:W3CDTF">2025-11-11T07:28:54Z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23F5849C860E42009518BE6EBFCA3F72_13</vt:lpwstr>
  </property>
  <property fmtid="{D5CDD505-2E9C-101B-9397-08002B2CF9AE}" pid="3" name="KSOProductBuildVer">
    <vt:lpwstr>2052-12.1.0.23542</vt:lpwstr>
  </property>
  <property fmtid="{D5CDD505-2E9C-101B-9397-08002B2CF9AE}" pid="4" name="KSOTemplateDocerSaveRecord">
    <vt:lpwstr>eyJoZGlkIjoiMjU3ZWY3ZDZmM2UyYTE2YTU1NTMzMzMyMjVhYjdmNDEiLCJ1c2VySWQiOiIxMjc0Nzc4MDQwIn0=</vt:lpwstr>
  </property>
</Properties>
</file>