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F1BFED8">
      <w:pPr>
        <w:spacing w:line="300" w:lineRule="auto"/>
        <w:jc w:val="center"/>
        <w:rPr>
          <w:b/>
          <w:sz w:val="10"/>
          <w:szCs w:val="10"/>
          <w:lang w:eastAsia="zh-CN"/>
        </w:rPr>
      </w:pPr>
    </w:p>
    <w:p w14:paraId="2E51C49C">
      <w:pPr>
        <w:spacing w:line="300" w:lineRule="auto"/>
        <w:ind w:firstLine="3947" w:firstLineChars="1092"/>
        <w:rPr>
          <w:b/>
          <w:sz w:val="36"/>
          <w:szCs w:val="36"/>
          <w:lang w:eastAsia="zh-CN"/>
        </w:rPr>
      </w:pPr>
      <w:r>
        <w:rPr>
          <w:rFonts w:hint="eastAsia"/>
          <w:b/>
          <w:sz w:val="36"/>
          <w:szCs w:val="36"/>
          <w:lang w:val="en-US" w:eastAsia="zh-CN"/>
        </w:rPr>
        <w:t>李哲</w:t>
      </w:r>
      <w:r>
        <w:rPr>
          <w:b/>
          <w:sz w:val="36"/>
          <w:szCs w:val="36"/>
          <w:lang w:eastAsia="zh-CN"/>
        </w:rPr>
        <w:t>推荐报告</w:t>
      </w:r>
    </w:p>
    <w:p w14:paraId="47CB9DCB">
      <w:pPr>
        <w:spacing w:line="300" w:lineRule="auto"/>
        <w:ind w:firstLine="6939" w:firstLineChars="2880"/>
        <w:rPr>
          <w:b/>
          <w:bCs/>
          <w:lang w:eastAsia="zh-CN"/>
        </w:rPr>
      </w:pPr>
      <w:r>
        <w:rPr>
          <w:rFonts w:hint="eastAsia"/>
          <w:b/>
          <w:bCs/>
          <w:lang w:eastAsia="zh-CN"/>
        </w:rPr>
        <w:t xml:space="preserve"> </w:t>
      </w:r>
    </w:p>
    <w:p w14:paraId="391B0895">
      <w:pPr>
        <w:tabs>
          <w:tab w:val="left" w:pos="3780"/>
          <w:tab w:val="left" w:pos="3815"/>
        </w:tabs>
        <w:adjustRightInd w:val="0"/>
        <w:snapToGrid w:val="0"/>
        <w:spacing w:line="300" w:lineRule="auto"/>
        <w:rPr>
          <w:b/>
          <w:bCs/>
          <w:u w:val="single"/>
          <w:shd w:val="pct10" w:color="auto" w:fill="FFFFFF"/>
          <w:lang w:eastAsia="zh-CN"/>
        </w:rPr>
      </w:pPr>
      <w:r>
        <w:rPr>
          <w:rFonts w:hint="eastAsia" w:eastAsiaTheme="minorEastAsia"/>
          <w:b/>
          <w:shd w:val="pct10" w:color="auto" w:fill="FFFFFF"/>
          <w:lang w:eastAsia="zh-CN"/>
        </w:rPr>
        <w:t>个人资料</w:t>
      </w:r>
    </w:p>
    <w:tbl>
      <w:tblPr>
        <w:tblStyle w:val="16"/>
        <w:tblW w:w="9923" w:type="dxa"/>
        <w:tblInd w:w="-147" w:type="dxa"/>
        <w:tblLayout w:type="fixed"/>
        <w:tblCellMar>
          <w:top w:w="0" w:type="dxa"/>
          <w:left w:w="108" w:type="dxa"/>
          <w:bottom w:w="0" w:type="dxa"/>
          <w:right w:w="108" w:type="dxa"/>
        </w:tblCellMar>
      </w:tblPr>
      <w:tblGrid>
        <w:gridCol w:w="7298"/>
        <w:gridCol w:w="2625"/>
      </w:tblGrid>
      <w:tr w14:paraId="627DB57C">
        <w:tblPrEx>
          <w:tblCellMar>
            <w:top w:w="0" w:type="dxa"/>
            <w:left w:w="108" w:type="dxa"/>
            <w:bottom w:w="0" w:type="dxa"/>
            <w:right w:w="108" w:type="dxa"/>
          </w:tblCellMar>
        </w:tblPrEx>
        <w:tc>
          <w:tcPr>
            <w:tcW w:w="7298" w:type="dxa"/>
          </w:tcPr>
          <w:p w14:paraId="14529625">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eastAsiaTheme="minorEastAsia"/>
                <w:lang w:val="en-US" w:eastAsia="zh-CN"/>
              </w:rPr>
              <w:t>李哲</w:t>
            </w:r>
          </w:p>
        </w:tc>
        <w:tc>
          <w:tcPr>
            <w:tcW w:w="2625" w:type="dxa"/>
            <w:vMerge w:val="restart"/>
          </w:tcPr>
          <w:p w14:paraId="36DEACFF">
            <w:pPr>
              <w:tabs>
                <w:tab w:val="left" w:pos="2700"/>
                <w:tab w:val="left" w:pos="3000"/>
                <w:tab w:val="left" w:pos="7965"/>
              </w:tabs>
              <w:spacing w:line="300" w:lineRule="auto"/>
              <w:rPr>
                <w:lang w:eastAsia="zh-CN"/>
              </w:rPr>
            </w:pPr>
          </w:p>
        </w:tc>
      </w:tr>
      <w:tr w14:paraId="47B5E70F">
        <w:tblPrEx>
          <w:tblCellMar>
            <w:top w:w="0" w:type="dxa"/>
            <w:left w:w="108" w:type="dxa"/>
            <w:bottom w:w="0" w:type="dxa"/>
            <w:right w:w="108" w:type="dxa"/>
          </w:tblCellMar>
        </w:tblPrEx>
        <w:trPr>
          <w:trHeight w:val="272" w:hRule="atLeast"/>
        </w:trPr>
        <w:tc>
          <w:tcPr>
            <w:tcW w:w="7298" w:type="dxa"/>
          </w:tcPr>
          <w:p w14:paraId="0A73FDCD">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出生年月</w:t>
            </w:r>
            <w:r>
              <w:rPr>
                <w:rFonts w:hint="default" w:eastAsiaTheme="minorEastAsia"/>
                <w:lang w:val="en-US" w:eastAsia="zh-CN"/>
              </w:rPr>
              <w:t>：</w:t>
            </w:r>
            <w:r>
              <w:rPr>
                <w:rFonts w:hint="eastAsia" w:eastAsiaTheme="minorEastAsia"/>
                <w:lang w:val="en-US" w:eastAsia="zh-CN"/>
              </w:rPr>
              <w:t>1982</w:t>
            </w:r>
          </w:p>
        </w:tc>
        <w:tc>
          <w:tcPr>
            <w:tcW w:w="2625" w:type="dxa"/>
            <w:vMerge w:val="continue"/>
          </w:tcPr>
          <w:p w14:paraId="53AB023C">
            <w:pPr>
              <w:tabs>
                <w:tab w:val="left" w:pos="2700"/>
                <w:tab w:val="left" w:pos="3000"/>
                <w:tab w:val="left" w:pos="7965"/>
              </w:tabs>
              <w:spacing w:line="300" w:lineRule="auto"/>
              <w:ind w:firstLine="120" w:firstLineChars="50"/>
              <w:rPr>
                <w:lang w:eastAsia="zh-CN"/>
              </w:rPr>
            </w:pPr>
          </w:p>
        </w:tc>
      </w:tr>
      <w:tr w14:paraId="28C57999">
        <w:tblPrEx>
          <w:tblCellMar>
            <w:top w:w="0" w:type="dxa"/>
            <w:left w:w="108" w:type="dxa"/>
            <w:bottom w:w="0" w:type="dxa"/>
            <w:right w:w="108" w:type="dxa"/>
          </w:tblCellMar>
        </w:tblPrEx>
        <w:trPr>
          <w:trHeight w:val="221" w:hRule="atLeast"/>
        </w:trPr>
        <w:tc>
          <w:tcPr>
            <w:tcW w:w="7298" w:type="dxa"/>
          </w:tcPr>
          <w:p w14:paraId="6D0C0571">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eastAsiaTheme="minorEastAsia"/>
                <w:lang w:val="en-US" w:eastAsia="zh-CN"/>
              </w:rPr>
              <w:t>男</w:t>
            </w:r>
          </w:p>
        </w:tc>
        <w:tc>
          <w:tcPr>
            <w:tcW w:w="2625" w:type="dxa"/>
            <w:vMerge w:val="continue"/>
          </w:tcPr>
          <w:p w14:paraId="5BF01903">
            <w:pPr>
              <w:tabs>
                <w:tab w:val="left" w:pos="2700"/>
                <w:tab w:val="left" w:pos="3000"/>
                <w:tab w:val="left" w:pos="7965"/>
              </w:tabs>
              <w:spacing w:line="300" w:lineRule="auto"/>
              <w:ind w:firstLine="120" w:firstLineChars="50"/>
              <w:rPr>
                <w:lang w:eastAsia="zh-CN"/>
              </w:rPr>
            </w:pPr>
          </w:p>
        </w:tc>
      </w:tr>
      <w:tr w14:paraId="24180101">
        <w:tblPrEx>
          <w:tblCellMar>
            <w:top w:w="0" w:type="dxa"/>
            <w:left w:w="108" w:type="dxa"/>
            <w:bottom w:w="0" w:type="dxa"/>
            <w:right w:w="108" w:type="dxa"/>
          </w:tblCellMar>
        </w:tblPrEx>
        <w:trPr>
          <w:trHeight w:val="90" w:hRule="atLeast"/>
        </w:trPr>
        <w:tc>
          <w:tcPr>
            <w:tcW w:w="7298" w:type="dxa"/>
          </w:tcPr>
          <w:p w14:paraId="618C5B22">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婚姻：</w:t>
            </w:r>
            <w:r>
              <w:rPr>
                <w:rFonts w:hint="eastAsia" w:eastAsiaTheme="minorEastAsia"/>
                <w:lang w:val="en-US" w:eastAsia="zh-CN"/>
              </w:rPr>
              <w:t>已婚已育</w:t>
            </w:r>
          </w:p>
        </w:tc>
        <w:tc>
          <w:tcPr>
            <w:tcW w:w="2625" w:type="dxa"/>
            <w:vMerge w:val="continue"/>
          </w:tcPr>
          <w:p w14:paraId="3B97CBAD">
            <w:pPr>
              <w:tabs>
                <w:tab w:val="left" w:pos="2700"/>
                <w:tab w:val="left" w:pos="3000"/>
                <w:tab w:val="left" w:pos="7965"/>
              </w:tabs>
              <w:spacing w:line="300" w:lineRule="auto"/>
              <w:ind w:firstLine="120" w:firstLineChars="50"/>
              <w:rPr>
                <w:lang w:eastAsia="zh-CN"/>
              </w:rPr>
            </w:pPr>
          </w:p>
        </w:tc>
      </w:tr>
      <w:tr w14:paraId="4AB79E3C">
        <w:tblPrEx>
          <w:tblCellMar>
            <w:top w:w="0" w:type="dxa"/>
            <w:left w:w="108" w:type="dxa"/>
            <w:bottom w:w="0" w:type="dxa"/>
            <w:right w:w="108" w:type="dxa"/>
          </w:tblCellMar>
        </w:tblPrEx>
        <w:trPr>
          <w:trHeight w:val="242" w:hRule="atLeast"/>
        </w:trPr>
        <w:tc>
          <w:tcPr>
            <w:tcW w:w="7298" w:type="dxa"/>
          </w:tcPr>
          <w:p w14:paraId="3F97E2B6">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户口</w:t>
            </w:r>
            <w:r>
              <w:rPr>
                <w:rFonts w:hint="eastAsia" w:eastAsiaTheme="minorEastAsia"/>
                <w:b/>
                <w:bCs/>
                <w:lang w:val="en-US" w:eastAsia="zh-CN"/>
              </w:rPr>
              <w:t>：</w:t>
            </w:r>
            <w:r>
              <w:rPr>
                <w:rFonts w:hint="eastAsia" w:eastAsiaTheme="minorEastAsia"/>
                <w:lang w:val="en-US" w:eastAsia="zh-CN"/>
              </w:rPr>
              <w:t>安徽</w:t>
            </w:r>
          </w:p>
        </w:tc>
        <w:tc>
          <w:tcPr>
            <w:tcW w:w="2625" w:type="dxa"/>
            <w:vMerge w:val="continue"/>
          </w:tcPr>
          <w:p w14:paraId="17F19475">
            <w:pPr>
              <w:tabs>
                <w:tab w:val="left" w:pos="2700"/>
                <w:tab w:val="left" w:pos="3000"/>
                <w:tab w:val="left" w:pos="7965"/>
              </w:tabs>
              <w:spacing w:line="300" w:lineRule="auto"/>
              <w:ind w:firstLine="120" w:firstLineChars="50"/>
              <w:rPr>
                <w:lang w:eastAsia="zh-CN"/>
              </w:rPr>
            </w:pPr>
          </w:p>
        </w:tc>
      </w:tr>
      <w:tr w14:paraId="181BC3BF">
        <w:tblPrEx>
          <w:tblCellMar>
            <w:top w:w="0" w:type="dxa"/>
            <w:left w:w="108" w:type="dxa"/>
            <w:bottom w:w="0" w:type="dxa"/>
            <w:right w:w="108" w:type="dxa"/>
          </w:tblCellMar>
        </w:tblPrEx>
        <w:trPr>
          <w:trHeight w:val="333" w:hRule="atLeast"/>
        </w:trPr>
        <w:tc>
          <w:tcPr>
            <w:tcW w:w="7298" w:type="dxa"/>
          </w:tcPr>
          <w:p w14:paraId="76505D88">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hint="eastAsia" w:eastAsiaTheme="minorEastAsia"/>
                <w:b/>
                <w:bCs/>
                <w:lang w:eastAsia="zh-CN"/>
              </w:rPr>
              <w:t>：</w:t>
            </w:r>
            <w:r>
              <w:rPr>
                <w:rFonts w:hint="eastAsia" w:eastAsiaTheme="minorEastAsia"/>
                <w:lang w:val="en-US" w:eastAsia="zh-CN"/>
              </w:rPr>
              <w:t>上海</w:t>
            </w:r>
          </w:p>
        </w:tc>
        <w:tc>
          <w:tcPr>
            <w:tcW w:w="2625" w:type="dxa"/>
            <w:vMerge w:val="continue"/>
          </w:tcPr>
          <w:p w14:paraId="7E85D5A9">
            <w:pPr>
              <w:tabs>
                <w:tab w:val="left" w:pos="2700"/>
                <w:tab w:val="left" w:pos="3000"/>
                <w:tab w:val="left" w:pos="7965"/>
              </w:tabs>
              <w:spacing w:line="300" w:lineRule="auto"/>
              <w:ind w:firstLine="120" w:firstLineChars="50"/>
              <w:rPr>
                <w:lang w:eastAsia="zh-CN"/>
              </w:rPr>
            </w:pPr>
          </w:p>
        </w:tc>
      </w:tr>
      <w:tr w14:paraId="5D592FD9">
        <w:tblPrEx>
          <w:tblCellMar>
            <w:top w:w="0" w:type="dxa"/>
            <w:left w:w="108" w:type="dxa"/>
            <w:bottom w:w="0" w:type="dxa"/>
            <w:right w:w="108" w:type="dxa"/>
          </w:tblCellMar>
        </w:tblPrEx>
        <w:tc>
          <w:tcPr>
            <w:tcW w:w="7298" w:type="dxa"/>
          </w:tcPr>
          <w:p w14:paraId="4B6893EC">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hint="eastAsia" w:eastAsiaTheme="minorEastAsia"/>
                <w:lang w:val="en-US" w:eastAsia="zh-CN"/>
              </w:rPr>
              <w:t>18310713071</w:t>
            </w:r>
          </w:p>
        </w:tc>
        <w:tc>
          <w:tcPr>
            <w:tcW w:w="2625" w:type="dxa"/>
            <w:vMerge w:val="continue"/>
          </w:tcPr>
          <w:p w14:paraId="3F284C93">
            <w:pPr>
              <w:tabs>
                <w:tab w:val="left" w:pos="2700"/>
                <w:tab w:val="left" w:pos="3000"/>
                <w:tab w:val="left" w:pos="7965"/>
              </w:tabs>
              <w:spacing w:line="300" w:lineRule="auto"/>
              <w:rPr>
                <w:lang w:eastAsia="zh-CN"/>
              </w:rPr>
            </w:pPr>
          </w:p>
        </w:tc>
      </w:tr>
      <w:tr w14:paraId="493EEC62">
        <w:tblPrEx>
          <w:tblCellMar>
            <w:top w:w="0" w:type="dxa"/>
            <w:left w:w="108" w:type="dxa"/>
            <w:bottom w:w="0" w:type="dxa"/>
            <w:right w:w="108" w:type="dxa"/>
          </w:tblCellMar>
        </w:tblPrEx>
        <w:tc>
          <w:tcPr>
            <w:tcW w:w="7298" w:type="dxa"/>
          </w:tcPr>
          <w:p w14:paraId="16E271D1">
            <w:pPr>
              <w:rPr>
                <w:lang w:eastAsia="zh-CN"/>
              </w:rPr>
            </w:pPr>
            <w:r>
              <w:rPr>
                <w:rFonts w:hint="eastAsia" w:eastAsiaTheme="minorEastAsia"/>
                <w:b/>
                <w:bCs/>
                <w:color w:val="000000" w:themeColor="text1"/>
                <w:lang w:eastAsia="zh-CN"/>
                <w14:textFill>
                  <w14:solidFill>
                    <w14:schemeClr w14:val="tx1"/>
                  </w14:solidFill>
                </w14:textFill>
              </w:rPr>
              <w:t>Email：</w:t>
            </w:r>
            <w:r>
              <w:rPr>
                <w:rFonts w:hint="eastAsia" w:eastAsiaTheme="minorEastAsia"/>
                <w:b w:val="0"/>
                <w:bCs w:val="0"/>
                <w:color w:val="000000" w:themeColor="text1"/>
                <w:lang w:val="en-US" w:eastAsia="zh-CN"/>
                <w14:textFill>
                  <w14:solidFill>
                    <w14:schemeClr w14:val="tx1"/>
                  </w14:solidFill>
                </w14:textFill>
              </w:rPr>
              <w:t>54534467@qq.com</w:t>
            </w:r>
          </w:p>
        </w:tc>
        <w:tc>
          <w:tcPr>
            <w:tcW w:w="2625" w:type="dxa"/>
            <w:vMerge w:val="continue"/>
          </w:tcPr>
          <w:p w14:paraId="284017E4">
            <w:pPr>
              <w:tabs>
                <w:tab w:val="left" w:pos="2700"/>
                <w:tab w:val="left" w:pos="3000"/>
                <w:tab w:val="left" w:pos="7965"/>
              </w:tabs>
              <w:spacing w:line="300" w:lineRule="auto"/>
              <w:rPr>
                <w:lang w:eastAsia="zh-CN"/>
              </w:rPr>
            </w:pPr>
          </w:p>
        </w:tc>
      </w:tr>
    </w:tbl>
    <w:p w14:paraId="3BD88BF7">
      <w:pPr>
        <w:tabs>
          <w:tab w:val="left" w:pos="2010"/>
        </w:tabs>
        <w:spacing w:line="300" w:lineRule="auto"/>
        <w:rPr>
          <w:iCs/>
          <w:szCs w:val="21"/>
        </w:rPr>
      </w:pPr>
    </w:p>
    <w:p w14:paraId="3EE59C90">
      <w:pPr>
        <w:tabs>
          <w:tab w:val="left" w:pos="2552"/>
        </w:tabs>
        <w:spacing w:line="300" w:lineRule="auto"/>
        <w:rPr>
          <w:b/>
          <w:szCs w:val="21"/>
          <w:lang w:val="en-GB" w:eastAsia="zh-CN"/>
        </w:rPr>
      </w:pPr>
    </w:p>
    <w:p w14:paraId="066B1A62">
      <w:pPr>
        <w:tabs>
          <w:tab w:val="left" w:pos="2552"/>
        </w:tabs>
        <w:spacing w:line="300" w:lineRule="auto"/>
        <w:rPr>
          <w:b/>
          <w:szCs w:val="21"/>
          <w:lang w:val="en-GB" w:eastAsia="zh-CN"/>
        </w:rPr>
      </w:pPr>
      <w:r>
        <w:rPr>
          <w:b/>
          <w:szCs w:val="21"/>
          <w:lang w:val="en-GB" w:eastAsia="zh-CN"/>
        </w:rPr>
        <w:t>教育背景</w:t>
      </w:r>
    </w:p>
    <w:p w14:paraId="54664B51">
      <w:pPr>
        <w:tabs>
          <w:tab w:val="left" w:pos="2552"/>
        </w:tabs>
        <w:spacing w:line="300" w:lineRule="auto"/>
        <w:rPr>
          <w:rFonts w:hint="eastAsia"/>
          <w:b/>
          <w:szCs w:val="21"/>
          <w:lang w:val="en-GB" w:eastAsia="zh-CN"/>
        </w:rPr>
      </w:pPr>
      <w:r>
        <w:rPr>
          <w:rFonts w:hint="eastAsia"/>
          <w:b/>
          <w:szCs w:val="21"/>
          <w:lang w:val="en-GB" w:eastAsia="zh-CN"/>
        </w:rPr>
        <w:t>2001.09—2005.07         辽宁省科技学院         现代汉语言        本科</w:t>
      </w:r>
    </w:p>
    <w:p w14:paraId="042BB892">
      <w:pPr>
        <w:tabs>
          <w:tab w:val="left" w:pos="2552"/>
        </w:tabs>
        <w:spacing w:line="300" w:lineRule="auto"/>
        <w:rPr>
          <w:rFonts w:hint="eastAsia"/>
          <w:b/>
          <w:bCs/>
          <w:szCs w:val="21"/>
          <w:u w:val="single"/>
          <w:shd w:val="pct10" w:color="auto" w:fill="FFFFFF"/>
          <w:lang w:val="en-US" w:eastAsia="zh-CN"/>
        </w:rPr>
      </w:pPr>
    </w:p>
    <w:p w14:paraId="5112FB42">
      <w:pPr>
        <w:tabs>
          <w:tab w:val="left" w:pos="2552"/>
        </w:tabs>
        <w:spacing w:line="300" w:lineRule="auto"/>
        <w:rPr>
          <w:rFonts w:hint="eastAsia"/>
          <w:b/>
          <w:bCs/>
          <w:szCs w:val="21"/>
          <w:u w:val="single"/>
          <w:shd w:val="pct10" w:color="auto" w:fill="FFFFFF"/>
          <w:lang w:val="en-US" w:eastAsia="zh-CN"/>
        </w:rPr>
      </w:pPr>
      <w:r>
        <w:rPr>
          <w:rFonts w:hint="eastAsia"/>
          <w:b/>
          <w:bCs/>
          <w:szCs w:val="21"/>
          <w:u w:val="single"/>
          <w:shd w:val="pct10" w:color="auto" w:fill="FFFFFF"/>
          <w:lang w:val="en-US" w:eastAsia="zh-CN"/>
        </w:rPr>
        <w:t>个人优势</w:t>
      </w:r>
    </w:p>
    <w:p w14:paraId="4C99B323">
      <w:pPr>
        <w:tabs>
          <w:tab w:val="left" w:pos="2552"/>
        </w:tabs>
        <w:spacing w:line="300" w:lineRule="auto"/>
        <w:rPr>
          <w:rFonts w:hint="eastAsia"/>
          <w:b/>
          <w:bCs/>
          <w:szCs w:val="21"/>
          <w:u w:val="single"/>
          <w:shd w:val="pct10" w:color="auto" w:fill="FFFFFF"/>
          <w:lang w:val="en-US" w:eastAsia="zh-CN"/>
        </w:rPr>
      </w:pPr>
      <w:r>
        <w:rPr>
          <w:rFonts w:hint="eastAsia"/>
          <w:b/>
          <w:bCs/>
          <w:szCs w:val="21"/>
          <w:u w:val="single"/>
          <w:shd w:val="pct10" w:color="auto" w:fill="FFFFFF"/>
          <w:lang w:val="en-US" w:eastAsia="zh-CN"/>
        </w:rPr>
        <w:t>区域：</w:t>
      </w:r>
      <w:r>
        <w:rPr>
          <w:rStyle w:val="40"/>
          <w:rFonts w:hint="eastAsia"/>
          <w:sz w:val="24"/>
          <w:szCs w:val="24"/>
          <w:lang w:val="en-US" w:eastAsia="zh-CN"/>
        </w:rPr>
        <w:t>全国范围</w:t>
      </w:r>
    </w:p>
    <w:p w14:paraId="1229C2A4">
      <w:pPr>
        <w:tabs>
          <w:tab w:val="left" w:pos="2552"/>
        </w:tabs>
        <w:spacing w:line="300" w:lineRule="auto"/>
        <w:rPr>
          <w:rStyle w:val="40"/>
          <w:rFonts w:hint="eastAsia"/>
          <w:sz w:val="24"/>
          <w:szCs w:val="24"/>
          <w:lang w:val="en-US" w:eastAsia="zh-CN"/>
        </w:rPr>
      </w:pPr>
      <w:r>
        <w:rPr>
          <w:rFonts w:hint="eastAsia"/>
          <w:b/>
          <w:bCs/>
          <w:szCs w:val="21"/>
          <w:u w:val="single"/>
          <w:shd w:val="pct10" w:color="auto" w:fill="FFFFFF"/>
          <w:lang w:val="en-US" w:eastAsia="zh-CN"/>
        </w:rPr>
        <w:t>客户：</w:t>
      </w:r>
      <w:r>
        <w:rPr>
          <w:rStyle w:val="40"/>
          <w:sz w:val="24"/>
          <w:szCs w:val="24"/>
          <w:lang w:eastAsia="zh-CN"/>
        </w:rPr>
        <w:t>停简单，捷停车，阳光海天</w:t>
      </w:r>
      <w:r>
        <w:rPr>
          <w:rStyle w:val="40"/>
          <w:rFonts w:hint="eastAsia"/>
          <w:sz w:val="24"/>
          <w:szCs w:val="24"/>
          <w:lang w:eastAsia="zh-CN"/>
        </w:rPr>
        <w:t>，</w:t>
      </w:r>
      <w:r>
        <w:rPr>
          <w:rStyle w:val="40"/>
          <w:rFonts w:hint="eastAsia"/>
          <w:sz w:val="24"/>
          <w:szCs w:val="24"/>
          <w:lang w:val="en-US" w:eastAsia="zh-CN"/>
        </w:rPr>
        <w:t>海康，大华等一线停车公司都有资源</w:t>
      </w:r>
    </w:p>
    <w:p w14:paraId="4AF35EE5">
      <w:pPr>
        <w:pStyle w:val="32"/>
        <w:widowControl w:val="0"/>
        <w:numPr>
          <w:ilvl w:val="0"/>
          <w:numId w:val="0"/>
        </w:numPr>
        <w:autoSpaceDE w:val="0"/>
        <w:autoSpaceDN w:val="0"/>
        <w:adjustRightInd w:val="0"/>
        <w:spacing w:line="360" w:lineRule="auto"/>
        <w:ind w:leftChars="0"/>
        <w:jc w:val="both"/>
        <w:rPr>
          <w:rStyle w:val="40"/>
          <w:sz w:val="24"/>
          <w:szCs w:val="24"/>
          <w:lang w:eastAsia="zh-CN"/>
        </w:rPr>
      </w:pPr>
      <w:r>
        <w:rPr>
          <w:rFonts w:hint="eastAsia" w:ascii="Times New Roman" w:hAnsi="Times New Roman" w:eastAsia="宋体" w:cs="Times New Roman"/>
          <w:b/>
          <w:bCs/>
          <w:sz w:val="24"/>
          <w:szCs w:val="21"/>
          <w:u w:val="single"/>
          <w:shd w:val="pct10" w:color="auto" w:fill="FFFFFF"/>
          <w:lang w:val="en-US" w:eastAsia="zh-CN" w:bidi="ar-SA"/>
        </w:rPr>
        <w:t>业绩：</w:t>
      </w:r>
      <w:r>
        <w:rPr>
          <w:rStyle w:val="40"/>
          <w:sz w:val="24"/>
          <w:szCs w:val="24"/>
          <w:lang w:eastAsia="zh-CN"/>
        </w:rPr>
        <w:t>2019年，个人资源落地杭州丁桥镇核心区域某商业项目（特许经营权），完成公司预期收益额6000万。</w:t>
      </w:r>
    </w:p>
    <w:p w14:paraId="31E9137F">
      <w:pPr>
        <w:pStyle w:val="32"/>
        <w:widowControl w:val="0"/>
        <w:numPr>
          <w:ilvl w:val="0"/>
          <w:numId w:val="0"/>
        </w:numPr>
        <w:autoSpaceDE w:val="0"/>
        <w:autoSpaceDN w:val="0"/>
        <w:adjustRightInd w:val="0"/>
        <w:spacing w:line="360" w:lineRule="auto"/>
        <w:ind w:leftChars="0"/>
        <w:jc w:val="both"/>
        <w:rPr>
          <w:rStyle w:val="40"/>
          <w:sz w:val="24"/>
          <w:szCs w:val="24"/>
          <w:lang w:eastAsia="zh-CN"/>
        </w:rPr>
      </w:pPr>
      <w:r>
        <w:rPr>
          <w:rStyle w:val="40"/>
          <w:sz w:val="24"/>
          <w:szCs w:val="24"/>
          <w:lang w:eastAsia="zh-CN"/>
        </w:rPr>
        <w:t>2019年，个人资源落地潍坊市核心地段某综合性商业项目（特许经营权），完成公司业绩1500万。</w:t>
      </w:r>
    </w:p>
    <w:p w14:paraId="06FB3E23">
      <w:pPr>
        <w:pStyle w:val="32"/>
        <w:widowControl w:val="0"/>
        <w:numPr>
          <w:ilvl w:val="0"/>
          <w:numId w:val="0"/>
        </w:numPr>
        <w:autoSpaceDE w:val="0"/>
        <w:autoSpaceDN w:val="0"/>
        <w:adjustRightInd w:val="0"/>
        <w:spacing w:line="360" w:lineRule="auto"/>
        <w:ind w:leftChars="0"/>
        <w:jc w:val="both"/>
        <w:rPr>
          <w:rStyle w:val="40"/>
          <w:sz w:val="24"/>
          <w:szCs w:val="24"/>
          <w:lang w:eastAsia="zh-CN"/>
        </w:rPr>
      </w:pPr>
      <w:r>
        <w:rPr>
          <w:rStyle w:val="40"/>
          <w:sz w:val="24"/>
          <w:szCs w:val="24"/>
          <w:lang w:eastAsia="zh-CN"/>
        </w:rPr>
        <w:t>2019年，个人资源签约广西最大的物流园项目，折算公司业绩1.5亿。</w:t>
      </w:r>
    </w:p>
    <w:p w14:paraId="27A23CE8">
      <w:pPr>
        <w:tabs>
          <w:tab w:val="left" w:pos="2552"/>
        </w:tabs>
        <w:spacing w:line="300" w:lineRule="auto"/>
        <w:rPr>
          <w:rStyle w:val="40"/>
          <w:rFonts w:hint="default"/>
          <w:sz w:val="24"/>
          <w:szCs w:val="24"/>
          <w:lang w:val="en-US" w:eastAsia="zh-CN"/>
        </w:rPr>
      </w:pPr>
      <w:r>
        <w:rPr>
          <w:rStyle w:val="40"/>
          <w:sz w:val="24"/>
          <w:szCs w:val="24"/>
          <w:lang w:eastAsia="zh-CN"/>
        </w:rPr>
        <w:t>2019年，个人资源签约贵阳市某超大型商业综合体项目，折算公司业绩1.5亿</w:t>
      </w:r>
    </w:p>
    <w:p w14:paraId="24DC5D17">
      <w:pPr>
        <w:spacing w:line="300" w:lineRule="auto"/>
        <w:rPr>
          <w:rStyle w:val="40"/>
          <w:rFonts w:hint="eastAsia"/>
          <w:sz w:val="24"/>
          <w:szCs w:val="24"/>
          <w:lang w:val="en-US" w:eastAsia="zh-CN"/>
        </w:rPr>
      </w:pPr>
      <w:r>
        <w:rPr>
          <w:rStyle w:val="40"/>
          <w:sz w:val="24"/>
          <w:szCs w:val="24"/>
          <w:lang w:eastAsia="zh-CN"/>
        </w:rPr>
        <w:t>在职期间，主导对接遵义市红花岗区城投、岳阳市城投、潍坊市城投、成都市青羊区城投、长春市城建投、大连市城建投、济南市交警支队、天池风景区池西区管委会等多家政府平台，最终成功签约并落地了两个城市级合作项目</w:t>
      </w:r>
      <w:r>
        <w:rPr>
          <w:rStyle w:val="40"/>
          <w:rFonts w:hint="eastAsia"/>
          <w:sz w:val="24"/>
          <w:szCs w:val="24"/>
          <w:lang w:val="en-US" w:eastAsia="zh-CN"/>
        </w:rPr>
        <w:t>.</w:t>
      </w:r>
    </w:p>
    <w:p w14:paraId="314FBFC7">
      <w:pPr>
        <w:spacing w:line="300" w:lineRule="auto"/>
        <w:rPr>
          <w:rStyle w:val="40"/>
          <w:rFonts w:hint="default"/>
          <w:sz w:val="24"/>
          <w:szCs w:val="24"/>
          <w:lang w:val="en-US" w:eastAsia="zh-CN"/>
        </w:rPr>
      </w:pPr>
    </w:p>
    <w:p w14:paraId="2F14E9E5">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09B1DBD8">
      <w:pPr>
        <w:tabs>
          <w:tab w:val="left" w:pos="2552"/>
        </w:tabs>
        <w:spacing w:line="300" w:lineRule="auto"/>
        <w:rPr>
          <w:rFonts w:hint="default"/>
          <w:szCs w:val="21"/>
          <w:lang w:val="en-US" w:eastAsia="zh-CN"/>
        </w:rPr>
      </w:pPr>
      <w:r>
        <w:rPr>
          <w:szCs w:val="21"/>
          <w:lang w:val="en-GB" w:eastAsia="zh-CN"/>
        </w:rPr>
        <w:t>目前薪资：</w:t>
      </w:r>
      <w:r>
        <w:rPr>
          <w:rFonts w:hint="eastAsia"/>
          <w:szCs w:val="21"/>
          <w:lang w:val="en-US" w:eastAsia="zh-CN"/>
        </w:rPr>
        <w:t>基本月薪：30k*13 年包40w</w:t>
      </w:r>
    </w:p>
    <w:p w14:paraId="319560A4">
      <w:pPr>
        <w:tabs>
          <w:tab w:val="left" w:pos="2552"/>
        </w:tabs>
        <w:spacing w:line="300" w:lineRule="auto"/>
        <w:rPr>
          <w:rFonts w:hint="default"/>
          <w:szCs w:val="21"/>
          <w:lang w:val="en-US" w:eastAsia="zh-CN"/>
        </w:rPr>
      </w:pPr>
      <w:r>
        <w:rPr>
          <w:szCs w:val="21"/>
          <w:lang w:val="en-GB" w:eastAsia="zh-CN"/>
        </w:rPr>
        <w:t>期望薪资</w:t>
      </w:r>
      <w:r>
        <w:rPr>
          <w:rFonts w:hint="default"/>
          <w:szCs w:val="21"/>
          <w:lang w:val="en-GB" w:eastAsia="zh-CN"/>
        </w:rPr>
        <w:t>：</w:t>
      </w:r>
      <w:r>
        <w:rPr>
          <w:rFonts w:hint="eastAsia"/>
          <w:szCs w:val="21"/>
          <w:lang w:val="en-US" w:eastAsia="zh-CN"/>
        </w:rPr>
        <w:t>40w-60w</w:t>
      </w:r>
    </w:p>
    <w:p w14:paraId="4A00C9E8">
      <w:pPr>
        <w:tabs>
          <w:tab w:val="left" w:pos="2552"/>
        </w:tabs>
        <w:spacing w:line="300" w:lineRule="auto"/>
        <w:rPr>
          <w:szCs w:val="21"/>
          <w:lang w:val="en-GB" w:eastAsia="zh-CN"/>
        </w:rPr>
      </w:pPr>
    </w:p>
    <w:p w14:paraId="193565B0">
      <w:pPr>
        <w:spacing w:line="300" w:lineRule="auto"/>
        <w:rPr>
          <w:b/>
          <w:bCs/>
          <w:szCs w:val="21"/>
          <w:u w:val="single"/>
          <w:shd w:val="pct10" w:color="auto" w:fill="FFFFFF"/>
          <w:lang w:eastAsia="zh-CN"/>
        </w:rPr>
      </w:pPr>
      <w:r>
        <w:rPr>
          <w:b/>
          <w:bCs/>
          <w:szCs w:val="21"/>
          <w:u w:val="single"/>
          <w:shd w:val="pct10" w:color="auto" w:fill="FFFFFF"/>
          <w:lang w:eastAsia="zh-CN"/>
        </w:rPr>
        <w:t>工作经历</w:t>
      </w:r>
    </w:p>
    <w:p w14:paraId="4C431207">
      <w:pPr>
        <w:spacing w:line="300" w:lineRule="auto"/>
        <w:rPr>
          <w:rFonts w:hint="eastAsia" w:ascii="宋体" w:hAnsi="宋体" w:cs="宋体"/>
          <w:b/>
          <w:color w:val="000000"/>
          <w:lang w:eastAsia="zh-CN"/>
        </w:rPr>
      </w:pPr>
      <w:r>
        <w:rPr>
          <w:rFonts w:hint="eastAsia" w:ascii="宋体" w:hAnsi="宋体" w:cs="宋体"/>
          <w:b/>
          <w:color w:val="000000"/>
          <w:lang w:val="en-US" w:eastAsia="zh-CN"/>
        </w:rPr>
        <w:t>2024.10—至今 创业</w:t>
      </w:r>
      <w:r>
        <w:rPr>
          <w:rFonts w:hint="eastAsia" w:ascii="宋体" w:hAnsi="宋体" w:cs="宋体"/>
          <w:b/>
          <w:color w:val="000000"/>
          <w:lang w:eastAsia="zh-CN"/>
        </w:rPr>
        <w:t xml:space="preserve">  </w:t>
      </w:r>
    </w:p>
    <w:p w14:paraId="6D22878E">
      <w:pPr>
        <w:spacing w:line="300" w:lineRule="auto"/>
        <w:rPr>
          <w:rFonts w:hint="eastAsia" w:ascii="宋体" w:hAnsi="宋体" w:cs="宋体"/>
          <w:b/>
          <w:color w:val="000000"/>
          <w:lang w:eastAsia="zh-CN"/>
        </w:rPr>
      </w:pPr>
    </w:p>
    <w:p w14:paraId="3320A446">
      <w:pPr>
        <w:spacing w:line="300" w:lineRule="auto"/>
        <w:rPr>
          <w:rFonts w:ascii="宋体" w:hAnsi="宋体" w:cs="宋体"/>
          <w:b/>
          <w:color w:val="000000"/>
          <w:lang w:eastAsia="zh-CN"/>
        </w:rPr>
      </w:pPr>
      <w:r>
        <w:rPr>
          <w:rFonts w:hint="eastAsia" w:ascii="宋体" w:hAnsi="宋体" w:cs="宋体"/>
          <w:b/>
          <w:color w:val="000000"/>
          <w:lang w:val="en-US" w:eastAsia="zh-CN"/>
        </w:rPr>
        <w:t>2022.10—2024.10</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上海停车</w:t>
      </w:r>
      <w:r>
        <w:rPr>
          <w:rFonts w:hint="eastAsia"/>
          <w:b/>
          <w:lang w:eastAsia="zh-CN"/>
        </w:rPr>
        <w:t xml:space="preserve">     </w:t>
      </w:r>
      <w:r>
        <w:rPr>
          <w:rFonts w:hint="eastAsia"/>
          <w:b/>
          <w:lang w:val="en-US" w:eastAsia="zh-CN"/>
        </w:rPr>
        <w:t xml:space="preserve">               </w:t>
      </w:r>
      <w:r>
        <w:rPr>
          <w:rFonts w:hint="eastAsia"/>
          <w:b/>
          <w:lang w:eastAsia="zh-CN"/>
        </w:rPr>
        <w:t>副总经理</w:t>
      </w:r>
    </w:p>
    <w:p w14:paraId="2A24427C">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02414575">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rFonts w:hint="eastAsia"/>
          <w:sz w:val="24"/>
          <w:szCs w:val="24"/>
          <w:lang w:val="en-US" w:eastAsia="zh-CN"/>
        </w:rPr>
        <w:t>区域</w:t>
      </w:r>
      <w:r>
        <w:rPr>
          <w:rStyle w:val="40"/>
          <w:sz w:val="24"/>
          <w:szCs w:val="24"/>
          <w:lang w:eastAsia="zh-CN"/>
        </w:rPr>
        <w:t>：上海</w:t>
      </w:r>
    </w:p>
    <w:p w14:paraId="221D9B84">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rFonts w:hint="eastAsia"/>
          <w:sz w:val="24"/>
          <w:szCs w:val="24"/>
          <w:lang w:val="en-US" w:eastAsia="zh-CN"/>
        </w:rPr>
        <w:t>客户：</w:t>
      </w:r>
      <w:r>
        <w:rPr>
          <w:rStyle w:val="40"/>
          <w:sz w:val="24"/>
          <w:szCs w:val="24"/>
          <w:lang w:eastAsia="zh-CN"/>
        </w:rPr>
        <w:t>停简单，捷停车，阳光海天</w:t>
      </w:r>
      <w:r>
        <w:rPr>
          <w:rStyle w:val="40"/>
          <w:rFonts w:hint="eastAsia"/>
          <w:sz w:val="24"/>
          <w:szCs w:val="24"/>
          <w:lang w:eastAsia="zh-CN"/>
        </w:rPr>
        <w:t>，</w:t>
      </w:r>
      <w:r>
        <w:rPr>
          <w:rStyle w:val="40"/>
          <w:rFonts w:hint="eastAsia"/>
          <w:sz w:val="24"/>
          <w:szCs w:val="24"/>
          <w:lang w:val="en-US" w:eastAsia="zh-CN"/>
        </w:rPr>
        <w:t>海康，大华等一线停车公司</w:t>
      </w:r>
    </w:p>
    <w:p w14:paraId="44E7A79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下属人数：100</w:t>
      </w:r>
    </w:p>
    <w:p w14:paraId="2E27D7B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汇报对象：ceo</w:t>
      </w:r>
    </w:p>
    <w:p w14:paraId="3D995FE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岗位职责如下：</w:t>
      </w:r>
    </w:p>
    <w:p w14:paraId="7154F94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①组织实施总公司董事会制定的城市公司业务战略，制定和实施城市公司年度发展计划及方案；</w:t>
      </w:r>
    </w:p>
    <w:p w14:paraId="421417E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②负责制定、分解和实现城市公司整体经营计划和总目标，健全城市公司的管理体系与组织结构；</w:t>
      </w:r>
    </w:p>
    <w:p w14:paraId="59595EE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③主持城市公司日常各项经营管理工作及对下属各部门的全面管理；</w:t>
      </w:r>
    </w:p>
    <w:p w14:paraId="72B4808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④协调集团公司各线业务工作进展，确保公司集团协同业务线如研发、人资等工作能匹配城市公司所需。</w:t>
      </w:r>
    </w:p>
    <w:p w14:paraId="15FCE7B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负责落实公司集团内部管理工作在城市公司的落地实施；</w:t>
      </w:r>
    </w:p>
    <w:p w14:paraId="5D5B2B9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⑤围绕董事会要求，承担潜在目标市场开拓职责，包括实施可行性评估，代表公司商务接洽沟通等；</w:t>
      </w:r>
    </w:p>
    <w:p w14:paraId="3E256F50">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⑥分管集团公司智慧场库事业部，根据市场情况开发集成行业优秀技术产品，在董事会的指导下指定事业部战略规划并实施，对结果负责。</w:t>
      </w:r>
      <w:r>
        <w:rPr>
          <w:lang w:eastAsia="zh-CN"/>
        </w:rPr>
        <w:t xml:space="preserve"> </w:t>
      </w:r>
      <w:r>
        <w:rPr>
          <w:rFonts w:hint="eastAsia"/>
          <w:lang w:eastAsia="zh-CN"/>
        </w:rPr>
        <w:t xml:space="preserve">   </w:t>
      </w:r>
    </w:p>
    <w:p w14:paraId="0378D91F">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val="en-US" w:eastAsia="zh-CN"/>
        </w:rPr>
        <w:t>离职</w:t>
      </w:r>
      <w:r>
        <w:rPr>
          <w:rFonts w:hint="eastAsia" w:ascii="MicrosoftYaHei" w:hAnsi="MicrosoftYaHei"/>
          <w:b/>
          <w:bCs/>
          <w:color w:val="3F3F3F"/>
          <w:lang w:eastAsia="zh-CN"/>
        </w:rPr>
        <w:t>原因：</w:t>
      </w:r>
      <w:r>
        <w:rPr>
          <w:rStyle w:val="40"/>
          <w:rFonts w:hint="eastAsia" w:eastAsia="宋体" w:cs="Times New Roman"/>
          <w:sz w:val="24"/>
          <w:szCs w:val="24"/>
          <w:lang w:val="en-US" w:eastAsia="zh-CN" w:bidi="ar-SA"/>
        </w:rPr>
        <w:t xml:space="preserve"> </w:t>
      </w:r>
      <w:r>
        <w:rPr>
          <w:rStyle w:val="40"/>
          <w:rFonts w:eastAsia="宋体" w:cs="Times New Roman"/>
          <w:sz w:val="24"/>
          <w:szCs w:val="24"/>
          <w:lang w:val="en-US" w:eastAsia="zh-CN" w:bidi="ar-SA"/>
        </w:rPr>
        <w:t>不想只拿国企的固定工资，想带团队一起出来闯闯。</w:t>
      </w:r>
    </w:p>
    <w:p w14:paraId="7E1CF50C">
      <w:pPr>
        <w:pStyle w:val="32"/>
        <w:widowControl w:val="0"/>
        <w:numPr>
          <w:ilvl w:val="0"/>
          <w:numId w:val="0"/>
        </w:numPr>
        <w:autoSpaceDE w:val="0"/>
        <w:autoSpaceDN w:val="0"/>
        <w:adjustRightInd w:val="0"/>
        <w:spacing w:line="360" w:lineRule="auto"/>
        <w:ind w:leftChars="0"/>
        <w:jc w:val="both"/>
        <w:rPr>
          <w:rFonts w:hint="eastAsia"/>
          <w:lang w:eastAsia="zh-CN"/>
        </w:rPr>
      </w:pPr>
    </w:p>
    <w:p w14:paraId="183E2245">
      <w:pPr>
        <w:spacing w:line="300" w:lineRule="auto"/>
        <w:rPr>
          <w:b/>
          <w:lang w:eastAsia="zh-CN"/>
        </w:rPr>
      </w:pPr>
      <w:r>
        <w:rPr>
          <w:rFonts w:hint="eastAsia" w:ascii="宋体" w:hAnsi="宋体" w:cs="宋体"/>
          <w:b/>
          <w:color w:val="000000"/>
          <w:lang w:val="en-US" w:eastAsia="zh-CN"/>
        </w:rPr>
        <w:t>2021.02—2022.10</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（浙江幸福）绿城停车产业有限公司</w:t>
      </w:r>
      <w:r>
        <w:rPr>
          <w:rFonts w:hint="eastAsia"/>
          <w:b/>
          <w:lang w:eastAsia="zh-CN"/>
        </w:rPr>
        <w:t xml:space="preserve">     执行总经理</w:t>
      </w:r>
    </w:p>
    <w:p w14:paraId="4DC930C5">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1C2C587D">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1CF2978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1、根据集团公司未来发展战略及需求规划停车公司顶层设计，探索符合市场发展逻辑的业务模式及运营、运维体系，制定标准化图谱并加以实践完善。</w:t>
      </w:r>
    </w:p>
    <w:p w14:paraId="7AC4E0B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负责转化集团公司内部已有资源，以服务为核心赋能各地分子公司；同时开拓外部市场，搭建行业资源网络，布局整体停车业务；引进/培养停车场实际运营相关人才，通过多种手段、产品及策略增大实际营收，为所有下辖车位资产运营结果负责。</w:t>
      </w:r>
    </w:p>
    <w:p w14:paraId="10C3FCE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3、根据市场变化及公司需求制定销售策略，开发全国停车场市场资源，与各大中小型地产开发商谈判，获取和维护各级政府停车资源；</w:t>
      </w:r>
    </w:p>
    <w:p w14:paraId="573DBD2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4、根据实际情况，制定各项集团公司及分子公司各项目运营体系文件、项目风险评估、内部运维、后期经营等模块的建立和完善工作；</w:t>
      </w:r>
    </w:p>
    <w:p w14:paraId="69DAADA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5、投资项目评估，可行性分析报告和商业计划书撰写。</w:t>
      </w:r>
    </w:p>
    <w:p w14:paraId="23EDD84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6、完成集团领导交办的其他工作。</w:t>
      </w:r>
    </w:p>
    <w:p w14:paraId="70B8BCE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工作业绩：</w:t>
      </w:r>
    </w:p>
    <w:p w14:paraId="41C4F0A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1、依靠自身行业资源以大大低于市场同比价格为集团公司引进市场先进停车管理系统及团队，并完成组建成熟的施工运维团队及相关标准和执行策略；</w:t>
      </w:r>
    </w:p>
    <w:p w14:paraId="06B8BBA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2、迅速完成公司整体建构搭建，完善各部门职能职责，明确具体分工及工作节点推进事项；</w:t>
      </w:r>
    </w:p>
    <w:p w14:paraId="1EBB827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3、根据公司现有情况梳理完善7种业务合作模式，占取市场先机；</w:t>
      </w:r>
    </w:p>
    <w:p w14:paraId="7BCD971D">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4、已有运营车场通过各种商业手段实现大幅增收，对比去年同期业绩上升达287%；</w:t>
      </w:r>
      <w:r>
        <w:rPr>
          <w:lang w:eastAsia="zh-CN"/>
        </w:rPr>
        <w:t xml:space="preserve"> </w:t>
      </w:r>
      <w:r>
        <w:rPr>
          <w:rFonts w:hint="eastAsia"/>
          <w:lang w:eastAsia="zh-CN"/>
        </w:rPr>
        <w:t xml:space="preserve">   </w:t>
      </w:r>
    </w:p>
    <w:p w14:paraId="249B3362">
      <w:pPr>
        <w:pStyle w:val="32"/>
        <w:widowControl w:val="0"/>
        <w:numPr>
          <w:ilvl w:val="0"/>
          <w:numId w:val="0"/>
        </w:numPr>
        <w:autoSpaceDE w:val="0"/>
        <w:autoSpaceDN w:val="0"/>
        <w:adjustRightInd w:val="0"/>
        <w:spacing w:line="360" w:lineRule="auto"/>
        <w:ind w:leftChars="0"/>
        <w:jc w:val="both"/>
        <w:rPr>
          <w:rFonts w:hint="eastAsia"/>
          <w:lang w:eastAsia="zh-CN"/>
        </w:rPr>
      </w:pPr>
    </w:p>
    <w:p w14:paraId="181FABF3">
      <w:pPr>
        <w:spacing w:line="300" w:lineRule="auto"/>
        <w:rPr>
          <w:b/>
          <w:lang w:eastAsia="zh-CN"/>
        </w:rPr>
      </w:pPr>
      <w:r>
        <w:rPr>
          <w:rFonts w:hint="eastAsia" w:ascii="宋体" w:hAnsi="宋体" w:cs="宋体"/>
          <w:b/>
          <w:color w:val="000000"/>
          <w:lang w:val="en-US" w:eastAsia="zh-CN"/>
        </w:rPr>
        <w:t>2019.11—2021.02</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东方基础设施投资(宁波)有限公司</w:t>
      </w:r>
      <w:r>
        <w:rPr>
          <w:rFonts w:hint="eastAsia"/>
          <w:b/>
          <w:lang w:eastAsia="zh-CN"/>
        </w:rPr>
        <w:t xml:space="preserve">     智慧停车总经理</w:t>
      </w:r>
    </w:p>
    <w:p w14:paraId="29EF2B6F">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7C1BE943">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3564EB8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(1)做好子公司的投后管理及业务赋能/运营管理工作。</w:t>
      </w:r>
    </w:p>
    <w:p w14:paraId="04BA975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负责子公司整体战略方针的制定、产品设计/产品标准化/业务合同标准化、产品研发、市场战略及销售策略；组织拟定子公司营销策略、市场策略、产品设计、定价策略、销售渠道策略、促销策略和营销组合策略，建立健全营销管理制度，制定标准化、规范化的工作流程，经公司董事长批准后监督执行。</w:t>
      </w:r>
    </w:p>
    <w:p w14:paraId="26EB6E1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协助董事长制定年度目标及经营发展战略方案，产品设计、业务落地、负责政府关系维护及业务拓展、负责拓展智慧交通大客户及市场资源，推动项目落地，扩大公司产品的市场占有率及拓展城市级产品，对公司的净利润指标的落地负责。</w:t>
      </w:r>
    </w:p>
    <w:p w14:paraId="21DEFF7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(4)根据董事会既定的战略方针和产品方向，迅速落地项目及研发相应产品。</w:t>
      </w:r>
    </w:p>
    <w:p w14:paraId="3ECD01C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(5)建立公司组织体系和业务体系，负责高层管理团队的建设；</w:t>
      </w:r>
    </w:p>
    <w:p w14:paraId="02B5A7A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(6)协助子公司董事长管理日常经营，行使对子公司的经营工作的指导、指挥、监督、管理的权力，根据分级授权机制双线汇报给公司董事长。</w:t>
      </w:r>
    </w:p>
    <w:p w14:paraId="7047B98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(7)密切关注国际国内信息产业动向和趋势，为公司制定发展规划、引进先进信息技术，正确做好市场调查、分析和预测工作；</w:t>
      </w:r>
    </w:p>
    <w:p w14:paraId="6B5B28F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拟定营销目标和计划，制定年度经营目标提供可靠的依据。</w:t>
      </w:r>
    </w:p>
    <w:p w14:paraId="4618DF2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(8)组织搞好市场情报收集和管理工作，及时收集竞争对手的情报和顾客的情报，以便公司获得更广阔的市场。</w:t>
      </w:r>
    </w:p>
    <w:p w14:paraId="10ED775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工作成绩：入职在极短时间内迅速聚拢管理层及员工的凝聚力和向心力，快速引进相关高端专业人才；</w:t>
      </w:r>
    </w:p>
    <w:p w14:paraId="740EACA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根据公司自身及市场实际情况，快速调整公司整体战略目标，并高效完成战略转型。</w:t>
      </w:r>
    </w:p>
    <w:p w14:paraId="2B12F5FC">
      <w:pPr>
        <w:pStyle w:val="32"/>
        <w:widowControl w:val="0"/>
        <w:numPr>
          <w:ilvl w:val="0"/>
          <w:numId w:val="1"/>
        </w:numPr>
        <w:autoSpaceDE w:val="0"/>
        <w:autoSpaceDN w:val="0"/>
        <w:adjustRightInd w:val="0"/>
        <w:spacing w:line="360" w:lineRule="auto"/>
        <w:ind w:left="420" w:leftChars="0" w:hanging="420" w:firstLineChars="0"/>
        <w:jc w:val="both"/>
        <w:rPr>
          <w:rFonts w:hint="eastAsia"/>
          <w:lang w:eastAsia="zh-CN"/>
        </w:rPr>
      </w:pPr>
      <w:r>
        <w:rPr>
          <w:rStyle w:val="40"/>
          <w:sz w:val="24"/>
          <w:szCs w:val="24"/>
          <w:lang w:eastAsia="zh-CN"/>
        </w:rPr>
        <w:t>推出性价比远高于市场的无人值守产品落地，以快速占领B端市场从而大面积覆盖C端用户，同时利用个人资源迅速展开公司与G端的合作，并实际落地一个城市级项目，培养项目运营专业人才，当年实现净利润。</w:t>
      </w:r>
      <w:r>
        <w:rPr>
          <w:lang w:eastAsia="zh-CN"/>
        </w:rPr>
        <w:t xml:space="preserve"> </w:t>
      </w:r>
      <w:r>
        <w:rPr>
          <w:rFonts w:hint="eastAsia"/>
          <w:lang w:eastAsia="zh-CN"/>
        </w:rPr>
        <w:t xml:space="preserve">    </w:t>
      </w:r>
    </w:p>
    <w:p w14:paraId="6F910471">
      <w:pPr>
        <w:widowControl w:val="0"/>
        <w:autoSpaceDE w:val="0"/>
        <w:autoSpaceDN w:val="0"/>
        <w:adjustRightInd w:val="0"/>
        <w:spacing w:line="360" w:lineRule="auto"/>
        <w:rPr>
          <w:rFonts w:hint="eastAsia"/>
          <w:lang w:eastAsia="zh-CN"/>
        </w:rPr>
      </w:pPr>
    </w:p>
    <w:p w14:paraId="26C016AC">
      <w:pPr>
        <w:spacing w:line="300" w:lineRule="auto"/>
        <w:rPr>
          <w:rFonts w:hint="eastAsia" w:ascii="宋体" w:hAnsi="宋体" w:cs="宋体"/>
          <w:b/>
          <w:color w:val="000000"/>
          <w:lang w:val="en-US" w:eastAsia="zh-CN"/>
        </w:rPr>
      </w:pPr>
      <w:r>
        <w:rPr>
          <w:rFonts w:hint="eastAsia" w:ascii="宋体" w:hAnsi="宋体" w:cs="宋体"/>
          <w:b/>
          <w:color w:val="000000"/>
          <w:lang w:val="en-US" w:eastAsia="zh-CN"/>
        </w:rPr>
        <w:t>2016.04—2019.11</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阳光海天停车产业集团（</w:t>
      </w:r>
      <w:r>
        <w:rPr>
          <w:rFonts w:hint="eastAsia" w:ascii="宋体" w:hAnsi="宋体" w:cs="宋体"/>
          <w:b/>
          <w:color w:val="000000"/>
          <w:lang w:val="en-US" w:eastAsia="zh-CN"/>
        </w:rPr>
        <w:t>董事长助理</w:t>
      </w:r>
      <w:r>
        <w:rPr>
          <w:rFonts w:hint="eastAsia" w:ascii="宋体" w:hAnsi="宋体" w:cs="宋体"/>
          <w:b/>
          <w:color w:val="000000"/>
          <w:lang w:eastAsia="zh-CN"/>
        </w:rPr>
        <w:t>、</w:t>
      </w:r>
      <w:r>
        <w:rPr>
          <w:rFonts w:hint="eastAsia"/>
          <w:b w:val="0"/>
          <w:bCs/>
          <w:lang w:eastAsia="zh-CN"/>
        </w:rPr>
        <w:t xml:space="preserve"> </w:t>
      </w:r>
      <w:r>
        <w:rPr>
          <w:rFonts w:hint="eastAsia" w:ascii="宋体" w:hAnsi="宋体" w:cs="宋体"/>
          <w:b/>
          <w:color w:val="000000"/>
          <w:lang w:val="en-US" w:eastAsia="zh-CN"/>
        </w:rPr>
        <w:t>公共事业部总经理</w:t>
      </w:r>
    </w:p>
    <w:p w14:paraId="501A5116">
      <w:pPr>
        <w:spacing w:line="300" w:lineRule="auto"/>
        <w:rPr>
          <w:rFonts w:hint="eastAsia"/>
          <w:lang w:eastAsia="zh-CN"/>
        </w:rPr>
      </w:pPr>
      <w:r>
        <w:rPr>
          <w:rFonts w:hint="eastAsia" w:ascii="宋体" w:hAnsi="宋体" w:cs="宋体"/>
          <w:b/>
          <w:color w:val="000000"/>
          <w:lang w:val="en-US" w:eastAsia="zh-CN"/>
        </w:rPr>
        <w:t>、 停车金融部总经理</w:t>
      </w:r>
      <w:r>
        <w:rPr>
          <w:rFonts w:hint="eastAsia" w:ascii="宋体" w:hAnsi="宋体" w:cs="宋体"/>
          <w:b/>
          <w:color w:val="000000"/>
          <w:lang w:eastAsia="zh-CN"/>
        </w:rPr>
        <w:t>）</w:t>
      </w:r>
    </w:p>
    <w:p w14:paraId="4C7D5399">
      <w:pPr>
        <w:pStyle w:val="32"/>
        <w:widowControl w:val="0"/>
        <w:autoSpaceDE w:val="0"/>
        <w:autoSpaceDN w:val="0"/>
        <w:adjustRightInd w:val="0"/>
        <w:spacing w:line="360" w:lineRule="auto"/>
        <w:ind w:firstLine="0" w:firstLineChars="0"/>
        <w:jc w:val="both"/>
        <w:rPr>
          <w:rStyle w:val="40"/>
          <w:sz w:val="24"/>
          <w:szCs w:val="24"/>
          <w:lang w:eastAsia="zh-CN"/>
        </w:rPr>
      </w:pPr>
    </w:p>
    <w:p w14:paraId="3DFC585A">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48B7EE58">
      <w:pPr>
        <w:numPr>
          <w:ilvl w:val="0"/>
          <w:numId w:val="1"/>
        </w:numPr>
        <w:spacing w:line="300" w:lineRule="auto"/>
        <w:ind w:left="420" w:leftChars="0" w:hanging="420" w:firstLineChars="0"/>
        <w:rPr>
          <w:rStyle w:val="40"/>
          <w:sz w:val="24"/>
          <w:szCs w:val="24"/>
          <w:lang w:eastAsia="zh-CN"/>
        </w:rPr>
      </w:pPr>
      <w:r>
        <w:rPr>
          <w:rFonts w:hint="eastAsia" w:ascii="宋体" w:hAnsi="宋体" w:cs="宋体"/>
          <w:b w:val="0"/>
          <w:bCs/>
          <w:color w:val="000000"/>
          <w:lang w:val="en-US" w:eastAsia="zh-CN"/>
        </w:rPr>
        <w:t>2019.04—2019.11</w:t>
      </w:r>
      <w:r>
        <w:rPr>
          <w:rFonts w:hint="eastAsia" w:ascii="宋体" w:hAnsi="宋体" w:cs="宋体"/>
          <w:b w:val="0"/>
          <w:bCs/>
          <w:color w:val="000000"/>
          <w:lang w:eastAsia="zh-CN"/>
        </w:rPr>
        <w:t xml:space="preserve">      </w:t>
      </w:r>
      <w:r>
        <w:rPr>
          <w:rFonts w:hint="eastAsia" w:ascii="宋体" w:hAnsi="宋体" w:cs="宋体"/>
          <w:b w:val="0"/>
          <w:bCs/>
          <w:color w:val="000000"/>
          <w:lang w:val="en-US" w:eastAsia="zh-CN"/>
        </w:rPr>
        <w:t xml:space="preserve">  </w:t>
      </w:r>
      <w:r>
        <w:rPr>
          <w:rFonts w:hint="eastAsia"/>
          <w:b w:val="0"/>
          <w:bCs/>
          <w:lang w:eastAsia="zh-CN"/>
        </w:rPr>
        <w:t xml:space="preserve"> 董事长助理</w:t>
      </w:r>
    </w:p>
    <w:p w14:paraId="1B60A8C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下属人数：1000</w:t>
      </w:r>
    </w:p>
    <w:p w14:paraId="7C1FCE2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整合资源，维护政府关系，拓展城市级智慧停车业务。</w:t>
      </w:r>
    </w:p>
    <w:p w14:paraId="51A2E06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1、继续之前负责的市场开拓职责，持续开发全国停车市场资源，与各大中小型地产商进行接洽谈判等。主要工作重心转向TOG方面，利用自身及公司的资源对接各级政府平台，争取获取更多智慧停车城市级业务。</w:t>
      </w:r>
    </w:p>
    <w:p w14:paraId="38B63AF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2、协助董事长进行全国重大项目的商务接洽与商业谈判，根据项目测算数据结合实际情况给出独立合理的判断。</w:t>
      </w:r>
    </w:p>
    <w:p w14:paraId="19CE2E1C">
      <w:pPr>
        <w:pStyle w:val="32"/>
        <w:widowControl w:val="0"/>
        <w:numPr>
          <w:ilvl w:val="0"/>
          <w:numId w:val="1"/>
        </w:numPr>
        <w:autoSpaceDE w:val="0"/>
        <w:autoSpaceDN w:val="0"/>
        <w:adjustRightInd w:val="0"/>
        <w:spacing w:line="360" w:lineRule="auto"/>
        <w:ind w:left="420" w:leftChars="0" w:hanging="420" w:firstLineChars="0"/>
        <w:jc w:val="both"/>
        <w:rPr>
          <w:rFonts w:ascii="宋体" w:hAnsi="宋体" w:cs="宋体"/>
          <w:b w:val="0"/>
          <w:bCs/>
          <w:color w:val="000000"/>
          <w:lang w:eastAsia="zh-CN"/>
        </w:rPr>
      </w:pPr>
      <w:r>
        <w:rPr>
          <w:rStyle w:val="40"/>
          <w:sz w:val="24"/>
          <w:szCs w:val="24"/>
          <w:lang w:eastAsia="zh-CN"/>
        </w:rPr>
        <w:t>3、参与公司中后台的管理与其他重大决策。</w:t>
      </w:r>
    </w:p>
    <w:p w14:paraId="0DED2F13">
      <w:pPr>
        <w:pStyle w:val="32"/>
        <w:widowControl w:val="0"/>
        <w:numPr>
          <w:ilvl w:val="0"/>
          <w:numId w:val="1"/>
        </w:numPr>
        <w:autoSpaceDE w:val="0"/>
        <w:autoSpaceDN w:val="0"/>
        <w:adjustRightInd w:val="0"/>
        <w:spacing w:line="360" w:lineRule="auto"/>
        <w:ind w:left="420" w:leftChars="0" w:hanging="420" w:firstLineChars="0"/>
        <w:jc w:val="both"/>
        <w:rPr>
          <w:rFonts w:ascii="宋体" w:hAnsi="宋体" w:cs="宋体"/>
          <w:b w:val="0"/>
          <w:bCs/>
          <w:color w:val="000000"/>
          <w:lang w:eastAsia="zh-CN"/>
        </w:rPr>
      </w:pPr>
      <w:r>
        <w:rPr>
          <w:rFonts w:hint="eastAsia" w:ascii="宋体" w:hAnsi="宋体" w:cs="宋体"/>
          <w:b w:val="0"/>
          <w:bCs/>
          <w:color w:val="000000"/>
          <w:lang w:val="en-US" w:eastAsia="zh-CN"/>
        </w:rPr>
        <w:t>2017.03—2019.03</w:t>
      </w:r>
      <w:r>
        <w:rPr>
          <w:rFonts w:hint="eastAsia" w:ascii="宋体" w:hAnsi="宋体" w:cs="宋体"/>
          <w:b w:val="0"/>
          <w:bCs/>
          <w:color w:val="000000"/>
          <w:lang w:eastAsia="zh-CN"/>
        </w:rPr>
        <w:t xml:space="preserve">      </w:t>
      </w:r>
      <w:r>
        <w:rPr>
          <w:rFonts w:hint="eastAsia" w:ascii="宋体" w:hAnsi="宋体" w:cs="宋体"/>
          <w:b w:val="0"/>
          <w:bCs/>
          <w:color w:val="000000"/>
          <w:lang w:val="en-US" w:eastAsia="zh-CN"/>
        </w:rPr>
        <w:t xml:space="preserve">   </w:t>
      </w:r>
      <w:r>
        <w:rPr>
          <w:rFonts w:hint="eastAsia"/>
          <w:b w:val="0"/>
          <w:bCs/>
          <w:lang w:eastAsia="zh-CN"/>
        </w:rPr>
        <w:t>公共事业部总经理</w:t>
      </w:r>
    </w:p>
    <w:p w14:paraId="3476BB3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下属人数：1000</w:t>
      </w:r>
    </w:p>
    <w:p w14:paraId="3602B41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根据市场变化及公司需求拟定销售策略，领导主持本部门及营销中心工作，以全国BD拓展为主，项目投资评估、项目风险把控为辅，实时监控已获取项目实际运营情况，以实现公司预期收益为主展开工作。</w:t>
      </w:r>
    </w:p>
    <w:p w14:paraId="5004F8E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1、负责进行全国停车场运营行业及市场的分析研究，寻找和筛选有发展潜力及投资价值的投资机会。开发全国停车市场资源，与各大中小型地产商进行接洽谈判等，以及对各级政府停车资源的获取与维护。</w:t>
      </w:r>
    </w:p>
    <w:p w14:paraId="1587E36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2、评估投资项目，撰写可行性分析报告和商业计划书等项目文件。</w:t>
      </w:r>
    </w:p>
    <w:p w14:paraId="5B12104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3、组织实施项目的尽职调查，进行项目调研策划、投资价值及风险分析，确定投资项目的成本、收益和风险测算、投资交易和条款设计、投融资方案设计、投资分析报告编制等。</w:t>
      </w:r>
    </w:p>
    <w:p w14:paraId="1B978CC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4、在集团授权下开展项目商务谈判与合约签署，把握项目实施进度。</w:t>
      </w:r>
    </w:p>
    <w:p w14:paraId="5AB68D1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5、参与被投资项目的投后管理，对已投资项目进行持续评估与监控，对未达到投资目标的项目，出具改善建议或处理建议。</w:t>
      </w:r>
    </w:p>
    <w:p w14:paraId="687766F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工作业绩：在职期间直接独立开拓市场并获取的项目达数十个。</w:t>
      </w:r>
    </w:p>
    <w:p w14:paraId="24D567E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参与谈判并成功促成三个大型与政府合作的城市级项目。</w:t>
      </w:r>
    </w:p>
    <w:p w14:paraId="57F9436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为公司创造了相当的收益，迅速扩大规模与影响力。</w:t>
      </w:r>
    </w:p>
    <w:p w14:paraId="76C010C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拥有非常广阔的行业人脉及渠道资源，对行业内的竞争对手有着相当的了解与交往，自身掌握有大量的优质备选项目。</w:t>
      </w:r>
    </w:p>
    <w:p w14:paraId="36A5333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部分项目信息：</w:t>
      </w:r>
    </w:p>
    <w:p w14:paraId="2578EC8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1，2016年年底，个人资源落地公司第一个停车金融类项目-上海某国际财富广场，完成公司预期收益额7980万。</w:t>
      </w:r>
    </w:p>
    <w:p w14:paraId="1266CB6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2：2017年，个人资源落地上海普陀区黄金地段某商业综合体项目（特许经营权），完成公司预期额3700万。</w:t>
      </w:r>
    </w:p>
    <w:p w14:paraId="755F799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3：2017年，个人资源落地合肥火车站附近某综合性商业体项目（特许经营权），完成公司预期额3500万。</w:t>
      </w:r>
    </w:p>
    <w:p w14:paraId="34B0224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4：2017年，个人资源落地合肥核心地段某综合体项目（特许经营权），完成公司预期额3500万。</w:t>
      </w:r>
    </w:p>
    <w:p w14:paraId="4E77A86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5：2017年，个人资源对接芜湖市无为市政府，完成无为市人民医院项目，BOT模式。</w:t>
      </w:r>
    </w:p>
    <w:p w14:paraId="28A3A8D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6：2018年，个人资源落地合肥某服装城1期项目（BOT+特许经营），完成公司预期额3800万。</w:t>
      </w:r>
    </w:p>
    <w:p w14:paraId="2296DE9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7：2018年，个人资源对接某市机场项目，重点协助公司对接某航集团资源及各次重要谈判，最终完成公司对某航旗下7个机场停车楼的运营权收购。</w:t>
      </w:r>
    </w:p>
    <w:p w14:paraId="0B6C015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8：2018年，个人资源落地重庆观音桥区标志性建筑某国际购物中心项目（特许经营权），完成公司预期收益额1.2亿。</w:t>
      </w:r>
    </w:p>
    <w:p w14:paraId="5E5A2E6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9：2018年，个人资源落地凯里市最大的商贸城项目（BOT+特许经营权），完成公司业绩2800万。</w:t>
      </w:r>
    </w:p>
    <w:p w14:paraId="086CF92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10：2019年，个人资源落地杭州丁桥镇核心区域某商业项目（特许经营权），完成公司预期收益额6000万。</w:t>
      </w:r>
    </w:p>
    <w:p w14:paraId="0200641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11：2019年，个人资源落地潍坊市核心地段某综合性商业项目（特许经营权），完成公司业绩1500万。</w:t>
      </w:r>
    </w:p>
    <w:p w14:paraId="49D52AF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12：2019年，个人资源签约广西最大的物流园项目，折算公司业绩1.5亿。</w:t>
      </w:r>
    </w:p>
    <w:p w14:paraId="51F079C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13：2019年，个人资源签约贵阳市某超大型商业综合体项目，折算公司业绩1.5亿。</w:t>
      </w:r>
    </w:p>
    <w:p w14:paraId="454DCDD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以上为工作期间凭借个人资源完成的商业类项目签约落地案例，在此只列举了一部分投资收益额较大的，因一定程度上涉及公司商业机密，固无法披露具体项目信息。</w:t>
      </w:r>
    </w:p>
    <w:p w14:paraId="0318D459">
      <w:pPr>
        <w:pStyle w:val="32"/>
        <w:widowControl w:val="0"/>
        <w:numPr>
          <w:ilvl w:val="0"/>
          <w:numId w:val="1"/>
        </w:numPr>
        <w:autoSpaceDE w:val="0"/>
        <w:autoSpaceDN w:val="0"/>
        <w:adjustRightInd w:val="0"/>
        <w:spacing w:line="360" w:lineRule="auto"/>
        <w:ind w:left="420" w:leftChars="0" w:hanging="420" w:firstLineChars="0"/>
        <w:jc w:val="both"/>
        <w:rPr>
          <w:rFonts w:ascii="宋体" w:hAnsi="宋体" w:cs="宋体"/>
          <w:b w:val="0"/>
          <w:bCs w:val="0"/>
          <w:color w:val="000000"/>
          <w:lang w:eastAsia="zh-CN"/>
        </w:rPr>
      </w:pPr>
      <w:r>
        <w:rPr>
          <w:rStyle w:val="40"/>
          <w:sz w:val="24"/>
          <w:szCs w:val="24"/>
          <w:lang w:eastAsia="zh-CN"/>
        </w:rPr>
        <w:t>在职期间在城市级智慧停车方面也做出了一定的成绩，主导对接遵义市红花岗区城投、岳阳市城投、潍坊市城投、成都市青羊区城投、长春市城建投、大连市城建投、济南市交警支队、天池风景区池西区管委会等多家政府平台，最终成功签约并落地了两个城市级合作项目。</w:t>
      </w:r>
      <w:r>
        <w:rPr>
          <w:lang w:eastAsia="zh-CN"/>
        </w:rPr>
        <w:t xml:space="preserve"> </w:t>
      </w:r>
      <w:r>
        <w:rPr>
          <w:rFonts w:hint="eastAsia"/>
          <w:lang w:eastAsia="zh-CN"/>
        </w:rPr>
        <w:t xml:space="preserve">   </w:t>
      </w:r>
    </w:p>
    <w:p w14:paraId="461EF695">
      <w:pPr>
        <w:pStyle w:val="32"/>
        <w:widowControl w:val="0"/>
        <w:numPr>
          <w:ilvl w:val="0"/>
          <w:numId w:val="1"/>
        </w:numPr>
        <w:autoSpaceDE w:val="0"/>
        <w:autoSpaceDN w:val="0"/>
        <w:adjustRightInd w:val="0"/>
        <w:spacing w:line="360" w:lineRule="auto"/>
        <w:ind w:left="420" w:leftChars="0" w:hanging="420" w:firstLineChars="0"/>
        <w:jc w:val="both"/>
        <w:rPr>
          <w:rFonts w:ascii="宋体" w:hAnsi="宋体" w:cs="宋体"/>
          <w:b w:val="0"/>
          <w:bCs w:val="0"/>
          <w:color w:val="000000"/>
          <w:lang w:eastAsia="zh-CN"/>
        </w:rPr>
      </w:pPr>
      <w:r>
        <w:rPr>
          <w:rFonts w:hint="eastAsia" w:ascii="宋体" w:hAnsi="宋体" w:cs="宋体"/>
          <w:b w:val="0"/>
          <w:bCs w:val="0"/>
          <w:color w:val="000000"/>
          <w:lang w:val="en-US" w:eastAsia="zh-CN"/>
        </w:rPr>
        <w:t>2016.04—2017.02</w:t>
      </w:r>
      <w:r>
        <w:rPr>
          <w:rFonts w:hint="eastAsia" w:ascii="宋体" w:hAnsi="宋体" w:cs="宋体"/>
          <w:b w:val="0"/>
          <w:bCs w:val="0"/>
          <w:color w:val="000000"/>
          <w:lang w:eastAsia="zh-CN"/>
        </w:rPr>
        <w:t xml:space="preserve">      </w:t>
      </w:r>
      <w:r>
        <w:rPr>
          <w:rFonts w:hint="eastAsia" w:ascii="宋体" w:hAnsi="宋体" w:cs="宋体"/>
          <w:b w:val="0"/>
          <w:bCs w:val="0"/>
          <w:color w:val="000000"/>
          <w:lang w:val="en-US" w:eastAsia="zh-CN"/>
        </w:rPr>
        <w:t xml:space="preserve">  </w:t>
      </w:r>
      <w:r>
        <w:rPr>
          <w:rFonts w:hint="eastAsia"/>
          <w:b w:val="0"/>
          <w:bCs w:val="0"/>
          <w:lang w:eastAsia="zh-CN"/>
        </w:rPr>
        <w:t xml:space="preserve">    停车金融部总经理</w:t>
      </w:r>
    </w:p>
    <w:p w14:paraId="1308E17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以强烈的行业市场敏感度加，把握市场动态，设计产品交易结构、完成孵化、参与项目实际运营管理以完成收益合理化的论证。</w:t>
      </w:r>
    </w:p>
    <w:p w14:paraId="34E72C3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1，组建停车金融部，包括组织架构搭建，人员选聘与人才挖掘，制定本部门业务方向与职责等。</w:t>
      </w:r>
    </w:p>
    <w:p w14:paraId="467A431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以获取优质停车场经营管理资源为根本目的，将金融投资与资产管理的理念与传统停车行业进行无缝结合，以金融为手段围绕着停车产业链撬动资产管理核心竞争力的充分发挥，为公司实现迅速扩大规模与实现际收益。</w:t>
      </w:r>
    </w:p>
    <w:p w14:paraId="6A09B2A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3，主导开发围绕着停车全产业链为核心的金融投资类产品，制定产品的规则流程与风控手段，从而保证停车场项目获取后的持续盈利以及增值增收的发展能力。</w:t>
      </w:r>
    </w:p>
    <w:p w14:paraId="1424F98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4，牵头寻找合适的目标资源进行前期孵化，并领导、组织人员对项目进行现场勘验、数据收集、收入成本测算、合同谈判乃至后期切实落地经营跟踪等论证工作，使产品真正进入成熟期。</w:t>
      </w:r>
    </w:p>
    <w:p w14:paraId="531EA4FA">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工作业绩：在职期间牵头主导创造性开发了国内首个停车金融产品，根据公司及业主的实际需求另外开发出多方共赢的停车场产权收购模式、待建停车场BOT模式、运营中停车场租赁及超出分成模式等多种获取停车场短、中、长期运营权的产品，后期公司根据这些产品为基础共计完成投资额约15亿元人民币。</w:t>
      </w:r>
      <w:r>
        <w:rPr>
          <w:lang w:eastAsia="zh-CN"/>
        </w:rPr>
        <w:t xml:space="preserve"> </w:t>
      </w:r>
      <w:r>
        <w:rPr>
          <w:rFonts w:hint="eastAsia"/>
          <w:lang w:eastAsia="zh-CN"/>
        </w:rPr>
        <w:t xml:space="preserve">   </w:t>
      </w:r>
    </w:p>
    <w:p w14:paraId="44A43062">
      <w:pPr>
        <w:pStyle w:val="32"/>
        <w:widowControl w:val="0"/>
        <w:numPr>
          <w:ilvl w:val="0"/>
          <w:numId w:val="0"/>
        </w:numPr>
        <w:autoSpaceDE w:val="0"/>
        <w:autoSpaceDN w:val="0"/>
        <w:adjustRightInd w:val="0"/>
        <w:spacing w:line="360" w:lineRule="auto"/>
        <w:ind w:leftChars="0"/>
        <w:jc w:val="both"/>
        <w:rPr>
          <w:rFonts w:hint="eastAsia"/>
          <w:lang w:eastAsia="zh-CN"/>
        </w:rPr>
      </w:pPr>
    </w:p>
    <w:p w14:paraId="6CDF4933">
      <w:pPr>
        <w:spacing w:line="300" w:lineRule="auto"/>
        <w:rPr>
          <w:rFonts w:ascii="宋体" w:hAnsi="宋体" w:cs="宋体"/>
          <w:b/>
          <w:color w:val="000000"/>
          <w:lang w:eastAsia="zh-CN"/>
        </w:rPr>
      </w:pPr>
      <w:r>
        <w:rPr>
          <w:rFonts w:hint="eastAsia" w:ascii="宋体" w:hAnsi="宋体" w:cs="宋体"/>
          <w:b/>
          <w:color w:val="000000"/>
          <w:lang w:val="en-US" w:eastAsia="zh-CN"/>
        </w:rPr>
        <w:t>2015.02—2016.04</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信和财富</w:t>
      </w:r>
      <w:r>
        <w:rPr>
          <w:rFonts w:hint="eastAsia"/>
          <w:b/>
          <w:lang w:eastAsia="zh-CN"/>
        </w:rPr>
        <w:t xml:space="preserve">    中小企业部总监</w:t>
      </w:r>
    </w:p>
    <w:p w14:paraId="742B8019">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4D956CE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中小企业信贷产品研发、完成孵化、管控风险并组织专门的部门进行营销并实现公司预期收益。</w:t>
      </w:r>
    </w:p>
    <w:p w14:paraId="5815E75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1、负责信和汇金中小企业部的组建，并根据部门发展战略规划，负责部门产品的研发，并制定风控的整体战略目标、具体制度及相关流程建设；</w:t>
      </w:r>
    </w:p>
    <w:p w14:paraId="53BC05E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2、负责与其他部门共同制订、完善公司业务拓展及风险控制方面的相关政策和制度并监督、反馈实施情况，就政策和制度的贯彻落实提出合理化建议；</w:t>
      </w:r>
    </w:p>
    <w:p w14:paraId="2A12A33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3.负责在对部门业务日常运营状况的主持管理并实施风险监控；</w:t>
      </w:r>
    </w:p>
    <w:p w14:paraId="22F3E07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对部门经营活动进行全面风险监控及合规性检查，为公司及时提供管理意见和建议；</w:t>
      </w:r>
    </w:p>
    <w:p w14:paraId="3D2A015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4.负责组织风险控制系统对客户进行贷前调查、贷中审查、贷后检查、监控等工作；</w:t>
      </w:r>
    </w:p>
    <w:p w14:paraId="4A66A1C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5.组织、参与对公司大额借贷项目、重大投资项目方案等的审核、评审工作；</w:t>
      </w:r>
    </w:p>
    <w:p w14:paraId="5D007B9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6.协助落实本部们风险下属员工的考核、激励、培养计划，提升下属员工的整体素质。</w:t>
      </w:r>
    </w:p>
    <w:p w14:paraId="1FF2C7B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工作业绩：</w:t>
      </w:r>
    </w:p>
    <w:p w14:paraId="06D0C9A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1、利用自身人脉迅速完成部门组建工作，并建立起稳健、通畅的业务合作通道与风险管控模式。</w:t>
      </w:r>
    </w:p>
    <w:p w14:paraId="53E6353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2、在极短的时间内针对公司内部发展战略，快速研发出数款适合部门发展极具市场竞争力的产品。</w:t>
      </w:r>
    </w:p>
    <w:p w14:paraId="1B9E99B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3、业务快速拓展至全国范围，为公司的品牌建设作出贡献。</w:t>
      </w:r>
    </w:p>
    <w:p w14:paraId="0F48725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4、短期内即完成部门盈利，所有成功借贷的客户借款均已到期或提前安全回收，0逾期，0不良。</w:t>
      </w:r>
    </w:p>
    <w:p w14:paraId="503145C8">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5、为公司选聘了大量的优秀人才。</w:t>
      </w:r>
      <w:r>
        <w:rPr>
          <w:lang w:eastAsia="zh-CN"/>
        </w:rPr>
        <w:t xml:space="preserve"> </w:t>
      </w:r>
      <w:r>
        <w:rPr>
          <w:rFonts w:hint="eastAsia"/>
          <w:lang w:eastAsia="zh-CN"/>
        </w:rPr>
        <w:t xml:space="preserve">   </w:t>
      </w:r>
    </w:p>
    <w:p w14:paraId="681BDFF9">
      <w:pPr>
        <w:pStyle w:val="32"/>
        <w:widowControl w:val="0"/>
        <w:numPr>
          <w:ilvl w:val="0"/>
          <w:numId w:val="0"/>
        </w:numPr>
        <w:autoSpaceDE w:val="0"/>
        <w:autoSpaceDN w:val="0"/>
        <w:adjustRightInd w:val="0"/>
        <w:spacing w:line="360" w:lineRule="auto"/>
        <w:ind w:leftChars="0"/>
        <w:jc w:val="both"/>
        <w:rPr>
          <w:rFonts w:hint="eastAsia"/>
          <w:lang w:eastAsia="zh-CN"/>
        </w:rPr>
      </w:pPr>
    </w:p>
    <w:p w14:paraId="6E1FCCEE">
      <w:pPr>
        <w:spacing w:line="300" w:lineRule="auto"/>
        <w:rPr>
          <w:rFonts w:ascii="宋体" w:hAnsi="宋体" w:cs="宋体"/>
          <w:b/>
          <w:color w:val="000000"/>
          <w:lang w:eastAsia="zh-CN"/>
        </w:rPr>
      </w:pPr>
      <w:r>
        <w:rPr>
          <w:rFonts w:hint="eastAsia" w:ascii="宋体" w:hAnsi="宋体" w:cs="宋体"/>
          <w:b/>
          <w:color w:val="000000"/>
          <w:lang w:val="en-US" w:eastAsia="zh-CN"/>
        </w:rPr>
        <w:t>2013.04—2015.01</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江川金融信息服务(北京)股份有限公司</w:t>
      </w:r>
      <w:r>
        <w:rPr>
          <w:rFonts w:hint="eastAsia"/>
          <w:b/>
          <w:lang w:eastAsia="zh-CN"/>
        </w:rPr>
        <w:t xml:space="preserve">     安徽省分公司总经理</w:t>
      </w:r>
    </w:p>
    <w:p w14:paraId="4E32BDC3">
      <w:pPr>
        <w:pStyle w:val="32"/>
        <w:widowControl w:val="0"/>
        <w:autoSpaceDE w:val="0"/>
        <w:autoSpaceDN w:val="0"/>
        <w:adjustRightInd w:val="0"/>
        <w:spacing w:line="360" w:lineRule="auto"/>
        <w:ind w:firstLine="0" w:firstLineChars="0"/>
        <w:jc w:val="both"/>
        <w:rPr>
          <w:rStyle w:val="40"/>
          <w:sz w:val="24"/>
          <w:szCs w:val="24"/>
          <w:lang w:eastAsia="zh-CN"/>
        </w:rPr>
      </w:pPr>
    </w:p>
    <w:p w14:paraId="4A417EA6">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1E68BE7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工作职责、管理省级分公司正常运营、逐步开设市级分公司、管理销售及风控团队、对分公司整体的收益及损耗负责。</w:t>
      </w:r>
    </w:p>
    <w:p w14:paraId="6B6F89F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一、管理职责</w:t>
      </w:r>
    </w:p>
    <w:p w14:paraId="0CAFDDD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1、提交所辖区域内各市（县）设立分支机构的可行性研究报告，经北京总部总经理办公会批准后实施。</w:t>
      </w:r>
    </w:p>
    <w:p w14:paraId="3B20E02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2、根据公司的发展规划及年度营销目标，制订分公司年度计划，包括但不限于：借贷营销计划、分支机构设立计划，营销团队用人需求计划，员工培训计划，办公费用计划等。</w:t>
      </w:r>
    </w:p>
    <w:p w14:paraId="0885B51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报北京总部总经理办公会批准后实施。</w:t>
      </w:r>
    </w:p>
    <w:p w14:paraId="7A4A891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3、积极推进、维护与当地行业监管部门的沟通机制，确保分公司的运营符合当地监管部门的相关要求。</w:t>
      </w:r>
    </w:p>
    <w:p w14:paraId="00DBB79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4、及时将公司的政策、规章及奖惩等信息，清晰、准确地传达给员工。</w:t>
      </w:r>
    </w:p>
    <w:p w14:paraId="41E2B73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5、牵头开发和维护当地各业务渠道（银行、信托、保险、券商等），阶段性的向总公司反馈渠道合作成果。</w:t>
      </w:r>
    </w:p>
    <w:p w14:paraId="1498494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6、对分公司员工进行培训和考评，并就考评结果与员工进行沟通；对考评不合格的员工按照公司规定提出处理意见。</w:t>
      </w:r>
    </w:p>
    <w:p w14:paraId="029F640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7、每季度将分公司的工作以书面形式向北京总部直属上级报告。</w:t>
      </w:r>
    </w:p>
    <w:p w14:paraId="2746947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二、业务职责</w:t>
      </w:r>
    </w:p>
    <w:p w14:paraId="69B2EF5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1、根据公司战略目标和市场发展策略，对公司中长期发展规划提出建设性建议。</w:t>
      </w:r>
    </w:p>
    <w:p w14:paraId="6FB3843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2、带领所辖团队展开销售，督导各阶段销售进度，完成分公司年度营销任务。</w:t>
      </w:r>
    </w:p>
    <w:p w14:paraId="2425DF9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3、对公司开发、优化金融产品以及市场拓展业务体系提出可实施建议。</w:t>
      </w:r>
    </w:p>
    <w:p w14:paraId="35283B1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4、对市场营销环境、目标、计划、业务活动进行核查分析，及时提出调整营销策略和计划的建议。</w:t>
      </w:r>
    </w:p>
    <w:p w14:paraId="1CD43BE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5、负责督导营销团队按照公司统一的工作程序和规章制度开展营销。</w:t>
      </w:r>
    </w:p>
    <w:p w14:paraId="4A9B7A2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6、带领销售团队策划商务活动、产品推广等相关活动。</w:t>
      </w:r>
    </w:p>
    <w:p w14:paraId="460B047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工作业绩在职期间，除超额完成公司总部要求放贷业绩外，严格把控分支逾期、不良数据，超同行业最低水平；</w:t>
      </w:r>
    </w:p>
    <w:p w14:paraId="6BEE6B4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提议并试点了风险板块“分支‘独立调查岗’”的设立，成功改变公司旧有的营销模式，合理优化了一线业务工作流程并降低了客户风险；</w:t>
      </w:r>
    </w:p>
    <w:p w14:paraId="7818C0A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主导促成总公司与安徽省宣城市金融办的全方位合作，在其组织、配合下专门定期举办辖区县级中小企业融资培训大课堂，并担任主讲，为公司获得大量优质中小企业客户的同时为“江川”的品牌宣传做出了杰出的贡献。</w:t>
      </w:r>
    </w:p>
    <w:p w14:paraId="267063FF">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另，主导并协助总部调研、开发了公司的“质车贷”产品，丰富了公司的产品类型，增加了收益，且该产品截止目前不良率为0，14年下半年总公司专门奖励安徽省分公司新款捷达轿车一辆。</w:t>
      </w:r>
      <w:r>
        <w:rPr>
          <w:lang w:eastAsia="zh-CN"/>
        </w:rPr>
        <w:t xml:space="preserve"> </w:t>
      </w:r>
      <w:r>
        <w:rPr>
          <w:rFonts w:hint="eastAsia"/>
          <w:lang w:eastAsia="zh-CN"/>
        </w:rPr>
        <w:t xml:space="preserve">   </w:t>
      </w:r>
    </w:p>
    <w:p w14:paraId="0EA2BCF7">
      <w:pPr>
        <w:pStyle w:val="32"/>
        <w:widowControl w:val="0"/>
        <w:numPr>
          <w:ilvl w:val="0"/>
          <w:numId w:val="0"/>
        </w:numPr>
        <w:autoSpaceDE w:val="0"/>
        <w:autoSpaceDN w:val="0"/>
        <w:adjustRightInd w:val="0"/>
        <w:spacing w:line="360" w:lineRule="auto"/>
        <w:ind w:leftChars="0"/>
        <w:jc w:val="both"/>
        <w:rPr>
          <w:rFonts w:hint="eastAsia"/>
          <w:lang w:eastAsia="zh-CN"/>
        </w:rPr>
      </w:pPr>
    </w:p>
    <w:p w14:paraId="21B8DC7B">
      <w:pPr>
        <w:spacing w:line="300" w:lineRule="auto"/>
        <w:rPr>
          <w:rFonts w:ascii="宋体" w:hAnsi="宋体" w:cs="宋体"/>
          <w:b/>
          <w:color w:val="000000"/>
          <w:lang w:eastAsia="zh-CN"/>
        </w:rPr>
      </w:pPr>
      <w:r>
        <w:rPr>
          <w:rFonts w:hint="eastAsia" w:ascii="宋体" w:hAnsi="宋体" w:cs="宋体"/>
          <w:b/>
          <w:color w:val="000000"/>
          <w:lang w:val="en-US" w:eastAsia="zh-CN"/>
        </w:rPr>
        <w:t>2012.02—2013.03</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江川金融信息服务(北京)股份有限公司</w:t>
      </w:r>
      <w:r>
        <w:rPr>
          <w:rFonts w:hint="eastAsia"/>
          <w:b/>
          <w:lang w:eastAsia="zh-CN"/>
        </w:rPr>
        <w:t xml:space="preserve">     青岛市分公司总经理</w:t>
      </w:r>
    </w:p>
    <w:p w14:paraId="0E901D99">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12A0FE0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带领下属进行规模式市场开拓，完成销售业绩指标，并对信贷后期风险转嫁做出合理工作，降低信贷逾期坏账风险。</w:t>
      </w:r>
    </w:p>
    <w:p w14:paraId="2F0B200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1、开展个人和中小企业小额贷款业务；</w:t>
      </w:r>
    </w:p>
    <w:p w14:paraId="11E9C56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2、根据公司产品特点，进行潜在客户开发，新渠道开拓；</w:t>
      </w:r>
    </w:p>
    <w:p w14:paraId="6258BE1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3、积极主动地与客户沟通，为客户建立、提供专业的资产管理咨询服务，并长期维护与客户的良好关系；</w:t>
      </w:r>
    </w:p>
    <w:p w14:paraId="3475E15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4、全力执行主管部门的市场营销与拓展政策，实现业务的突破；</w:t>
      </w:r>
    </w:p>
    <w:p w14:paraId="37FAAB0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5、完成公司的业务指标，为产品研发及改善提供市场信息支持；</w:t>
      </w:r>
    </w:p>
    <w:p w14:paraId="049A19F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6、完成上级领导安排的其他工作；</w:t>
      </w:r>
    </w:p>
    <w:p w14:paraId="41615B6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7、管理销售团队，给团队成员进行指导。</w:t>
      </w:r>
    </w:p>
    <w:p w14:paraId="5172F2F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工作业绩：在总公司的领导下筹建了青岛市分公司，并在建成的次月即实现分公司的盈利，在职期间放贷业绩与逾期不良数据均名列全国二级分公司前茅；</w:t>
      </w:r>
    </w:p>
    <w:p w14:paraId="5DC87FE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主动调研、分析辖区内逾期客户数据，对其进行分类整理后汇报给总公司，间接促进了公司业务导向由原本的纯信用类向抵押类、物保类产品倾斜，为后期公司不良率的大幅下降做出了贡献；</w:t>
      </w:r>
    </w:p>
    <w:p w14:paraId="7D4C91D3">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为公司推荐、培养了多名城市经理及主管级别的优秀人才，牵头促成了山东省分公司与青岛市中小企业局的合作，以杰出的表现被公司领导认可，破格提拔为安徽省分公司的负责人。</w:t>
      </w:r>
      <w:r>
        <w:rPr>
          <w:lang w:eastAsia="zh-CN"/>
        </w:rPr>
        <w:t xml:space="preserve"> </w:t>
      </w:r>
      <w:r>
        <w:rPr>
          <w:rFonts w:hint="eastAsia"/>
          <w:lang w:eastAsia="zh-CN"/>
        </w:rPr>
        <w:t xml:space="preserve">   </w:t>
      </w:r>
    </w:p>
    <w:p w14:paraId="6F9AB0BB">
      <w:pPr>
        <w:pStyle w:val="32"/>
        <w:widowControl w:val="0"/>
        <w:numPr>
          <w:ilvl w:val="0"/>
          <w:numId w:val="0"/>
        </w:numPr>
        <w:autoSpaceDE w:val="0"/>
        <w:autoSpaceDN w:val="0"/>
        <w:adjustRightInd w:val="0"/>
        <w:spacing w:line="360" w:lineRule="auto"/>
        <w:ind w:leftChars="0"/>
        <w:jc w:val="both"/>
        <w:rPr>
          <w:rFonts w:hint="eastAsia"/>
          <w:lang w:eastAsia="zh-CN"/>
        </w:rPr>
      </w:pPr>
    </w:p>
    <w:p w14:paraId="06EA921A">
      <w:pPr>
        <w:spacing w:line="300" w:lineRule="auto"/>
        <w:rPr>
          <w:rFonts w:ascii="宋体" w:hAnsi="宋体" w:cs="宋体"/>
          <w:b/>
          <w:color w:val="000000"/>
          <w:lang w:eastAsia="zh-CN"/>
        </w:rPr>
      </w:pPr>
      <w:r>
        <w:rPr>
          <w:rFonts w:hint="eastAsia" w:ascii="宋体" w:hAnsi="宋体" w:cs="宋体"/>
          <w:b/>
          <w:color w:val="000000"/>
          <w:lang w:val="en-US" w:eastAsia="zh-CN"/>
        </w:rPr>
        <w:t>2007.04—2011.12</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华夏银行股份有限公司大连分行</w:t>
      </w:r>
      <w:r>
        <w:rPr>
          <w:rFonts w:hint="eastAsia"/>
          <w:b/>
          <w:lang w:eastAsia="zh-CN"/>
        </w:rPr>
        <w:t xml:space="preserve">     客户经理</w:t>
      </w:r>
    </w:p>
    <w:p w14:paraId="79B647E3">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2A50D6B2">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bookmarkStart w:id="0" w:name="_GoBack"/>
      <w:bookmarkEnd w:id="0"/>
      <w:r>
        <w:rPr>
          <w:rStyle w:val="40"/>
          <w:sz w:val="24"/>
          <w:szCs w:val="24"/>
          <w:lang w:eastAsia="zh-CN"/>
        </w:rPr>
        <w:t>1、负责中小微企业客户的扩展和新开发，客户行业类型不限，包括中小微企业但不限于新经济企业，国央企，上市公司，进出口企业等；</w:t>
      </w:r>
    </w:p>
    <w:p w14:paraId="1109F5F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2、考核包含抵押贷、税务贷等信贷业务，不限国际业务，理财存款业务，票据业务，信贷业务等；</w:t>
      </w:r>
    </w:p>
    <w:p w14:paraId="3DBBB82A">
      <w:pPr>
        <w:pStyle w:val="32"/>
        <w:widowControl w:val="0"/>
        <w:numPr>
          <w:ilvl w:val="0"/>
          <w:numId w:val="1"/>
        </w:numPr>
        <w:autoSpaceDE w:val="0"/>
        <w:autoSpaceDN w:val="0"/>
        <w:adjustRightInd w:val="0"/>
        <w:spacing w:line="360" w:lineRule="auto"/>
        <w:ind w:left="420" w:leftChars="0" w:hanging="420" w:firstLineChars="0"/>
        <w:jc w:val="both"/>
        <w:rPr>
          <w:rFonts w:hint="eastAsia"/>
          <w:lang w:eastAsia="zh-CN"/>
        </w:rPr>
      </w:pPr>
      <w:r>
        <w:rPr>
          <w:rStyle w:val="40"/>
          <w:sz w:val="24"/>
          <w:szCs w:val="24"/>
          <w:lang w:eastAsia="zh-CN"/>
        </w:rPr>
        <w:t>3、完成客户经理对应的业绩指标。</w:t>
      </w:r>
      <w:r>
        <w:rPr>
          <w:lang w:eastAsia="zh-CN"/>
        </w:rPr>
        <w:t xml:space="preserve"> </w:t>
      </w:r>
      <w:r>
        <w:rPr>
          <w:rFonts w:hint="eastAsia"/>
          <w:lang w:eastAsia="zh-CN"/>
        </w:rPr>
        <w:t xml:space="preserve">   </w:t>
      </w:r>
    </w:p>
    <w:p w14:paraId="0C5EFFBA">
      <w:pPr>
        <w:spacing w:line="360" w:lineRule="auto"/>
        <w:rPr>
          <w:b/>
          <w:bCs/>
          <w:u w:val="single"/>
          <w:shd w:val="pct10" w:color="auto" w:fill="FFFFFF"/>
          <w:lang w:eastAsia="zh-CN"/>
        </w:rPr>
      </w:pPr>
    </w:p>
    <w:p w14:paraId="166F2E9B">
      <w:pPr>
        <w:spacing w:line="360" w:lineRule="auto"/>
        <w:rPr>
          <w:b/>
          <w:bCs/>
          <w:u w:val="single"/>
          <w:shd w:val="pct10" w:color="auto" w:fill="FFFFFF"/>
          <w:lang w:eastAsia="zh-CN"/>
        </w:rPr>
      </w:pPr>
      <w:r>
        <w:rPr>
          <w:b/>
          <w:bCs/>
          <w:u w:val="single"/>
          <w:shd w:val="pct10" w:color="auto" w:fill="FFFFFF"/>
          <w:lang w:eastAsia="zh-CN"/>
        </w:rPr>
        <w:t>简介与评价</w:t>
      </w:r>
    </w:p>
    <w:p w14:paraId="0A82052F">
      <w:pPr>
        <w:numPr>
          <w:ilvl w:val="0"/>
          <w:numId w:val="1"/>
        </w:numPr>
        <w:spacing w:line="360" w:lineRule="auto"/>
        <w:ind w:left="420" w:leftChars="0" w:hanging="420" w:firstLineChars="0"/>
        <w:rPr>
          <w:color w:val="000000"/>
          <w:sz w:val="24"/>
          <w:szCs w:val="24"/>
          <w:lang w:eastAsia="zh-CN"/>
        </w:rPr>
      </w:pPr>
      <w:r>
        <w:rPr>
          <w:rFonts w:hint="eastAsia" w:ascii="Arial" w:hAnsi="Arial" w:eastAsia="宋体" w:cs="Arial"/>
          <w:i w:val="0"/>
          <w:iCs w:val="0"/>
          <w:caps w:val="0"/>
          <w:color w:val="222222"/>
          <w:spacing w:val="0"/>
          <w:sz w:val="24"/>
          <w:szCs w:val="24"/>
          <w:shd w:val="clear" w:color="auto" w:fill="FDFDFD"/>
          <w:lang w:eastAsia="zh-CN"/>
        </w:rPr>
        <w:t>推荐理由
1.区域：全国
</w:t>
      </w:r>
    </w:p>
    <w:p w14:paraId="1BA33B47">
      <w:pPr>
        <w:numPr>
          <w:ilvl w:val="0"/>
          <w:numId w:val="1"/>
        </w:numPr>
        <w:spacing w:line="360" w:lineRule="auto"/>
        <w:ind w:left="420" w:leftChars="0" w:hanging="420" w:firstLineChars="0"/>
        <w:rPr>
          <w:color w:val="000000"/>
          <w:sz w:val="24"/>
          <w:szCs w:val="24"/>
          <w:lang w:eastAsia="zh-CN"/>
        </w:rPr>
      </w:pPr>
      <w:r>
        <w:rPr>
          <w:rFonts w:hint="eastAsia" w:ascii="Arial" w:hAnsi="Arial" w:eastAsia="宋体" w:cs="Arial"/>
          <w:i w:val="0"/>
          <w:iCs w:val="0"/>
          <w:caps w:val="0"/>
          <w:color w:val="222222"/>
          <w:spacing w:val="0"/>
          <w:sz w:val="24"/>
          <w:szCs w:val="24"/>
          <w:shd w:val="clear" w:color="auto" w:fill="FDFDFD"/>
          <w:lang w:eastAsia="zh-CN"/>
        </w:rPr>
        <w:t>2.客户：宇视.海康.大华.停简单.捷停车.阳光海天等都有客户资源
</w:t>
      </w:r>
    </w:p>
    <w:p w14:paraId="1749344E">
      <w:pPr>
        <w:numPr>
          <w:ilvl w:val="0"/>
          <w:numId w:val="1"/>
        </w:numPr>
        <w:spacing w:line="360" w:lineRule="auto"/>
        <w:ind w:left="420" w:leftChars="0" w:hanging="420" w:firstLineChars="0"/>
        <w:rPr>
          <w:color w:val="000000"/>
          <w:sz w:val="24"/>
          <w:szCs w:val="24"/>
          <w:lang w:eastAsia="zh-CN"/>
        </w:rPr>
      </w:pPr>
      <w:r>
        <w:rPr>
          <w:rFonts w:hint="eastAsia" w:ascii="Arial" w:hAnsi="Arial" w:eastAsia="宋体" w:cs="Arial"/>
          <w:i w:val="0"/>
          <w:iCs w:val="0"/>
          <w:caps w:val="0"/>
          <w:color w:val="222222"/>
          <w:spacing w:val="0"/>
          <w:sz w:val="24"/>
          <w:szCs w:val="24"/>
          <w:shd w:val="clear" w:color="auto" w:fill="FDFDFD"/>
          <w:lang w:eastAsia="zh-CN"/>
        </w:rPr>
        <w:t>3.业绩：2019年，个人资源落地杭州丁桥镇核心区域某商业项目（特许经营权），完成公司预期收益额6000万。
2019年，个人资源落地潍坊市核心地段某综合性商业项目（特许经营权），完成公司业绩1500万。
2019年，个人资源签约广西最大的物流园项目，折算公司业绩1.5亿。
2019年，个人资源签约贵阳市某超大型商业综合体项目，折算公司业绩1.5亿</w:t>
      </w:r>
    </w:p>
    <w:p w14:paraId="5D35FB14">
      <w:pPr>
        <w:spacing w:line="360" w:lineRule="auto"/>
        <w:ind w:left="420"/>
        <w:rPr>
          <w:color w:val="000000"/>
          <w:sz w:val="21"/>
          <w:szCs w:val="21"/>
          <w:lang w:eastAsia="zh-CN"/>
        </w:rPr>
      </w:pPr>
    </w:p>
    <w:sectPr>
      <w:headerReference r:id="rId3" w:type="default"/>
      <w:footerReference r:id="rId4" w:type="default"/>
      <w:pgSz w:w="11907" w:h="16840"/>
      <w:pgMar w:top="1440" w:right="1080" w:bottom="1440" w:left="1080" w:header="85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 Inspira">
    <w:altName w:val="Segoe Print"/>
    <w:panose1 w:val="00000000000000000000"/>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YaHei">
    <w:altName w:val="Cambria"/>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4F622">
    <w:pPr>
      <w:pStyle w:val="11"/>
      <w:tabs>
        <w:tab w:val="left" w:pos="812"/>
      </w:tabs>
      <w:ind w:left="-2" w:leftChars="-1"/>
      <w:rPr>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6535">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4989C"/>
    <w:multiLevelType w:val="singleLevel"/>
    <w:tmpl w:val="37A4989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drawingGridHorizontalSpacing w:val="1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77B4C"/>
    <w:rsid w:val="4B9D4FE2"/>
    <w:rsid w:val="4B9E028C"/>
    <w:rsid w:val="4BA34F6D"/>
    <w:rsid w:val="4BAE5CBD"/>
    <w:rsid w:val="4BBD63AD"/>
    <w:rsid w:val="4BC80758"/>
    <w:rsid w:val="4BF13737"/>
    <w:rsid w:val="4BFC1C57"/>
    <w:rsid w:val="4BFD3860"/>
    <w:rsid w:val="4BFD5C92"/>
    <w:rsid w:val="4C1113DD"/>
    <w:rsid w:val="4C114F85"/>
    <w:rsid w:val="4C1956D8"/>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911AF"/>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0051E"/>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en-US" w:bidi="ar-SA"/>
    </w:rPr>
  </w:style>
  <w:style w:type="paragraph" w:styleId="2">
    <w:name w:val="heading 1"/>
    <w:basedOn w:val="1"/>
    <w:next w:val="1"/>
    <w:qFormat/>
    <w:uiPriority w:val="0"/>
    <w:pPr>
      <w:keepNext/>
      <w:outlineLvl w:val="0"/>
    </w:pPr>
    <w:rPr>
      <w:b/>
      <w:bCs/>
      <w:sz w:val="48"/>
    </w:rPr>
  </w:style>
  <w:style w:type="paragraph" w:styleId="3">
    <w:name w:val="heading 2"/>
    <w:basedOn w:val="1"/>
    <w:next w:val="1"/>
    <w:qFormat/>
    <w:uiPriority w:val="0"/>
    <w:pPr>
      <w:keepNext/>
      <w:outlineLvl w:val="1"/>
    </w:pPr>
    <w:rPr>
      <w:rFonts w:ascii="GE Inspira" w:hAnsi="GE Inspira"/>
      <w:b/>
      <w:sz w:val="22"/>
      <w:szCs w:val="20"/>
    </w:rPr>
  </w:style>
  <w:style w:type="paragraph" w:styleId="4">
    <w:name w:val="heading 3"/>
    <w:basedOn w:val="1"/>
    <w:next w:val="1"/>
    <w:qFormat/>
    <w:uiPriority w:val="0"/>
    <w:pPr>
      <w:keepNext/>
      <w:outlineLvl w:val="2"/>
    </w:pPr>
    <w:rPr>
      <w:rFonts w:ascii="GE Inspira" w:hAnsi="GE Inspira"/>
      <w:b/>
      <w:bCs/>
      <w:sz w:val="20"/>
      <w:szCs w:val="20"/>
    </w:rPr>
  </w:style>
  <w:style w:type="paragraph" w:styleId="5">
    <w:name w:val="heading 4"/>
    <w:basedOn w:val="1"/>
    <w:next w:val="1"/>
    <w:qFormat/>
    <w:uiPriority w:val="0"/>
    <w:pPr>
      <w:keepNext/>
      <w:outlineLvl w:val="3"/>
    </w:pPr>
    <w:rPr>
      <w:rFonts w:ascii="GE Inspira" w:hAnsi="GE Inspira"/>
      <w:b/>
      <w:bCs/>
    </w:rPr>
  </w:style>
  <w:style w:type="paragraph" w:styleId="6">
    <w:name w:val="heading 5"/>
    <w:basedOn w:val="1"/>
    <w:next w:val="1"/>
    <w:qFormat/>
    <w:uiPriority w:val="0"/>
    <w:pPr>
      <w:spacing w:before="100" w:beforeAutospacing="1" w:after="100" w:afterAutospacing="1"/>
      <w:outlineLvl w:val="4"/>
    </w:pPr>
    <w:rPr>
      <w:rFonts w:hint="eastAsia" w:ascii="宋体" w:hAnsi="宋体"/>
      <w:b/>
      <w:sz w:val="20"/>
      <w:szCs w:val="20"/>
      <w:lang w:eastAsia="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0"/>
    <w:pPr>
      <w:widowControl w:val="0"/>
      <w:ind w:firstLine="420"/>
      <w:jc w:val="both"/>
    </w:pPr>
    <w:rPr>
      <w:kern w:val="2"/>
      <w:sz w:val="21"/>
      <w:lang w:eastAsia="zh-CN"/>
    </w:rPr>
  </w:style>
  <w:style w:type="paragraph" w:styleId="8">
    <w:name w:val="Document Map"/>
    <w:basedOn w:val="1"/>
    <w:semiHidden/>
    <w:qFormat/>
    <w:uiPriority w:val="0"/>
    <w:pPr>
      <w:shd w:val="clear" w:color="auto" w:fill="000080"/>
    </w:pPr>
  </w:style>
  <w:style w:type="paragraph" w:styleId="9">
    <w:name w:val="Body Text"/>
    <w:basedOn w:val="1"/>
    <w:qFormat/>
    <w:uiPriority w:val="0"/>
    <w:rPr>
      <w:rFonts w:ascii="GE Inspira" w:hAnsi="GE Inspira"/>
      <w:bCs/>
      <w:i/>
      <w:iCs/>
      <w:sz w:val="20"/>
      <w:szCs w:val="20"/>
    </w:rPr>
  </w:style>
  <w:style w:type="paragraph" w:styleId="10">
    <w:name w:val="Balloon Text"/>
    <w:basedOn w:val="1"/>
    <w:link w:val="24"/>
    <w:qFormat/>
    <w:uiPriority w:val="0"/>
    <w:rPr>
      <w:sz w:val="18"/>
      <w:szCs w:val="18"/>
    </w:rPr>
  </w:style>
  <w:style w:type="paragraph" w:styleId="11">
    <w:name w:val="footer"/>
    <w:basedOn w:val="1"/>
    <w:qFormat/>
    <w:uiPriority w:val="0"/>
    <w:pPr>
      <w:tabs>
        <w:tab w:val="center" w:pos="4320"/>
        <w:tab w:val="right" w:pos="8640"/>
      </w:tabs>
    </w:pPr>
  </w:style>
  <w:style w:type="paragraph" w:styleId="12">
    <w:name w:val="header"/>
    <w:basedOn w:val="1"/>
    <w:link w:val="23"/>
    <w:qFormat/>
    <w:uiPriority w:val="99"/>
    <w:pPr>
      <w:tabs>
        <w:tab w:val="center" w:pos="4320"/>
        <w:tab w:val="right" w:pos="8640"/>
      </w:tabs>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lang w:eastAsia="zh-CN"/>
    </w:rPr>
  </w:style>
  <w:style w:type="paragraph" w:styleId="14">
    <w:name w:val="Normal (Web)"/>
    <w:basedOn w:val="1"/>
    <w:qFormat/>
    <w:uiPriority w:val="99"/>
  </w:style>
  <w:style w:type="paragraph" w:styleId="15">
    <w:name w:val="Title"/>
    <w:basedOn w:val="1"/>
    <w:link w:val="37"/>
    <w:qFormat/>
    <w:uiPriority w:val="0"/>
    <w:pPr>
      <w:spacing w:line="360" w:lineRule="auto"/>
      <w:jc w:val="center"/>
    </w:pPr>
    <w:rPr>
      <w:rFonts w:eastAsia="楷体"/>
      <w:b/>
      <w:sz w:val="32"/>
      <w:szCs w:val="20"/>
      <w:lang w:eastAsia="zh-CN"/>
    </w:rPr>
  </w:style>
  <w:style w:type="table" w:styleId="17">
    <w:name w:val="Table Grid"/>
    <w:basedOn w:val="16"/>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0"/>
    <w:rPr>
      <w:b/>
    </w:rPr>
  </w:style>
  <w:style w:type="character" w:styleId="20">
    <w:name w:val="FollowedHyperlink"/>
    <w:basedOn w:val="18"/>
    <w:qFormat/>
    <w:uiPriority w:val="0"/>
    <w:rPr>
      <w:color w:val="35A1D4"/>
      <w:u w:val="single"/>
    </w:rPr>
  </w:style>
  <w:style w:type="character" w:styleId="21">
    <w:name w:val="Emphasis"/>
    <w:basedOn w:val="18"/>
    <w:qFormat/>
    <w:uiPriority w:val="0"/>
  </w:style>
  <w:style w:type="character" w:styleId="22">
    <w:name w:val="Hyperlink"/>
    <w:basedOn w:val="18"/>
    <w:unhideWhenUsed/>
    <w:qFormat/>
    <w:uiPriority w:val="99"/>
    <w:rPr>
      <w:color w:val="0000FF"/>
      <w:u w:val="single"/>
    </w:rPr>
  </w:style>
  <w:style w:type="character" w:customStyle="1" w:styleId="23">
    <w:name w:val="页眉 字符"/>
    <w:link w:val="12"/>
    <w:qFormat/>
    <w:uiPriority w:val="99"/>
    <w:rPr>
      <w:sz w:val="24"/>
      <w:szCs w:val="24"/>
      <w:lang w:eastAsia="en-US"/>
    </w:rPr>
  </w:style>
  <w:style w:type="character" w:customStyle="1" w:styleId="24">
    <w:name w:val="批注框文本 字符"/>
    <w:link w:val="10"/>
    <w:qFormat/>
    <w:uiPriority w:val="0"/>
    <w:rPr>
      <w:sz w:val="18"/>
      <w:szCs w:val="18"/>
      <w:lang w:eastAsia="en-US"/>
    </w:rPr>
  </w:style>
  <w:style w:type="paragraph" w:customStyle="1" w:styleId="25">
    <w:name w:val="列出段落1"/>
    <w:basedOn w:val="1"/>
    <w:qFormat/>
    <w:uiPriority w:val="34"/>
    <w:pPr>
      <w:ind w:firstLine="420" w:firstLineChars="200"/>
    </w:pPr>
  </w:style>
  <w:style w:type="paragraph" w:customStyle="1" w:styleId="26">
    <w:name w:val="Section Title"/>
    <w:basedOn w:val="1"/>
    <w:next w:val="1"/>
    <w:qFormat/>
    <w:uiPriority w:val="0"/>
    <w:rPr>
      <w:snapToGrid w:val="0"/>
      <w:color w:val="000000"/>
      <w:spacing w:val="-10"/>
      <w:szCs w:val="21"/>
      <w:lang w:val="zh-CN" w:eastAsia="zh-CN"/>
    </w:rPr>
  </w:style>
  <w:style w:type="paragraph" w:customStyle="1" w:styleId="27">
    <w:name w:val="p0"/>
    <w:basedOn w:val="1"/>
    <w:qFormat/>
    <w:uiPriority w:val="0"/>
    <w:rPr>
      <w:sz w:val="20"/>
      <w:szCs w:val="20"/>
      <w:lang w:eastAsia="zh-CN"/>
    </w:rPr>
  </w:style>
  <w:style w:type="paragraph" w:customStyle="1" w:styleId="28">
    <w:name w:val="Balloon Text1"/>
    <w:basedOn w:val="1"/>
    <w:semiHidden/>
    <w:qFormat/>
    <w:uiPriority w:val="0"/>
    <w:rPr>
      <w:rFonts w:ascii="Tahoma" w:hAnsi="Tahoma" w:cs="Tahoma"/>
      <w:sz w:val="16"/>
      <w:szCs w:val="16"/>
    </w:rPr>
  </w:style>
  <w:style w:type="table" w:customStyle="1" w:styleId="29">
    <w:name w:val="普 通 表 格"/>
    <w:basedOn w:val="16"/>
    <w:semiHidden/>
    <w:qFormat/>
    <w:uiPriority w:val="0"/>
    <w:rPr>
      <w:rFonts w:ascii="Calibri" w:hAnsi="Calibri" w:cs="Calibri"/>
      <w:szCs w:val="21"/>
    </w:rPr>
  </w:style>
  <w:style w:type="character" w:customStyle="1" w:styleId="30">
    <w:name w:val="via1"/>
    <w:basedOn w:val="18"/>
    <w:qFormat/>
    <w:uiPriority w:val="0"/>
    <w:rPr>
      <w:color w:val="959595"/>
    </w:rPr>
  </w:style>
  <w:style w:type="paragraph" w:customStyle="1" w:styleId="31">
    <w:name w:val="列出段落2"/>
    <w:basedOn w:val="1"/>
    <w:qFormat/>
    <w:uiPriority w:val="0"/>
    <w:pPr>
      <w:ind w:firstLine="420" w:firstLineChars="200"/>
    </w:pPr>
    <w:rPr>
      <w:lang w:eastAsia="zh-CN"/>
    </w:rPr>
  </w:style>
  <w:style w:type="paragraph" w:styleId="32">
    <w:name w:val="List Paragraph"/>
    <w:basedOn w:val="1"/>
    <w:qFormat/>
    <w:uiPriority w:val="34"/>
    <w:pPr>
      <w:ind w:firstLine="420" w:firstLineChars="200"/>
    </w:pPr>
  </w:style>
  <w:style w:type="character" w:customStyle="1" w:styleId="33">
    <w:name w:val="apple-style-span"/>
    <w:basedOn w:val="18"/>
    <w:qFormat/>
    <w:uiPriority w:val="0"/>
  </w:style>
  <w:style w:type="paragraph" w:customStyle="1" w:styleId="34">
    <w:name w:val="Table Paragraph"/>
    <w:basedOn w:val="1"/>
    <w:qFormat/>
    <w:uiPriority w:val="1"/>
    <w:pPr>
      <w:ind w:left="540"/>
    </w:pPr>
    <w:rPr>
      <w:rFonts w:ascii="微软雅黑" w:hAnsi="微软雅黑" w:eastAsia="微软雅黑" w:cs="微软雅黑"/>
      <w:lang w:val="zh-CN" w:eastAsia="zh-CN" w:bidi="zh-CN"/>
    </w:rPr>
  </w:style>
  <w:style w:type="table" w:customStyle="1" w:styleId="35">
    <w:name w:val="网格型1"/>
    <w:basedOn w:val="1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字符"/>
    <w:basedOn w:val="18"/>
    <w:qFormat/>
    <w:uiPriority w:val="0"/>
    <w:rPr>
      <w:rFonts w:asciiTheme="majorHAnsi" w:hAnsiTheme="majorHAnsi" w:eastAsiaTheme="majorEastAsia" w:cstheme="majorBidi"/>
      <w:b/>
      <w:bCs/>
      <w:sz w:val="32"/>
      <w:szCs w:val="32"/>
      <w:lang w:eastAsia="en-US"/>
    </w:rPr>
  </w:style>
  <w:style w:type="character" w:customStyle="1" w:styleId="37">
    <w:name w:val="标题 字符1"/>
    <w:link w:val="15"/>
    <w:qFormat/>
    <w:uiPriority w:val="0"/>
    <w:rPr>
      <w:rFonts w:eastAsia="楷体"/>
      <w:b/>
      <w:sz w:val="32"/>
    </w:rPr>
  </w:style>
  <w:style w:type="paragraph" w:customStyle="1" w:styleId="3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9">
    <w:name w:val="paragraph"/>
    <w:basedOn w:val="1"/>
    <w:qFormat/>
    <w:uiPriority w:val="0"/>
    <w:pPr>
      <w:spacing w:before="100" w:beforeAutospacing="1" w:after="100" w:afterAutospacing="1"/>
    </w:pPr>
    <w:rPr>
      <w:rFonts w:ascii="宋体" w:hAnsi="宋体" w:cs="宋体"/>
      <w:lang w:eastAsia="zh-CN"/>
    </w:rPr>
  </w:style>
  <w:style w:type="character" w:customStyle="1" w:styleId="40">
    <w:name w:val="fontstyle01"/>
    <w:basedOn w:val="18"/>
    <w:qFormat/>
    <w:uiPriority w:val="0"/>
    <w:rPr>
      <w:rFonts w:hint="default" w:ascii="MicrosoftYaHei" w:hAnsi="MicrosoftYaHei"/>
      <w:color w:val="3F3F3F"/>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GE Corporate</Company>
  <Pages>10</Pages>
  <Words>6788</Words>
  <Characters>7179</Characters>
  <Lines>8</Lines>
  <Paragraphs>2</Paragraphs>
  <TotalTime>9</TotalTime>
  <ScaleCrop>false</ScaleCrop>
  <LinksUpToDate>false</LinksUpToDate>
  <CharactersWithSpaces>7421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2022-03-16T08:32:00Z</dcterms:created>
  <dc:creator>106003151</dc:creator>
  <cp:lastModifiedBy>荀莲乐悠悠</cp:lastModifiedBy>
  <cp:lastPrinted>2008-12-02T06:16:00Z</cp:lastPrinted>
  <dcterms:modified xsi:type="dcterms:W3CDTF">2025-10-29T12:44:26Z</dcterms:modified>
  <dc:title>Title of the role: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4915B30873BC41C98BD7B3A9B7A67F3F</vt:lpwstr>
  </property>
  <property fmtid="{D5CDD505-2E9C-101B-9397-08002B2CF9AE}" pid="3" name="KSOProductBuildVer">
    <vt:lpwstr>2052-12.1.0.23125</vt:lpwstr>
  </property>
  <property fmtid="{D5CDD505-2E9C-101B-9397-08002B2CF9AE}" pid="4" name="KSOTemplateDocerSaveRecord">
    <vt:lpwstr>eyJoZGlkIjoiZTNiMmJjMGUyMDNhMGI0MjllZTc4OTE3ODRjOTBjMWQiLCJ1c2VySWQiOiIzODQ4NjM2MTAifQ==</vt:lpwstr>
  </property>
</Properties>
</file>