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8FD99E">
      <w:pPr>
        <w:spacing w:line="300" w:lineRule="auto"/>
        <w:jc w:val="center"/>
        <w:rPr>
          <w:b/>
          <w:sz w:val="10"/>
          <w:szCs w:val="10"/>
          <w:lang w:eastAsia="zh-CN"/>
        </w:rPr>
      </w:pPr>
    </w:p>
    <w:p w14:paraId="3A56BB4C">
      <w:pPr>
        <w:spacing w:line="300" w:lineRule="auto"/>
        <w:ind w:firstLine="3947" w:firstLineChars="1092"/>
        <w:rPr>
          <w:b/>
          <w:sz w:val="36"/>
          <w:szCs w:val="36"/>
          <w:lang w:eastAsia="zh-CN"/>
        </w:rPr>
      </w:pPr>
      <w:r>
        <w:rPr>
          <w:rFonts w:hint="eastAsia"/>
          <w:b/>
          <w:sz w:val="36"/>
          <w:szCs w:val="36"/>
          <w:lang w:val="en-US" w:eastAsia="zh-CN"/>
        </w:rPr>
        <w:t>黎益林</w:t>
      </w:r>
      <w:r>
        <w:rPr>
          <w:b/>
          <w:sz w:val="36"/>
          <w:szCs w:val="36"/>
          <w:lang w:eastAsia="zh-CN"/>
        </w:rPr>
        <w:t>推荐报告</w:t>
      </w:r>
    </w:p>
    <w:p w14:paraId="76C510FC">
      <w:pPr>
        <w:spacing w:line="300" w:lineRule="auto"/>
        <w:ind w:firstLine="6939" w:firstLineChars="2880"/>
        <w:rPr>
          <w:b/>
          <w:bCs/>
          <w:lang w:eastAsia="zh-CN"/>
        </w:rPr>
      </w:pPr>
      <w:r>
        <w:rPr>
          <w:rFonts w:hint="eastAsia"/>
          <w:b/>
          <w:bCs/>
          <w:lang w:eastAsia="zh-CN"/>
        </w:rPr>
        <w:t xml:space="preserve"> </w:t>
      </w:r>
    </w:p>
    <w:p w14:paraId="3BA7A0BC">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1F889E18">
        <w:tblPrEx>
          <w:tblCellMar>
            <w:top w:w="0" w:type="dxa"/>
            <w:left w:w="108" w:type="dxa"/>
            <w:bottom w:w="0" w:type="dxa"/>
            <w:right w:w="108" w:type="dxa"/>
          </w:tblCellMar>
        </w:tblPrEx>
        <w:tc>
          <w:tcPr>
            <w:tcW w:w="7298" w:type="dxa"/>
          </w:tcPr>
          <w:p w14:paraId="0290BC5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黎益林</w:t>
            </w:r>
          </w:p>
        </w:tc>
        <w:tc>
          <w:tcPr>
            <w:tcW w:w="2625" w:type="dxa"/>
            <w:vMerge w:val="restart"/>
          </w:tcPr>
          <w:p w14:paraId="46BA7834">
            <w:pPr>
              <w:tabs>
                <w:tab w:val="left" w:pos="2700"/>
                <w:tab w:val="left" w:pos="3000"/>
                <w:tab w:val="left" w:pos="7965"/>
              </w:tabs>
              <w:spacing w:line="300" w:lineRule="auto"/>
              <w:rPr>
                <w:lang w:eastAsia="zh-CN"/>
              </w:rPr>
            </w:pPr>
          </w:p>
        </w:tc>
      </w:tr>
      <w:tr w14:paraId="50DC32DC">
        <w:tblPrEx>
          <w:tblCellMar>
            <w:top w:w="0" w:type="dxa"/>
            <w:left w:w="108" w:type="dxa"/>
            <w:bottom w:w="0" w:type="dxa"/>
            <w:right w:w="108" w:type="dxa"/>
          </w:tblCellMar>
        </w:tblPrEx>
        <w:trPr>
          <w:trHeight w:val="272" w:hRule="atLeast"/>
        </w:trPr>
        <w:tc>
          <w:tcPr>
            <w:tcW w:w="7298" w:type="dxa"/>
          </w:tcPr>
          <w:p w14:paraId="5BDA6E89">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1990</w:t>
            </w:r>
          </w:p>
        </w:tc>
        <w:tc>
          <w:tcPr>
            <w:tcW w:w="2625" w:type="dxa"/>
            <w:vMerge w:val="continue"/>
          </w:tcPr>
          <w:p w14:paraId="08B6FCC8">
            <w:pPr>
              <w:tabs>
                <w:tab w:val="left" w:pos="2700"/>
                <w:tab w:val="left" w:pos="3000"/>
                <w:tab w:val="left" w:pos="7965"/>
              </w:tabs>
              <w:spacing w:line="300" w:lineRule="auto"/>
              <w:ind w:firstLine="120" w:firstLineChars="50"/>
              <w:rPr>
                <w:lang w:eastAsia="zh-CN"/>
              </w:rPr>
            </w:pPr>
          </w:p>
        </w:tc>
      </w:tr>
      <w:tr w14:paraId="65761A04">
        <w:tblPrEx>
          <w:tblCellMar>
            <w:top w:w="0" w:type="dxa"/>
            <w:left w:w="108" w:type="dxa"/>
            <w:bottom w:w="0" w:type="dxa"/>
            <w:right w:w="108" w:type="dxa"/>
          </w:tblCellMar>
        </w:tblPrEx>
        <w:trPr>
          <w:trHeight w:val="221" w:hRule="atLeast"/>
        </w:trPr>
        <w:tc>
          <w:tcPr>
            <w:tcW w:w="7298" w:type="dxa"/>
          </w:tcPr>
          <w:p w14:paraId="4B9EB36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4C6B8BCF">
            <w:pPr>
              <w:tabs>
                <w:tab w:val="left" w:pos="2700"/>
                <w:tab w:val="left" w:pos="3000"/>
                <w:tab w:val="left" w:pos="7965"/>
              </w:tabs>
              <w:spacing w:line="300" w:lineRule="auto"/>
              <w:ind w:firstLine="120" w:firstLineChars="50"/>
              <w:rPr>
                <w:lang w:eastAsia="zh-CN"/>
              </w:rPr>
            </w:pPr>
          </w:p>
        </w:tc>
      </w:tr>
      <w:tr w14:paraId="61959792">
        <w:tblPrEx>
          <w:tblCellMar>
            <w:top w:w="0" w:type="dxa"/>
            <w:left w:w="108" w:type="dxa"/>
            <w:bottom w:w="0" w:type="dxa"/>
            <w:right w:w="108" w:type="dxa"/>
          </w:tblCellMar>
        </w:tblPrEx>
        <w:trPr>
          <w:trHeight w:val="90" w:hRule="atLeast"/>
        </w:trPr>
        <w:tc>
          <w:tcPr>
            <w:tcW w:w="7298" w:type="dxa"/>
          </w:tcPr>
          <w:p w14:paraId="4837CEE9">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lang w:val="en-US" w:eastAsia="zh-CN"/>
              </w:rPr>
              <w:t>已婚已育</w:t>
            </w:r>
          </w:p>
        </w:tc>
        <w:tc>
          <w:tcPr>
            <w:tcW w:w="2625" w:type="dxa"/>
            <w:vMerge w:val="continue"/>
          </w:tcPr>
          <w:p w14:paraId="2F7B0E6C">
            <w:pPr>
              <w:tabs>
                <w:tab w:val="left" w:pos="2700"/>
                <w:tab w:val="left" w:pos="3000"/>
                <w:tab w:val="left" w:pos="7965"/>
              </w:tabs>
              <w:spacing w:line="300" w:lineRule="auto"/>
              <w:ind w:firstLine="120" w:firstLineChars="50"/>
              <w:rPr>
                <w:lang w:eastAsia="zh-CN"/>
              </w:rPr>
            </w:pPr>
          </w:p>
        </w:tc>
      </w:tr>
      <w:tr w14:paraId="019C0617">
        <w:tblPrEx>
          <w:tblCellMar>
            <w:top w:w="0" w:type="dxa"/>
            <w:left w:w="108" w:type="dxa"/>
            <w:bottom w:w="0" w:type="dxa"/>
            <w:right w:w="108" w:type="dxa"/>
          </w:tblCellMar>
        </w:tblPrEx>
        <w:trPr>
          <w:trHeight w:val="242" w:hRule="atLeast"/>
        </w:trPr>
        <w:tc>
          <w:tcPr>
            <w:tcW w:w="7298" w:type="dxa"/>
          </w:tcPr>
          <w:p w14:paraId="5E95AB09">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lang w:val="en-US" w:eastAsia="zh-CN"/>
              </w:rPr>
              <w:t>长沙</w:t>
            </w:r>
          </w:p>
        </w:tc>
        <w:tc>
          <w:tcPr>
            <w:tcW w:w="2625" w:type="dxa"/>
            <w:vMerge w:val="continue"/>
          </w:tcPr>
          <w:p w14:paraId="51143BD2">
            <w:pPr>
              <w:tabs>
                <w:tab w:val="left" w:pos="2700"/>
                <w:tab w:val="left" w:pos="3000"/>
                <w:tab w:val="left" w:pos="7965"/>
              </w:tabs>
              <w:spacing w:line="300" w:lineRule="auto"/>
              <w:ind w:firstLine="120" w:firstLineChars="50"/>
              <w:rPr>
                <w:lang w:eastAsia="zh-CN"/>
              </w:rPr>
            </w:pPr>
          </w:p>
        </w:tc>
      </w:tr>
      <w:tr w14:paraId="374FFEA4">
        <w:tblPrEx>
          <w:tblCellMar>
            <w:top w:w="0" w:type="dxa"/>
            <w:left w:w="108" w:type="dxa"/>
            <w:bottom w:w="0" w:type="dxa"/>
            <w:right w:w="108" w:type="dxa"/>
          </w:tblCellMar>
        </w:tblPrEx>
        <w:trPr>
          <w:trHeight w:val="333" w:hRule="atLeast"/>
        </w:trPr>
        <w:tc>
          <w:tcPr>
            <w:tcW w:w="7298" w:type="dxa"/>
          </w:tcPr>
          <w:p w14:paraId="1953932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长沙</w:t>
            </w:r>
          </w:p>
        </w:tc>
        <w:tc>
          <w:tcPr>
            <w:tcW w:w="2625" w:type="dxa"/>
            <w:vMerge w:val="continue"/>
          </w:tcPr>
          <w:p w14:paraId="22B6F52B">
            <w:pPr>
              <w:tabs>
                <w:tab w:val="left" w:pos="2700"/>
                <w:tab w:val="left" w:pos="3000"/>
                <w:tab w:val="left" w:pos="7965"/>
              </w:tabs>
              <w:spacing w:line="300" w:lineRule="auto"/>
              <w:ind w:firstLine="120" w:firstLineChars="50"/>
              <w:rPr>
                <w:lang w:eastAsia="zh-CN"/>
              </w:rPr>
            </w:pPr>
          </w:p>
        </w:tc>
      </w:tr>
      <w:tr w14:paraId="77B26F79">
        <w:tblPrEx>
          <w:tblCellMar>
            <w:top w:w="0" w:type="dxa"/>
            <w:left w:w="108" w:type="dxa"/>
            <w:bottom w:w="0" w:type="dxa"/>
            <w:right w:w="108" w:type="dxa"/>
          </w:tblCellMar>
        </w:tblPrEx>
        <w:tc>
          <w:tcPr>
            <w:tcW w:w="7298" w:type="dxa"/>
          </w:tcPr>
          <w:p w14:paraId="449CD640">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18570026029</w:t>
            </w:r>
          </w:p>
        </w:tc>
        <w:tc>
          <w:tcPr>
            <w:tcW w:w="2625" w:type="dxa"/>
            <w:vMerge w:val="continue"/>
          </w:tcPr>
          <w:p w14:paraId="2486878C">
            <w:pPr>
              <w:tabs>
                <w:tab w:val="left" w:pos="2700"/>
                <w:tab w:val="left" w:pos="3000"/>
                <w:tab w:val="left" w:pos="7965"/>
              </w:tabs>
              <w:spacing w:line="300" w:lineRule="auto"/>
              <w:rPr>
                <w:lang w:eastAsia="zh-CN"/>
              </w:rPr>
            </w:pPr>
          </w:p>
        </w:tc>
      </w:tr>
      <w:tr w14:paraId="07780124">
        <w:tblPrEx>
          <w:tblCellMar>
            <w:top w:w="0" w:type="dxa"/>
            <w:left w:w="108" w:type="dxa"/>
            <w:bottom w:w="0" w:type="dxa"/>
            <w:right w:w="108" w:type="dxa"/>
          </w:tblCellMar>
        </w:tblPrEx>
        <w:tc>
          <w:tcPr>
            <w:tcW w:w="7298" w:type="dxa"/>
          </w:tcPr>
          <w:p w14:paraId="2CE307C8">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598507192@qq.com</w:t>
            </w:r>
          </w:p>
        </w:tc>
        <w:tc>
          <w:tcPr>
            <w:tcW w:w="2625" w:type="dxa"/>
            <w:vMerge w:val="continue"/>
          </w:tcPr>
          <w:p w14:paraId="038254C4">
            <w:pPr>
              <w:tabs>
                <w:tab w:val="left" w:pos="2700"/>
                <w:tab w:val="left" w:pos="3000"/>
                <w:tab w:val="left" w:pos="7965"/>
              </w:tabs>
              <w:spacing w:line="300" w:lineRule="auto"/>
              <w:rPr>
                <w:lang w:eastAsia="zh-CN"/>
              </w:rPr>
            </w:pPr>
          </w:p>
        </w:tc>
      </w:tr>
    </w:tbl>
    <w:p w14:paraId="71033326">
      <w:pPr>
        <w:tabs>
          <w:tab w:val="left" w:pos="2010"/>
        </w:tabs>
        <w:spacing w:line="300" w:lineRule="auto"/>
        <w:rPr>
          <w:iCs/>
          <w:szCs w:val="21"/>
        </w:rPr>
      </w:pPr>
    </w:p>
    <w:p w14:paraId="35238493">
      <w:pPr>
        <w:tabs>
          <w:tab w:val="left" w:pos="2552"/>
        </w:tabs>
        <w:spacing w:line="300" w:lineRule="auto"/>
        <w:rPr>
          <w:b/>
          <w:szCs w:val="21"/>
          <w:lang w:val="en-GB" w:eastAsia="zh-CN"/>
        </w:rPr>
      </w:pPr>
    </w:p>
    <w:p w14:paraId="2C3A4733">
      <w:pPr>
        <w:tabs>
          <w:tab w:val="left" w:pos="2552"/>
        </w:tabs>
        <w:spacing w:line="300" w:lineRule="auto"/>
        <w:rPr>
          <w:b/>
          <w:szCs w:val="21"/>
          <w:lang w:val="en-GB" w:eastAsia="zh-CN"/>
        </w:rPr>
      </w:pPr>
      <w:r>
        <w:rPr>
          <w:b/>
          <w:szCs w:val="21"/>
          <w:lang w:val="en-GB" w:eastAsia="zh-CN"/>
        </w:rPr>
        <w:t>教育背景</w:t>
      </w:r>
    </w:p>
    <w:p w14:paraId="68F63D73">
      <w:pPr>
        <w:tabs>
          <w:tab w:val="left" w:pos="2552"/>
        </w:tabs>
        <w:spacing w:line="300" w:lineRule="auto"/>
        <w:rPr>
          <w:b/>
          <w:szCs w:val="21"/>
          <w:lang w:val="en-GB" w:eastAsia="zh-CN"/>
        </w:rPr>
      </w:pPr>
      <w:r>
        <w:rPr>
          <w:rFonts w:hint="eastAsia"/>
          <w:b/>
          <w:szCs w:val="21"/>
          <w:lang w:val="en-GB" w:eastAsia="zh-CN"/>
        </w:rPr>
        <w:t>2023.09—2026.06         湖南工商大学         销售管理        本科</w:t>
      </w:r>
    </w:p>
    <w:p w14:paraId="0072B907">
      <w:pPr>
        <w:tabs>
          <w:tab w:val="left" w:pos="2552"/>
        </w:tabs>
        <w:spacing w:line="300" w:lineRule="auto"/>
        <w:rPr>
          <w:b/>
          <w:szCs w:val="21"/>
          <w:lang w:val="en-GB" w:eastAsia="zh-CN"/>
        </w:rPr>
      </w:pPr>
      <w:r>
        <w:rPr>
          <w:rFonts w:hint="eastAsia"/>
          <w:b/>
          <w:szCs w:val="21"/>
          <w:lang w:val="en-GB" w:eastAsia="zh-CN"/>
        </w:rPr>
        <w:t>2007.09—2010.06         长沙航空职业技术学院         机械制造        大专</w:t>
      </w:r>
    </w:p>
    <w:p w14:paraId="70B971A1">
      <w:pPr>
        <w:spacing w:line="300" w:lineRule="auto"/>
        <w:rPr>
          <w:b/>
          <w:bCs/>
          <w:szCs w:val="21"/>
          <w:u w:val="single"/>
          <w:shd w:val="pct10" w:color="auto" w:fill="FFFFFF"/>
          <w:lang w:eastAsia="zh-CN"/>
        </w:rPr>
      </w:pPr>
    </w:p>
    <w:p w14:paraId="73D6AE4A">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2616C3FC">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基本月薪 30k*12 年包40w</w:t>
      </w:r>
    </w:p>
    <w:p w14:paraId="6A195534">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基本持平 上涨至 45w</w:t>
      </w:r>
    </w:p>
    <w:p w14:paraId="0CC19816">
      <w:pPr>
        <w:tabs>
          <w:tab w:val="left" w:pos="2552"/>
        </w:tabs>
        <w:spacing w:line="300" w:lineRule="auto"/>
        <w:rPr>
          <w:szCs w:val="21"/>
          <w:lang w:val="en-GB" w:eastAsia="zh-CN"/>
        </w:rPr>
      </w:pPr>
    </w:p>
    <w:p w14:paraId="5084145B">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79678FE4">
      <w:pPr>
        <w:spacing w:line="300" w:lineRule="auto"/>
        <w:rPr>
          <w:b/>
          <w:lang w:eastAsia="zh-CN"/>
        </w:rPr>
      </w:pPr>
      <w:r>
        <w:rPr>
          <w:rFonts w:hint="eastAsia" w:ascii="宋体" w:hAnsi="宋体" w:cs="宋体"/>
          <w:b/>
          <w:color w:val="000000"/>
          <w:lang w:val="en-US" w:eastAsia="zh-CN"/>
        </w:rPr>
        <w:t>2021.08—至今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北京如影智能科技有限公司</w:t>
      </w:r>
      <w:r>
        <w:rPr>
          <w:rFonts w:hint="eastAsia"/>
          <w:b/>
          <w:lang w:eastAsia="zh-CN"/>
        </w:rPr>
        <w:t xml:space="preserve">     区域销售总监</w:t>
      </w:r>
    </w:p>
    <w:p w14:paraId="277B6813">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3067EB7F">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266D9B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业绩：腾讯/小米系投资的新锐智能科技公司（估值10亿现更名北京影智科技公司），聚焦AIoT、机器人等前沿技术，致力于研发高调性、高科技的智能硬件产品以及数字空间全场景解决方案，过去，已发布近20款SKU，获得国际奖项50个，专利200+项；</w:t>
      </w:r>
    </w:p>
    <w:p w14:paraId="5E8795F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rFonts w:hint="eastAsia"/>
          <w:sz w:val="24"/>
          <w:szCs w:val="24"/>
          <w:lang w:val="en-US" w:eastAsia="zh-CN"/>
        </w:rPr>
        <w:t>区域：全国</w:t>
      </w:r>
    </w:p>
    <w:p w14:paraId="218B565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KA客户：近80个头部地产区域公司、苏州电信、尚层装饰、爱空间、欧普照明、西顿照明、图森高定、梦天木作、欧派、正泰电气等；</w:t>
      </w:r>
    </w:p>
    <w:p w14:paraId="06FB7F3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岗位职责：</w:t>
      </w:r>
      <w:r>
        <w:rPr>
          <w:rStyle w:val="40"/>
          <w:sz w:val="24"/>
          <w:szCs w:val="24"/>
          <w:lang w:eastAsia="zh-CN"/>
        </w:rPr>
        <w:t>落地超过11000户家庭，连接IoT设备30万+(市场唯一一家同时支持小米/涂鸦/苹果/华为/京东生态平台第三方海量智能终端设备控制，能对接knx.485.zigbee.Dali.蓝牙等有线+无线智能方案)；</w:t>
      </w:r>
    </w:p>
    <w:p w14:paraId="424357B7">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主营</w:t>
      </w:r>
      <w:r>
        <w:rPr>
          <w:rStyle w:val="40"/>
          <w:rFonts w:hint="eastAsia"/>
          <w:sz w:val="24"/>
          <w:szCs w:val="24"/>
          <w:lang w:val="en-US" w:eastAsia="zh-CN"/>
        </w:rPr>
        <w:t>产品：</w:t>
      </w:r>
      <w:r>
        <w:rPr>
          <w:rStyle w:val="40"/>
          <w:sz w:val="24"/>
          <w:szCs w:val="24"/>
          <w:lang w:eastAsia="zh-CN"/>
        </w:rPr>
        <w:t>全屋智能家居硬件（开源生态中控屏幕/智能面板插座/窗帘电机/智能灯光驱动/智能门锁/网络AP/扫地机机器人/智能门系统国内市场）及多轴商用机器人（咖啡拉花机器人/智能厨房机器人/AR单车全球市场），负责其湖南/湖北/江西/河南区域业务拓展运营统筹管理，从0-1开拓省级运营商2家，区域经销商40+（行业：智能家居/高端照明/别墅影音/家电/暖通/3C电子/全屋定制/安防集成商/酒店智能集成商/装企）,核心城市卖场体验店15+（连锁建材卖场及购物MALL）,区域地产KA5家，签约合同1200万/首批回款近300万，完成东风汽车集团春笋智慧城/区域地产营销中心/十堰新能源汽车大会机器人项目销售及交付落地</w:t>
      </w:r>
      <w:r>
        <w:rPr>
          <w:lang w:eastAsia="zh-CN"/>
        </w:rPr>
        <w:t xml:space="preserve"> </w:t>
      </w:r>
      <w:r>
        <w:rPr>
          <w:rFonts w:hint="eastAsia"/>
          <w:lang w:eastAsia="zh-CN"/>
        </w:rPr>
        <w:t xml:space="preserve">   </w:t>
      </w:r>
    </w:p>
    <w:p w14:paraId="4AE0B395">
      <w:pPr>
        <w:widowControl w:val="0"/>
        <w:autoSpaceDE w:val="0"/>
        <w:autoSpaceDN w:val="0"/>
        <w:adjustRightInd w:val="0"/>
        <w:spacing w:line="360" w:lineRule="auto"/>
        <w:rPr>
          <w:rFonts w:hint="default"/>
          <w:lang w:val="en-US"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lang w:eastAsia="zh-CN"/>
        </w:rPr>
        <w:t xml:space="preserve"> </w:t>
      </w:r>
      <w:r>
        <w:rPr>
          <w:rFonts w:hint="eastAsia"/>
          <w:lang w:val="en-US" w:eastAsia="zh-CN"/>
        </w:rPr>
        <w:t>想寻找更好的平台和工作机会</w:t>
      </w:r>
    </w:p>
    <w:p w14:paraId="0DC6D43D">
      <w:pPr>
        <w:pStyle w:val="32"/>
        <w:widowControl w:val="0"/>
        <w:numPr>
          <w:ilvl w:val="0"/>
          <w:numId w:val="0"/>
        </w:numPr>
        <w:autoSpaceDE w:val="0"/>
        <w:autoSpaceDN w:val="0"/>
        <w:adjustRightInd w:val="0"/>
        <w:spacing w:line="360" w:lineRule="auto"/>
        <w:ind w:leftChars="0"/>
        <w:jc w:val="both"/>
        <w:rPr>
          <w:rFonts w:hint="eastAsia"/>
          <w:lang w:eastAsia="zh-CN"/>
        </w:rPr>
      </w:pPr>
    </w:p>
    <w:p w14:paraId="37D09BB7">
      <w:pPr>
        <w:spacing w:line="300" w:lineRule="auto"/>
        <w:rPr>
          <w:b/>
          <w:lang w:eastAsia="zh-CN"/>
        </w:rPr>
      </w:pPr>
      <w:r>
        <w:rPr>
          <w:rFonts w:hint="eastAsia" w:ascii="宋体" w:hAnsi="宋体" w:cs="宋体"/>
          <w:b/>
          <w:color w:val="000000"/>
          <w:lang w:val="en-US" w:eastAsia="zh-CN"/>
        </w:rPr>
        <w:t>2020.03—2021.08</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深圳TCL智能家庭科技有限公司</w:t>
      </w:r>
      <w:r>
        <w:rPr>
          <w:rFonts w:hint="eastAsia"/>
          <w:b/>
          <w:lang w:eastAsia="zh-CN"/>
        </w:rPr>
        <w:t xml:space="preserve">     华中大区经理</w:t>
      </w:r>
    </w:p>
    <w:p w14:paraId="08B4D85A">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6DA50FE6">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1BB697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负责TCL电子科技集团旗下智能家居科技事业版块（智能锁/智能晾衣机/智控开关面板及传感器等全屋智能家电IoT硬件产品）华中区域线下零售市场网点的开拓与管理负责，先后在湖南长沙/怀化/邵阳/安徽蚌埠/淮北/湖北武汉/宜昌开拓代理商7家，签约合同280万完成首批回款90万，同时在江西南L昌/上饶/赣州等地市主导客户新建TCL智慧家居生活馆3家（500平方全屋智能家电专卖店）</w:t>
      </w:r>
      <w:r>
        <w:rPr>
          <w:lang w:eastAsia="zh-CN"/>
        </w:rPr>
        <w:t xml:space="preserve"> </w:t>
      </w:r>
      <w:r>
        <w:rPr>
          <w:rFonts w:hint="eastAsia"/>
          <w:lang w:eastAsia="zh-CN"/>
        </w:rPr>
        <w:t xml:space="preserve">   </w:t>
      </w:r>
    </w:p>
    <w:p w14:paraId="78C55EC8">
      <w:pPr>
        <w:pStyle w:val="32"/>
        <w:widowControl w:val="0"/>
        <w:numPr>
          <w:ilvl w:val="0"/>
          <w:numId w:val="0"/>
        </w:numPr>
        <w:autoSpaceDE w:val="0"/>
        <w:autoSpaceDN w:val="0"/>
        <w:adjustRightInd w:val="0"/>
        <w:spacing w:line="360" w:lineRule="auto"/>
        <w:ind w:leftChars="0"/>
        <w:jc w:val="both"/>
        <w:rPr>
          <w:rFonts w:hint="eastAsia"/>
          <w:lang w:eastAsia="zh-CN"/>
        </w:rPr>
      </w:pPr>
    </w:p>
    <w:p w14:paraId="6371E88C">
      <w:pPr>
        <w:spacing w:line="300" w:lineRule="auto"/>
        <w:rPr>
          <w:b/>
          <w:lang w:eastAsia="zh-CN"/>
        </w:rPr>
      </w:pPr>
      <w:r>
        <w:rPr>
          <w:rFonts w:hint="eastAsia" w:ascii="宋体" w:hAnsi="宋体" w:cs="宋体"/>
          <w:b/>
          <w:color w:val="000000"/>
          <w:lang w:val="en-US" w:eastAsia="zh-CN"/>
        </w:rPr>
        <w:t>2019.01—2020.02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德施曼机电(中国)有限公司</w:t>
      </w:r>
      <w:r>
        <w:rPr>
          <w:rFonts w:hint="eastAsia"/>
          <w:b/>
          <w:lang w:eastAsia="zh-CN"/>
        </w:rPr>
        <w:t xml:space="preserve">     省区经理</w:t>
      </w:r>
    </w:p>
    <w:p w14:paraId="6DE885FB">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8A83553">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A0E90CC">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职责业绩：德施曼机电（中国）有限公司是一家专注于智能锁研发制造及物联系统链接的中国物联网50强高新技术企业(智能锁/智能摄像头/智能猫眼/智能保险柜/智能家居全屋安防传感器)（智能锁龙头企业行业Top3专业性品牌，年销售额8亿）负责华中区域线下零售市场网点的开拓与管理负责（及湖南卫视快乐购/国家电网/中国移动运营商等特通渠道对接引入），2019年新开拓省级运营商2家，新建专卖店5家，O2O新零售卖场店30家（含高端建材卖场/百货商场MALL/连锁生活超市），国美KA店15家，3C特卖店10家。</w:t>
      </w:r>
      <w:r>
        <w:rPr>
          <w:lang w:eastAsia="zh-CN"/>
        </w:rPr>
        <w:t xml:space="preserve"> </w:t>
      </w:r>
      <w:r>
        <w:rPr>
          <w:rFonts w:hint="eastAsia"/>
          <w:lang w:eastAsia="zh-CN"/>
        </w:rPr>
        <w:t xml:space="preserve">   </w:t>
      </w:r>
    </w:p>
    <w:p w14:paraId="33C11B6E">
      <w:pPr>
        <w:pStyle w:val="32"/>
        <w:widowControl w:val="0"/>
        <w:numPr>
          <w:ilvl w:val="0"/>
          <w:numId w:val="0"/>
        </w:numPr>
        <w:autoSpaceDE w:val="0"/>
        <w:autoSpaceDN w:val="0"/>
        <w:adjustRightInd w:val="0"/>
        <w:spacing w:line="360" w:lineRule="auto"/>
        <w:ind w:leftChars="0"/>
        <w:jc w:val="both"/>
        <w:rPr>
          <w:rFonts w:hint="eastAsia"/>
          <w:lang w:eastAsia="zh-CN"/>
        </w:rPr>
      </w:pPr>
    </w:p>
    <w:p w14:paraId="4BFD439C">
      <w:pPr>
        <w:spacing w:line="300" w:lineRule="auto"/>
        <w:rPr>
          <w:b/>
          <w:lang w:eastAsia="zh-CN"/>
        </w:rPr>
      </w:pPr>
      <w:r>
        <w:rPr>
          <w:rFonts w:hint="eastAsia" w:ascii="宋体" w:hAnsi="宋体" w:cs="宋体"/>
          <w:b/>
          <w:color w:val="000000"/>
          <w:lang w:val="en-US" w:eastAsia="zh-CN"/>
        </w:rPr>
        <w:t>2016.02—2018.08</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霍尼韦尔智能建筑家居集团（开关/灯具/智能锁/净水/智能家居）</w:t>
      </w:r>
      <w:r>
        <w:rPr>
          <w:rFonts w:hint="eastAsia"/>
          <w:b/>
          <w:lang w:eastAsia="zh-CN"/>
        </w:rPr>
        <w:t xml:space="preserve">     办事处主任</w:t>
      </w:r>
    </w:p>
    <w:p w14:paraId="612CB64F">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79256B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C78437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世界500强跨国集团企业霍尼韦尔（中国）公司旗下智能家居及建筑材料产品（开关插座/灯饰照明/智能锁/净水/智能家居）base长沙负责华中区域市场网点的开拓与管理，KA工程项目的跟踪与落地，渠道活动的策划与支持。</w:t>
      </w:r>
    </w:p>
    <w:p w14:paraId="29D3B32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2017区域完成业绩（2000万）</w:t>
      </w:r>
    </w:p>
    <w:p w14:paraId="3D882C1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工作内容：代理商（欧普/三雄极光/TCL罗格朗3家运营中心）全省直营店面管理活动策划及人员培训执行达成.</w:t>
      </w:r>
    </w:p>
    <w:p w14:paraId="2EAF39F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新兴渠道开拓及维护：齐家网活动合作对接导流至线下成交，经销商店面形象升级及促销活动策划执行及销量达成。</w:t>
      </w:r>
    </w:p>
    <w:p w14:paraId="4826A4B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负责产品的区域拓展、客户发展、区域运营的策划制定及执行；</w:t>
      </w:r>
    </w:p>
    <w:p w14:paraId="652BEEC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制定销售目标、市场拓展计划，审核客户的各种计划并监督执行；</w:t>
      </w:r>
    </w:p>
    <w:p w14:paraId="0D932620">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各种销售渠道的建立和管理；</w:t>
      </w:r>
      <w:r>
        <w:rPr>
          <w:lang w:eastAsia="zh-CN"/>
        </w:rPr>
        <w:t xml:space="preserve"> </w:t>
      </w:r>
      <w:r>
        <w:rPr>
          <w:rFonts w:hint="eastAsia"/>
          <w:lang w:eastAsia="zh-CN"/>
        </w:rPr>
        <w:t xml:space="preserve">   </w:t>
      </w:r>
    </w:p>
    <w:p w14:paraId="5C9CEDFB">
      <w:pPr>
        <w:pStyle w:val="32"/>
        <w:widowControl w:val="0"/>
        <w:numPr>
          <w:ilvl w:val="0"/>
          <w:numId w:val="0"/>
        </w:numPr>
        <w:autoSpaceDE w:val="0"/>
        <w:autoSpaceDN w:val="0"/>
        <w:adjustRightInd w:val="0"/>
        <w:spacing w:line="360" w:lineRule="auto"/>
        <w:ind w:leftChars="0"/>
        <w:jc w:val="both"/>
        <w:rPr>
          <w:rFonts w:hint="eastAsia"/>
          <w:lang w:eastAsia="zh-CN"/>
        </w:rPr>
      </w:pPr>
    </w:p>
    <w:p w14:paraId="6C586E6B">
      <w:pPr>
        <w:spacing w:line="300" w:lineRule="auto"/>
        <w:rPr>
          <w:b/>
          <w:lang w:eastAsia="zh-CN"/>
        </w:rPr>
      </w:pPr>
      <w:r>
        <w:rPr>
          <w:rFonts w:hint="eastAsia" w:ascii="宋体" w:hAnsi="宋体" w:cs="宋体"/>
          <w:b/>
          <w:color w:val="000000"/>
          <w:lang w:val="en-US" w:eastAsia="zh-CN"/>
        </w:rPr>
        <w:t>2012.04—2015.12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湖南深思电气控股有限公司（开关/灯具/浴霸/集成吊顶/线缆/卫浴/插排）</w:t>
      </w:r>
      <w:r>
        <w:rPr>
          <w:rFonts w:hint="eastAsia"/>
          <w:b/>
          <w:lang w:eastAsia="zh-CN"/>
        </w:rPr>
        <w:t xml:space="preserve">     大区经理</w:t>
      </w:r>
    </w:p>
    <w:p w14:paraId="3CA4101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45CCBDC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05901AC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2012.4进入湖南深思集团电工公司（电工照明行业，主营三四级市场乡镇渠道，年销售额4.2亿）担任拓展专员，负责空白区域客户招商工作，带领团队先后在河南驻马店、重庆、河北衡水、安徽池州、江苏泗洪以及贵阳兴义等地成功开发一级代理商9名，签约合同达350万，实现首批回款达70余万；</w:t>
      </w:r>
    </w:p>
    <w:p w14:paraId="41E3ED3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2012.12升任湖南深思电气集团山西办事处经理（下辖业务员3名，地级代理商6名），全权负责深思公司电工.照明.排插等全系列产品的销售与渠道管理工作。</w:t>
      </w:r>
    </w:p>
    <w:p w14:paraId="0044C2C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2013.6月调入深思集团独立子公司印象家高端装饰开关项目部（主营二三级市场城区家居灯饰专卖店渠道）负责新项目的筹建工作，后主要负责江西省区渠道开拓与管理（下辖区域经理4人/市场推广人员2人，负责灯饰店渠道店面导购培训，异业联盟主导，装饰公司外联及装饰设计师沙龙主持策划等。</w:t>
      </w:r>
    </w:p>
    <w:p w14:paraId="341B48EB">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目前先后在湖南浏阳.湘阴.汨罗.桃江.沅江；江西的萍乡市区.上栗.新干县.修水县开发出一级代理商7名）大专毕业后1年10个月未填写工作经历询问TA</w:t>
      </w:r>
      <w:r>
        <w:rPr>
          <w:lang w:eastAsia="zh-CN"/>
        </w:rPr>
        <w:t xml:space="preserve"> </w:t>
      </w:r>
      <w:r>
        <w:rPr>
          <w:rFonts w:hint="eastAsia"/>
          <w:lang w:eastAsia="zh-CN"/>
        </w:rPr>
        <w:t xml:space="preserve">   </w:t>
      </w:r>
    </w:p>
    <w:p w14:paraId="73CC7CD2">
      <w:pPr>
        <w:pStyle w:val="32"/>
        <w:widowControl w:val="0"/>
        <w:numPr>
          <w:ilvl w:val="0"/>
          <w:numId w:val="0"/>
        </w:numPr>
        <w:autoSpaceDE w:val="0"/>
        <w:autoSpaceDN w:val="0"/>
        <w:adjustRightInd w:val="0"/>
        <w:spacing w:line="360" w:lineRule="auto"/>
        <w:ind w:leftChars="0"/>
        <w:jc w:val="both"/>
        <w:rPr>
          <w:rFonts w:hint="eastAsia"/>
          <w:lang w:eastAsia="zh-CN"/>
        </w:rPr>
      </w:pPr>
    </w:p>
    <w:p w14:paraId="36CEF864">
      <w:pPr>
        <w:spacing w:line="360" w:lineRule="auto"/>
        <w:rPr>
          <w:b/>
          <w:bCs/>
          <w:u w:val="single"/>
          <w:shd w:val="pct10" w:color="auto" w:fill="FFFFFF"/>
          <w:lang w:eastAsia="zh-CN"/>
        </w:rPr>
      </w:pPr>
      <w:r>
        <w:rPr>
          <w:b/>
          <w:bCs/>
          <w:u w:val="single"/>
          <w:shd w:val="pct10" w:color="auto" w:fill="FFFFFF"/>
          <w:lang w:eastAsia="zh-CN"/>
        </w:rPr>
        <w:t>简介与评价</w:t>
      </w:r>
    </w:p>
    <w:p w14:paraId="0671C4D8">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KA客户包括：近 80 个头部地产区域公司、苏州电信、尚层装饰、爱空间、欧普照明、西顿照明、图森高定、梦天木作、欧派、正泰电气等
</w:t>
      </w:r>
    </w:p>
    <w:p w14:paraId="5191775D">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区域：华中大区
</w:t>
      </w:r>
    </w:p>
    <w:p w14:paraId="0AC68C65">
      <w:pPr>
        <w:numPr>
          <w:ilvl w:val="0"/>
          <w:numId w:val="1"/>
        </w:numPr>
        <w:spacing w:line="360" w:lineRule="auto"/>
        <w:ind w:left="420" w:leftChars="0" w:hanging="420" w:firstLineChars="0"/>
        <w:rPr>
          <w:color w:val="000000"/>
          <w:sz w:val="24"/>
          <w:szCs w:val="24"/>
          <w:lang w:eastAsia="zh-CN"/>
        </w:rPr>
      </w:pPr>
      <w:bookmarkStart w:id="0" w:name="_GoBack"/>
      <w:bookmarkEnd w:id="0"/>
      <w:r>
        <w:rPr>
          <w:rFonts w:hint="eastAsia" w:ascii="Arial" w:hAnsi="Arial" w:eastAsia="宋体" w:cs="Arial"/>
          <w:i w:val="0"/>
          <w:iCs w:val="0"/>
          <w:caps w:val="0"/>
          <w:color w:val="222222"/>
          <w:spacing w:val="0"/>
          <w:sz w:val="24"/>
          <w:szCs w:val="24"/>
          <w:shd w:val="clear" w:color="auto" w:fill="FDFDFD"/>
          <w:lang w:eastAsia="zh-CN"/>
        </w:rPr>
        <w:t>业绩：签约合同1200万/首批回款近300万</w:t>
      </w:r>
    </w:p>
    <w:p w14:paraId="530B9B86">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ED73B">
    <w:pPr>
      <w:pStyle w:val="11"/>
      <w:tabs>
        <w:tab w:val="left" w:pos="812"/>
      </w:tabs>
      <w:ind w:left="-2" w:leftChars="-1"/>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4986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20"/>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7F171A9"/>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097D2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0D172E"/>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4</Pages>
  <Words>2237</Words>
  <Characters>2591</Characters>
  <Lines>8</Lines>
  <Paragraphs>2</Paragraphs>
  <TotalTime>4</TotalTime>
  <ScaleCrop>false</ScaleCrop>
  <LinksUpToDate>false</LinksUpToDate>
  <CharactersWithSpaces>2756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2025-10-27T10:00:47Z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2052-12.1.0.23125</vt:lpwstr>
  </property>
  <property fmtid="{D5CDD505-2E9C-101B-9397-08002B2CF9AE}" pid="4" name="KSOTemplateDocerSaveRecord">
    <vt:lpwstr>eyJoZGlkIjoiZTNiMmJjMGUyMDNhMGI0MjllZTc4OTE3ODRjOTBjMWQiLCJ1c2VySWQiOiIzODQ4NjM2MTAifQ==</vt:lpwstr>
  </property>
</Properties>
</file>