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24406" w:rsidRDefault="003E3152">
      <w:pPr>
        <w:tabs>
          <w:tab w:val="left" w:pos="4395"/>
        </w:tabs>
        <w:rPr>
          <w:rFonts w:ascii="STSong-Light" w:hAnsi="STSong-Light" w:cs="STSong-Light"/>
          <w:color w:val="auto"/>
          <w:sz w:val="20"/>
          <w:szCs w:val="20"/>
        </w:rPr>
      </w:pPr>
      <w:r>
        <w:rPr>
          <w:rFonts w:ascii="STSong-Light" w:hAnsi="STSong-Light" w:cs="STSong-Light"/>
          <w:color w:val="auto"/>
          <w:sz w:val="20"/>
          <w:szCs w:val="20"/>
        </w:rPr>
        <w:tab/>
      </w: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224406">
        <w:tc>
          <w:tcPr>
            <w:tcW w:w="10467" w:type="dxa"/>
            <w:tcBorders>
              <w:top w:val="nil"/>
              <w:left w:val="nil"/>
              <w:bottom w:val="single" w:sz="18" w:space="0" w:color="404040"/>
              <w:right w:val="nil"/>
            </w:tcBorders>
            <w:shd w:val="clear" w:color="auto" w:fill="FFFFFF"/>
            <w:hideMark/>
          </w:tcPr>
          <w:p w:rsidR="00224406" w:rsidRDefault="003E315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个人信息</w:t>
            </w:r>
            <w:r>
              <w:t xml:space="preserve"> </w:t>
            </w:r>
          </w:p>
        </w:tc>
      </w:tr>
    </w:tbl>
    <w:p w:rsidR="00224406" w:rsidRDefault="00224406">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395"/>
        <w:gridCol w:w="2675"/>
        <w:gridCol w:w="1396"/>
        <w:gridCol w:w="2675"/>
        <w:gridCol w:w="2326"/>
      </w:tblGrid>
      <w:tr w:rsidR="00224406">
        <w:tc>
          <w:tcPr>
            <w:tcW w:w="1395"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姓名：</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王凤岩</w:t>
            </w:r>
            <w:r>
              <w:t xml:space="preserve"> </w:t>
            </w:r>
          </w:p>
        </w:tc>
        <w:tc>
          <w:tcPr>
            <w:tcW w:w="1396"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性别：</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男</w:t>
            </w:r>
            <w:r>
              <w:t xml:space="preserve"> </w:t>
            </w:r>
          </w:p>
        </w:tc>
        <w:tc>
          <w:tcPr>
            <w:tcW w:w="2326" w:type="dxa"/>
            <w:vMerge w:val="restart"/>
            <w:shd w:val="clear" w:color="auto" w:fill="FFFFFF"/>
            <w:hideMark/>
          </w:tcPr>
          <w:p w:rsidR="00224406" w:rsidRDefault="003E3152">
            <w:pPr>
              <w:spacing w:line="320" w:lineRule="atLeast"/>
              <w:rPr>
                <w:rFonts w:ascii="Times New Roman" w:hAnsi="Times New Roman" w:cs="Times New Roman"/>
                <w:color w:val="auto"/>
                <w:kern w:val="2"/>
              </w:rPr>
            </w:pPr>
            <w:r>
              <w:rPr>
                <w:noProof/>
              </w:rPr>
              <w:drawing>
                <wp:inline distT="0" distB="0" distL="0" distR="0">
                  <wp:extent cx="1271905" cy="1271905"/>
                  <wp:effectExtent l="0" t="0" r="4445" b="4445"/>
                  <wp:docPr id="2" name="# 2" descr="https://image0.lietou-static.com/normal/5964cca9703287e466d489f605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2" descr="https://image0.lietou-static.com/normal/5964cca9703287e466d489f605a.jpg"/>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271905" cy="1271905"/>
                          </a:xfrm>
                          <a:prstGeom prst="rect">
                            <a:avLst/>
                          </a:prstGeom>
                          <a:noFill/>
                          <a:ln>
                            <a:noFill/>
                          </a:ln>
                        </pic:spPr>
                      </pic:pic>
                    </a:graphicData>
                  </a:graphic>
                </wp:inline>
              </w:drawing>
            </w:r>
          </w:p>
        </w:tc>
      </w:tr>
      <w:tr w:rsidR="00224406">
        <w:tc>
          <w:tcPr>
            <w:tcW w:w="1395"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手机号码：</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18817951034</w:t>
            </w:r>
            <w:r>
              <w:t xml:space="preserve"> </w:t>
            </w:r>
          </w:p>
        </w:tc>
        <w:tc>
          <w:tcPr>
            <w:tcW w:w="1396"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年龄：</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33 </w:t>
            </w:r>
          </w:p>
        </w:tc>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r>
      <w:tr w:rsidR="00224406">
        <w:tc>
          <w:tcPr>
            <w:tcW w:w="1395"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电子邮件：</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wang_feng_yan@163.com </w:t>
            </w:r>
          </w:p>
        </w:tc>
        <w:tc>
          <w:tcPr>
            <w:tcW w:w="1396"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教育程度：</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博士后</w:t>
            </w:r>
            <w:r>
              <w:t xml:space="preserve"> </w:t>
            </w:r>
          </w:p>
        </w:tc>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r>
      <w:tr w:rsidR="00224406">
        <w:tc>
          <w:tcPr>
            <w:tcW w:w="1395"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工作年限：</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color w:val="auto"/>
                <w:kern w:val="2"/>
                <w:sz w:val="20"/>
                <w:szCs w:val="20"/>
              </w:rPr>
              <w:t xml:space="preserve">7 </w:t>
            </w:r>
            <w:r>
              <w:rPr>
                <w:rFonts w:ascii="STSong-Light" w:hAnsi="STSong-Light" w:cs="STSong-Light"/>
                <w:color w:val="auto"/>
                <w:kern w:val="2"/>
                <w:sz w:val="20"/>
                <w:szCs w:val="20"/>
              </w:rPr>
              <w:t>年以上</w:t>
            </w:r>
            <w:r>
              <w:t xml:space="preserve"> </w:t>
            </w:r>
          </w:p>
        </w:tc>
        <w:tc>
          <w:tcPr>
            <w:tcW w:w="1396" w:type="dxa"/>
            <w:shd w:val="clear" w:color="auto" w:fill="FFFFFF"/>
            <w:hideMark/>
          </w:tcPr>
          <w:p w:rsidR="00224406" w:rsidRDefault="003E3152">
            <w:pPr>
              <w:spacing w:line="300" w:lineRule="atLeast"/>
              <w:jc w:val="right"/>
              <w:rPr>
                <w:rFonts w:ascii="STSong-Light" w:hAnsi="STSong-Light" w:cs="STSong-Light"/>
                <w:color w:val="auto"/>
                <w:kern w:val="2"/>
                <w:sz w:val="20"/>
                <w:szCs w:val="20"/>
              </w:rPr>
            </w:pPr>
            <w:r>
              <w:rPr>
                <w:rFonts w:ascii="STSong-Light" w:hAnsi="STSong-Light" w:cs="STSong-Light" w:hint="eastAsia"/>
                <w:color w:val="auto"/>
                <w:kern w:val="2"/>
                <w:sz w:val="20"/>
                <w:szCs w:val="20"/>
              </w:rPr>
              <w:t>所在地：</w:t>
            </w:r>
            <w:r>
              <w:t xml:space="preserve"> </w:t>
            </w:r>
          </w:p>
        </w:tc>
        <w:tc>
          <w:tcPr>
            <w:tcW w:w="2675"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上海</w:t>
            </w:r>
            <w:r>
              <w:t xml:space="preserve"> </w:t>
            </w:r>
          </w:p>
        </w:tc>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r>
      <w:tr w:rsidR="00224406">
        <w:tc>
          <w:tcPr>
            <w:tcW w:w="1395" w:type="dxa"/>
            <w:shd w:val="clear" w:color="auto" w:fill="FFFFFF"/>
          </w:tcPr>
          <w:p w:rsidR="00224406" w:rsidRDefault="00224406">
            <w:pPr>
              <w:spacing w:line="300" w:lineRule="atLeast"/>
              <w:jc w:val="right"/>
              <w:rPr>
                <w:rFonts w:ascii="STSong-Light" w:hAnsi="STSong-Light" w:cs="STSong-Light"/>
                <w:color w:val="auto"/>
                <w:kern w:val="2"/>
                <w:sz w:val="20"/>
                <w:szCs w:val="20"/>
              </w:rPr>
            </w:pPr>
          </w:p>
        </w:tc>
        <w:tc>
          <w:tcPr>
            <w:tcW w:w="2675" w:type="dxa"/>
            <w:shd w:val="clear" w:color="auto" w:fill="FFFFFF"/>
          </w:tcPr>
          <w:p w:rsidR="00224406" w:rsidRDefault="00224406">
            <w:pPr>
              <w:spacing w:line="300" w:lineRule="atLeast"/>
              <w:rPr>
                <w:rFonts w:ascii="STSong-Light" w:hAnsi="STSong-Light" w:cs="STSong-Light"/>
                <w:color w:val="auto"/>
                <w:kern w:val="2"/>
                <w:sz w:val="20"/>
                <w:szCs w:val="20"/>
              </w:rPr>
            </w:pPr>
          </w:p>
        </w:tc>
        <w:tc>
          <w:tcPr>
            <w:tcW w:w="1396" w:type="dxa"/>
            <w:shd w:val="clear" w:color="auto" w:fill="FFFFFF"/>
          </w:tcPr>
          <w:p w:rsidR="00224406" w:rsidRDefault="00224406">
            <w:pPr>
              <w:spacing w:line="300" w:lineRule="atLeast"/>
              <w:jc w:val="right"/>
              <w:rPr>
                <w:rFonts w:ascii="STSong-Light" w:hAnsi="STSong-Light" w:cs="STSong-Light"/>
                <w:color w:val="auto"/>
                <w:kern w:val="2"/>
                <w:sz w:val="20"/>
                <w:szCs w:val="20"/>
              </w:rPr>
            </w:pPr>
          </w:p>
        </w:tc>
        <w:tc>
          <w:tcPr>
            <w:tcW w:w="2675" w:type="dxa"/>
            <w:shd w:val="clear" w:color="auto" w:fill="FFFFFF"/>
          </w:tcPr>
          <w:p w:rsidR="00224406" w:rsidRDefault="00224406">
            <w:pPr>
              <w:spacing w:line="300" w:lineRule="atLeast"/>
              <w:rPr>
                <w:rFonts w:ascii="STSong-Light" w:hAnsi="STSong-Light" w:cs="STSong-Light"/>
                <w:color w:val="auto"/>
                <w:kern w:val="2"/>
                <w:sz w:val="20"/>
                <w:szCs w:val="20"/>
              </w:rPr>
            </w:pPr>
          </w:p>
        </w:tc>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r>
      <w:tr w:rsidR="00224406">
        <w:tc>
          <w:tcPr>
            <w:tcW w:w="1395" w:type="dxa"/>
            <w:shd w:val="clear" w:color="auto" w:fill="FFFFFF"/>
          </w:tcPr>
          <w:p w:rsidR="00224406" w:rsidRDefault="00224406">
            <w:pPr>
              <w:spacing w:line="300" w:lineRule="atLeast"/>
              <w:jc w:val="right"/>
              <w:rPr>
                <w:rFonts w:ascii="STSong-Light" w:hAnsi="STSong-Light" w:cs="STSong-Light"/>
                <w:color w:val="auto"/>
                <w:kern w:val="2"/>
                <w:sz w:val="20"/>
                <w:szCs w:val="20"/>
              </w:rPr>
            </w:pPr>
          </w:p>
        </w:tc>
        <w:tc>
          <w:tcPr>
            <w:tcW w:w="2675" w:type="dxa"/>
            <w:shd w:val="clear" w:color="auto" w:fill="FFFFFF"/>
          </w:tcPr>
          <w:p w:rsidR="00224406" w:rsidRDefault="00224406">
            <w:pPr>
              <w:spacing w:line="300" w:lineRule="atLeast"/>
              <w:rPr>
                <w:rFonts w:ascii="STSong-Light" w:hAnsi="STSong-Light" w:cs="STSong-Light"/>
                <w:color w:val="auto"/>
                <w:kern w:val="2"/>
                <w:sz w:val="20"/>
                <w:szCs w:val="20"/>
              </w:rPr>
            </w:pPr>
          </w:p>
        </w:tc>
        <w:tc>
          <w:tcPr>
            <w:tcW w:w="1396" w:type="dxa"/>
            <w:shd w:val="clear" w:color="auto" w:fill="FFFFFF"/>
          </w:tcPr>
          <w:p w:rsidR="00224406" w:rsidRDefault="00224406">
            <w:pPr>
              <w:jc w:val="right"/>
              <w:rPr>
                <w:rFonts w:ascii="Times New Roman" w:hAnsi="Times New Roman" w:cs="Times New Roman"/>
                <w:color w:val="auto"/>
                <w:kern w:val="2"/>
              </w:rPr>
            </w:pPr>
          </w:p>
        </w:tc>
        <w:tc>
          <w:tcPr>
            <w:tcW w:w="2675" w:type="dxa"/>
            <w:shd w:val="clear" w:color="auto" w:fill="FFFFFF"/>
          </w:tcPr>
          <w:p w:rsidR="00224406" w:rsidRDefault="00224406">
            <w:pPr>
              <w:rPr>
                <w:rFonts w:ascii="Times New Roman" w:hAnsi="Times New Roman" w:cs="Times New Roman"/>
                <w:color w:val="auto"/>
                <w:kern w:val="2"/>
              </w:rPr>
            </w:pPr>
          </w:p>
        </w:tc>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r>
    </w:tbl>
    <w:p w:rsidR="00224406" w:rsidRDefault="00224406">
      <w:pPr>
        <w:rPr>
          <w:rFonts w:ascii="STSong-Light" w:hAnsi="STSong-Light" w:cs="STSong-Light"/>
          <w:color w:val="auto"/>
          <w:sz w:val="20"/>
          <w:szCs w:val="20"/>
        </w:rPr>
      </w:pPr>
      <w:bookmarkStart w:id="0" w:name="_GoBack"/>
      <w:bookmarkEnd w:id="0"/>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224406">
        <w:tc>
          <w:tcPr>
            <w:tcW w:w="10467" w:type="dxa"/>
            <w:tcBorders>
              <w:top w:val="nil"/>
              <w:left w:val="nil"/>
              <w:bottom w:val="single" w:sz="18" w:space="0" w:color="404040"/>
              <w:right w:val="nil"/>
            </w:tcBorders>
            <w:shd w:val="clear" w:color="auto" w:fill="FFFFFF"/>
            <w:hideMark/>
          </w:tcPr>
          <w:p w:rsidR="00224406" w:rsidRDefault="003E315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工作经历</w:t>
            </w:r>
            <w:r>
              <w:t xml:space="preserve"> </w:t>
            </w:r>
          </w:p>
        </w:tc>
      </w:tr>
    </w:tbl>
    <w:p w:rsidR="00224406" w:rsidRDefault="00224406">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532"/>
        <w:gridCol w:w="2226"/>
        <w:gridCol w:w="6693"/>
        <w:gridCol w:w="7"/>
        <w:gridCol w:w="9"/>
      </w:tblGrid>
      <w:tr w:rsidR="00224406">
        <w:tc>
          <w:tcPr>
            <w:tcW w:w="156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2018.01-</w:t>
            </w:r>
            <w:r>
              <w:rPr>
                <w:rFonts w:ascii="STSong-Light" w:hAnsi="STSong-Light" w:cs="STSong-Light"/>
                <w:b/>
                <w:bCs/>
                <w:color w:val="auto"/>
                <w:kern w:val="2"/>
                <w:sz w:val="20"/>
                <w:szCs w:val="20"/>
              </w:rPr>
              <w:t>至今</w:t>
            </w:r>
            <w:r>
              <w:t xml:space="preserve"> </w:t>
            </w:r>
          </w:p>
        </w:tc>
        <w:tc>
          <w:tcPr>
            <w:tcW w:w="8907" w:type="dxa"/>
            <w:gridSpan w:val="4"/>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上海挖财基金</w:t>
            </w:r>
            <w:r>
              <w:t xml:space="preserve"> </w:t>
            </w:r>
          </w:p>
        </w:tc>
      </w:tr>
      <w:tr w:rsidR="00224406">
        <w:tc>
          <w:tcPr>
            <w:tcW w:w="1560" w:type="dxa"/>
            <w:vMerge w:val="restart"/>
            <w:shd w:val="clear" w:color="auto" w:fill="FFFFFF"/>
          </w:tcPr>
          <w:p w:rsidR="00224406" w:rsidRDefault="00224406">
            <w:pPr>
              <w:rPr>
                <w:rFonts w:ascii="Times New Roman" w:hAnsi="Times New Roman" w:cs="Times New Roman"/>
                <w:color w:val="auto"/>
                <w:kern w:val="2"/>
              </w:rPr>
            </w:pPr>
          </w:p>
        </w:tc>
        <w:tc>
          <w:tcPr>
            <w:tcW w:w="8907"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公司性质：私营·民营企业</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1000-2000</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公司行业：基金</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证券</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期货</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投资</w:t>
            </w:r>
            <w:r>
              <w:t xml:space="preserve"> </w:t>
            </w:r>
          </w:p>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公司描述：挖财诞生于</w:t>
            </w:r>
            <w:r>
              <w:rPr>
                <w:rFonts w:ascii="STSong-Light" w:hAnsi="STSong-Light" w:cs="STSong-Light" w:hint="eastAsia"/>
                <w:color w:val="auto"/>
                <w:kern w:val="2"/>
                <w:sz w:val="20"/>
                <w:szCs w:val="20"/>
              </w:rPr>
              <w:t>2009</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月，是国内最早的个人记账理财平台，行业领先的综合互联网财富管理平台，金融科技独角兽。专注于帮用户实现个人资产管理的便利化、个人记账理财的移动化、个人财务数据管理的云端化。通过旗下的“挖财记账理财”、“挖财宝”、“挖财信用卡管家”、“钱管家”、“钱堂社区”等移动客户端产品，挖财为用户提供个人财务管理、信用及负债管理、互联网综合理财、社区资讯等一站式的互联网财富管理服务。累计注册用户</w:t>
            </w:r>
            <w:r>
              <w:rPr>
                <w:rFonts w:ascii="STSong-Light" w:hAnsi="STSong-Light" w:cs="STSong-Light" w:hint="eastAsia"/>
                <w:color w:val="auto"/>
                <w:kern w:val="2"/>
                <w:sz w:val="20"/>
                <w:szCs w:val="20"/>
              </w:rPr>
              <w:t>1.1</w:t>
            </w:r>
            <w:r>
              <w:rPr>
                <w:rFonts w:ascii="STSong-Light" w:hAnsi="STSong-Light" w:cs="STSong-Light" w:hint="eastAsia"/>
                <w:color w:val="auto"/>
                <w:kern w:val="2"/>
                <w:sz w:val="20"/>
                <w:szCs w:val="20"/>
              </w:rPr>
              <w:t>亿，</w:t>
            </w:r>
            <w:r>
              <w:rPr>
                <w:rFonts w:ascii="STSong-Light" w:hAnsi="STSong-Light" w:cs="STSong-Light" w:hint="eastAsia"/>
                <w:color w:val="auto"/>
                <w:kern w:val="2"/>
                <w:sz w:val="20"/>
                <w:szCs w:val="20"/>
              </w:rPr>
              <w:t>2018</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月获得</w:t>
            </w:r>
            <w:r>
              <w:rPr>
                <w:rFonts w:ascii="STSong-Light" w:hAnsi="STSong-Light" w:cs="STSong-Light" w:hint="eastAsia"/>
                <w:color w:val="auto"/>
                <w:kern w:val="2"/>
                <w:sz w:val="20"/>
                <w:szCs w:val="20"/>
              </w:rPr>
              <w:t>1.4</w:t>
            </w:r>
            <w:r>
              <w:rPr>
                <w:rFonts w:ascii="STSong-Light" w:hAnsi="STSong-Light" w:cs="STSong-Light" w:hint="eastAsia"/>
                <w:color w:val="auto"/>
                <w:kern w:val="2"/>
                <w:sz w:val="20"/>
                <w:szCs w:val="20"/>
              </w:rPr>
              <w:t>亿美元的</w:t>
            </w:r>
            <w:r>
              <w:rPr>
                <w:rFonts w:ascii="STSong-Light" w:hAnsi="STSong-Light" w:cs="STSong-Light" w:hint="eastAsia"/>
                <w:color w:val="auto"/>
                <w:kern w:val="2"/>
                <w:sz w:val="20"/>
                <w:szCs w:val="20"/>
              </w:rPr>
              <w:t>D</w:t>
            </w:r>
            <w:r>
              <w:rPr>
                <w:rFonts w:ascii="STSong-Light" w:hAnsi="STSong-Light" w:cs="STSong-Light" w:hint="eastAsia"/>
                <w:color w:val="auto"/>
                <w:kern w:val="2"/>
                <w:sz w:val="20"/>
                <w:szCs w:val="20"/>
              </w:rPr>
              <w:t>轮融资。</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高级研究经理</w:t>
            </w:r>
            <w:r>
              <w:t xml:space="preserve"> </w:t>
            </w:r>
            <w:r>
              <w:rPr>
                <w:rFonts w:ascii="STSong-Light" w:hAnsi="STSong-Light" w:cs="STSong-Light"/>
                <w:bCs/>
                <w:color w:val="auto"/>
                <w:kern w:val="2"/>
                <w:sz w:val="20"/>
                <w:szCs w:val="20"/>
              </w:rPr>
              <w:t>30000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汇报对象：副总裁</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3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w:t>
            </w:r>
            <w:proofErr w:type="gramStart"/>
            <w:r>
              <w:rPr>
                <w:rFonts w:ascii="STSong-Light" w:hAnsi="STSong-Light" w:cs="STSong-Light" w:hint="eastAsia"/>
                <w:color w:val="auto"/>
                <w:kern w:val="2"/>
                <w:sz w:val="20"/>
                <w:szCs w:val="20"/>
              </w:rPr>
              <w:t>卓跃财富</w:t>
            </w:r>
            <w:proofErr w:type="gramEnd"/>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战略发展部</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270"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w:t>
            </w:r>
            <w:proofErr w:type="gramStart"/>
            <w:r>
              <w:rPr>
                <w:rFonts w:ascii="STSong-Light" w:hAnsi="STSong-Light" w:cs="STSong-Light" w:hint="eastAsia"/>
                <w:color w:val="auto"/>
                <w:kern w:val="2"/>
                <w:sz w:val="20"/>
                <w:szCs w:val="20"/>
              </w:rPr>
              <w:t>一</w:t>
            </w:r>
            <w:proofErr w:type="gramEnd"/>
            <w:r>
              <w:rPr>
                <w:rFonts w:ascii="STSong-Light" w:hAnsi="STSong-Light" w:cs="STSong-Light" w:hint="eastAsia"/>
                <w:color w:val="auto"/>
                <w:kern w:val="2"/>
                <w:sz w:val="20"/>
                <w:szCs w:val="20"/>
              </w:rPr>
              <w:t>：担任挖财基金</w:t>
            </w:r>
            <w:r>
              <w:rPr>
                <w:rFonts w:ascii="STSong-Light" w:hAnsi="STSong-Light" w:cs="STSong-Light" w:hint="eastAsia"/>
                <w:color w:val="auto"/>
                <w:kern w:val="2"/>
                <w:sz w:val="20"/>
                <w:szCs w:val="20"/>
              </w:rPr>
              <w:t>-</w:t>
            </w:r>
            <w:proofErr w:type="gramStart"/>
            <w:r>
              <w:rPr>
                <w:rFonts w:ascii="STSong-Light" w:hAnsi="STSong-Light" w:cs="STSong-Light" w:hint="eastAsia"/>
                <w:color w:val="auto"/>
                <w:kern w:val="2"/>
                <w:sz w:val="20"/>
                <w:szCs w:val="20"/>
              </w:rPr>
              <w:t>卓跃财富</w:t>
            </w:r>
            <w:proofErr w:type="gramEnd"/>
            <w:r>
              <w:rPr>
                <w:rFonts w:ascii="STSong-Light" w:hAnsi="STSong-Light" w:cs="STSong-Light" w:hint="eastAsia"/>
                <w:color w:val="auto"/>
                <w:kern w:val="2"/>
                <w:sz w:val="20"/>
                <w:szCs w:val="20"/>
              </w:rPr>
              <w:t>宏观研究首席顾问，全面主持集团公司的宏观经济的研究工作，带领团队就宏观经济数据、金融监管政策、资本热点事件等撰写深度专题报告、周报和快评</w:t>
            </w:r>
            <w:r>
              <w:rPr>
                <w:rFonts w:ascii="STSong-Light" w:hAnsi="STSong-Light" w:cs="STSong-Light" w:hint="eastAsia"/>
                <w:color w:val="auto"/>
                <w:kern w:val="2"/>
                <w:sz w:val="20"/>
                <w:szCs w:val="20"/>
              </w:rPr>
              <w:t>70</w:t>
            </w:r>
            <w:r>
              <w:rPr>
                <w:rFonts w:ascii="STSong-Light" w:hAnsi="STSong-Light" w:cs="STSong-Light" w:hint="eastAsia"/>
                <w:color w:val="auto"/>
                <w:kern w:val="2"/>
                <w:sz w:val="20"/>
                <w:szCs w:val="20"/>
              </w:rPr>
              <w:t>余篇。多次应邀为线下客户进行宏观经济的路演，并根据用户需求和风险偏好制定包括房产、保险、股票和黄金等方面的资产配置方案。为理财经理进行产品模式和宏观经济形势等专业培训十余次。因工作表现突出，获得</w:t>
            </w:r>
            <w:proofErr w:type="gramStart"/>
            <w:r>
              <w:rPr>
                <w:rFonts w:ascii="STSong-Light" w:hAnsi="STSong-Light" w:cs="STSong-Light" w:hint="eastAsia"/>
                <w:color w:val="auto"/>
                <w:kern w:val="2"/>
                <w:sz w:val="20"/>
                <w:szCs w:val="20"/>
              </w:rPr>
              <w:t>2018</w:t>
            </w:r>
            <w:r>
              <w:rPr>
                <w:rFonts w:ascii="STSong-Light" w:hAnsi="STSong-Light" w:cs="STSong-Light" w:hint="eastAsia"/>
                <w:color w:val="auto"/>
                <w:kern w:val="2"/>
                <w:sz w:val="20"/>
                <w:szCs w:val="20"/>
              </w:rPr>
              <w:t>年卓跃财富</w:t>
            </w:r>
            <w:proofErr w:type="gramEnd"/>
            <w:r>
              <w:rPr>
                <w:rFonts w:ascii="STSong-Light" w:hAnsi="STSong-Light" w:cs="STSong-Light" w:hint="eastAsia"/>
                <w:color w:val="auto"/>
                <w:kern w:val="2"/>
                <w:sz w:val="20"/>
                <w:szCs w:val="20"/>
              </w:rPr>
              <w:t>部“能拿结果奖”、</w:t>
            </w:r>
            <w:r>
              <w:rPr>
                <w:rFonts w:ascii="STSong-Light" w:hAnsi="STSong-Light" w:cs="STSong-Light" w:hint="eastAsia"/>
                <w:color w:val="auto"/>
                <w:kern w:val="2"/>
                <w:sz w:val="20"/>
                <w:szCs w:val="20"/>
              </w:rPr>
              <w:t>2019</w:t>
            </w:r>
            <w:r>
              <w:rPr>
                <w:rFonts w:ascii="STSong-Light" w:hAnsi="STSong-Light" w:cs="STSong-Light" w:hint="eastAsia"/>
                <w:color w:val="auto"/>
                <w:kern w:val="2"/>
                <w:sz w:val="20"/>
                <w:szCs w:val="20"/>
              </w:rPr>
              <w:t>年“挖财栋梁”等奖励。</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工作职责二：开展对挖财集团公司业务的战略研究，关注行业动态和发展趋势，跟踪同业公司发展情况，开展包括消费金融发展模式，在线服务客户等模式的创新研究，以及对东方财富、贝莱德、</w:t>
            </w:r>
            <w:r>
              <w:rPr>
                <w:rFonts w:ascii="STSong-Light" w:hAnsi="STSong-Light" w:cs="STSong-Light" w:hint="eastAsia"/>
                <w:color w:val="auto"/>
                <w:kern w:val="2"/>
                <w:sz w:val="20"/>
                <w:szCs w:val="20"/>
              </w:rPr>
              <w:t>Capital one</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LPL</w:t>
            </w:r>
            <w:r>
              <w:rPr>
                <w:rFonts w:ascii="STSong-Light" w:hAnsi="STSong-Light" w:cs="STSong-Light" w:hint="eastAsia"/>
                <w:color w:val="auto"/>
                <w:kern w:val="2"/>
                <w:sz w:val="20"/>
                <w:szCs w:val="20"/>
              </w:rPr>
              <w:t>、七分钟理财</w:t>
            </w:r>
            <w:proofErr w:type="gramStart"/>
            <w:r>
              <w:rPr>
                <w:rFonts w:ascii="STSong-Light" w:hAnsi="STSong-Light" w:cs="STSong-Light" w:hint="eastAsia"/>
                <w:color w:val="auto"/>
                <w:kern w:val="2"/>
                <w:sz w:val="20"/>
                <w:szCs w:val="20"/>
              </w:rPr>
              <w:t>等竞品的</w:t>
            </w:r>
            <w:proofErr w:type="gramEnd"/>
            <w:r>
              <w:rPr>
                <w:rFonts w:ascii="STSong-Light" w:hAnsi="STSong-Light" w:cs="STSong-Light" w:hint="eastAsia"/>
                <w:color w:val="auto"/>
                <w:kern w:val="2"/>
                <w:sz w:val="20"/>
                <w:szCs w:val="20"/>
              </w:rPr>
              <w:t>研究，为集团公司提供战略研究支持。对接</w:t>
            </w:r>
            <w:proofErr w:type="gramStart"/>
            <w:r>
              <w:rPr>
                <w:rFonts w:ascii="STSong-Light" w:hAnsi="STSong-Light" w:cs="STSong-Light" w:hint="eastAsia"/>
                <w:color w:val="auto"/>
                <w:kern w:val="2"/>
                <w:sz w:val="20"/>
                <w:szCs w:val="20"/>
              </w:rPr>
              <w:t>中国互金协会</w:t>
            </w:r>
            <w:proofErr w:type="gramEnd"/>
            <w:r>
              <w:rPr>
                <w:rFonts w:ascii="STSong-Light" w:hAnsi="STSong-Light" w:cs="STSong-Light" w:hint="eastAsia"/>
                <w:color w:val="auto"/>
                <w:kern w:val="2"/>
                <w:sz w:val="20"/>
                <w:szCs w:val="20"/>
              </w:rPr>
              <w:t>、人行、银保监会等监管部门和外部</w:t>
            </w:r>
            <w:proofErr w:type="gramStart"/>
            <w:r>
              <w:rPr>
                <w:rFonts w:ascii="STSong-Light" w:hAnsi="STSong-Light" w:cs="STSong-Light" w:hint="eastAsia"/>
                <w:color w:val="auto"/>
                <w:kern w:val="2"/>
                <w:sz w:val="20"/>
                <w:szCs w:val="20"/>
              </w:rPr>
              <w:t>智库开展</w:t>
            </w:r>
            <w:proofErr w:type="gramEnd"/>
            <w:r>
              <w:rPr>
                <w:rFonts w:ascii="STSong-Light" w:hAnsi="STSong-Light" w:cs="STSong-Light" w:hint="eastAsia"/>
                <w:color w:val="auto"/>
                <w:kern w:val="2"/>
                <w:sz w:val="20"/>
                <w:szCs w:val="20"/>
              </w:rPr>
              <w:t>课题研究，在中国银行业协会首席经济学家、香港证券交易所首席经济学巴曙松教授指导下，在《清华金融评论》《金融监管研究》等期刊发表专业论文</w:t>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篇，多项研究成果获得领导批示，主持参与《监管科技》《资产管理线上化服务模式》《粤港澳大湾区金融发展报告</w:t>
            </w:r>
            <w:r>
              <w:rPr>
                <w:rFonts w:ascii="STSong-Light" w:hAnsi="STSong-Light" w:cs="STSong-Light" w:hint="eastAsia"/>
                <w:color w:val="auto"/>
                <w:kern w:val="2"/>
                <w:sz w:val="20"/>
                <w:szCs w:val="20"/>
              </w:rPr>
              <w:t>2019</w:t>
            </w:r>
            <w:r>
              <w:rPr>
                <w:rFonts w:ascii="STSong-Light" w:hAnsi="STSong-Light" w:cs="STSong-Light" w:hint="eastAsia"/>
                <w:color w:val="auto"/>
                <w:kern w:val="2"/>
                <w:sz w:val="20"/>
                <w:szCs w:val="20"/>
              </w:rPr>
              <w:t>》等课题的研究工作，多次接受新华社、凤凰网、羊城晚报、</w:t>
            </w:r>
            <w:proofErr w:type="gramStart"/>
            <w:r>
              <w:rPr>
                <w:rFonts w:ascii="STSong-Light" w:hAnsi="STSong-Light" w:cs="STSong-Light" w:hint="eastAsia"/>
                <w:color w:val="auto"/>
                <w:kern w:val="2"/>
                <w:sz w:val="20"/>
                <w:szCs w:val="20"/>
              </w:rPr>
              <w:t>央广网</w:t>
            </w:r>
            <w:proofErr w:type="gramEnd"/>
            <w:r>
              <w:rPr>
                <w:rFonts w:ascii="STSong-Light" w:hAnsi="STSong-Light" w:cs="STSong-Light" w:hint="eastAsia"/>
                <w:color w:val="auto"/>
                <w:kern w:val="2"/>
                <w:sz w:val="20"/>
                <w:szCs w:val="20"/>
              </w:rPr>
              <w:t>等多家媒体采访报道，输出研究观点，多项研究成果被监管部门认可采纳。</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工作职责三：担任基金产品评审委员会评审，参与资产风险策略的制定和调整。先后参与房地产债、银行</w:t>
            </w:r>
            <w:r>
              <w:rPr>
                <w:rFonts w:ascii="STSong-Light" w:hAnsi="STSong-Light" w:cs="STSong-Light" w:hint="eastAsia"/>
                <w:color w:val="auto"/>
                <w:kern w:val="2"/>
                <w:sz w:val="20"/>
                <w:szCs w:val="20"/>
              </w:rPr>
              <w:t>ABS</w:t>
            </w:r>
            <w:r>
              <w:rPr>
                <w:rFonts w:ascii="STSong-Light" w:hAnsi="STSong-Light" w:cs="STSong-Light" w:hint="eastAsia"/>
                <w:color w:val="auto"/>
                <w:kern w:val="2"/>
                <w:sz w:val="20"/>
                <w:szCs w:val="20"/>
              </w:rPr>
              <w:t>、保险产品、公</w:t>
            </w:r>
            <w:proofErr w:type="gramStart"/>
            <w:r>
              <w:rPr>
                <w:rFonts w:ascii="STSong-Light" w:hAnsi="STSong-Light" w:cs="STSong-Light" w:hint="eastAsia"/>
                <w:color w:val="auto"/>
                <w:kern w:val="2"/>
                <w:sz w:val="20"/>
                <w:szCs w:val="20"/>
              </w:rPr>
              <w:t>募基金</w:t>
            </w:r>
            <w:proofErr w:type="gramEnd"/>
            <w:r>
              <w:rPr>
                <w:rFonts w:ascii="STSong-Light" w:hAnsi="STSong-Light" w:cs="STSong-Light" w:hint="eastAsia"/>
                <w:color w:val="auto"/>
                <w:kern w:val="2"/>
                <w:sz w:val="20"/>
                <w:szCs w:val="20"/>
              </w:rPr>
              <w:t>和私募产品等资产的甄别、筛选，并对房地产公司、信托公司等进行尽调，并给出独立专业评估意见。</w:t>
            </w:r>
          </w:p>
        </w:tc>
      </w:tr>
      <w:tr w:rsidR="00224406">
        <w:tc>
          <w:tcPr>
            <w:tcW w:w="156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2015.12-2018.01</w:t>
            </w:r>
            <w:r>
              <w:t xml:space="preserve"> </w:t>
            </w:r>
          </w:p>
        </w:tc>
        <w:tc>
          <w:tcPr>
            <w:tcW w:w="8907" w:type="dxa"/>
            <w:gridSpan w:val="4"/>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兴业银行</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兴业经济研究公司</w:t>
            </w:r>
            <w:r>
              <w:t xml:space="preserve"> </w:t>
            </w:r>
          </w:p>
        </w:tc>
      </w:tr>
      <w:tr w:rsidR="00224406">
        <w:tc>
          <w:tcPr>
            <w:tcW w:w="1560" w:type="dxa"/>
            <w:vMerge w:val="restart"/>
            <w:shd w:val="clear" w:color="auto" w:fill="FFFFFF"/>
          </w:tcPr>
          <w:p w:rsidR="00224406" w:rsidRDefault="00224406">
            <w:pPr>
              <w:rPr>
                <w:rFonts w:ascii="Times New Roman" w:hAnsi="Times New Roman" w:cs="Times New Roman"/>
                <w:color w:val="auto"/>
                <w:kern w:val="2"/>
              </w:rPr>
            </w:pPr>
          </w:p>
        </w:tc>
        <w:tc>
          <w:tcPr>
            <w:tcW w:w="8907"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公司性质：国内上市公司</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公司行业：银行</w:t>
            </w:r>
            <w:r>
              <w:t xml:space="preserve"> </w:t>
            </w:r>
          </w:p>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宏观研究部分析师</w:t>
            </w:r>
            <w:r>
              <w:t xml:space="preserve"> </w:t>
            </w:r>
            <w:r>
              <w:rPr>
                <w:rFonts w:ascii="STSong-Light" w:hAnsi="STSong-Light" w:cs="STSong-Light"/>
                <w:bCs/>
                <w:color w:val="auto"/>
                <w:kern w:val="2"/>
                <w:sz w:val="20"/>
                <w:szCs w:val="20"/>
              </w:rPr>
              <w:t>20000</w:t>
            </w:r>
            <w:r>
              <w:rPr>
                <w:rFonts w:ascii="STSong-Light" w:hAnsi="STSong-Light" w:cs="STSong-Light"/>
                <w:bCs/>
                <w:color w:val="auto"/>
                <w:kern w:val="2"/>
                <w:sz w:val="20"/>
                <w:szCs w:val="20"/>
              </w:rPr>
              <w:t>元</w:t>
            </w:r>
            <w:r>
              <w:rPr>
                <w:rFonts w:ascii="STSong-Light" w:hAnsi="STSong-Light" w:cs="STSong-Light"/>
                <w:bCs/>
                <w:color w:val="auto"/>
                <w:kern w:val="2"/>
                <w:sz w:val="20"/>
                <w:szCs w:val="20"/>
              </w:rPr>
              <w:t>/</w:t>
            </w:r>
            <w:r>
              <w:rPr>
                <w:rFonts w:ascii="STSong-Light" w:hAnsi="STSong-Light" w:cs="STSong-Light"/>
                <w:bCs/>
                <w:color w:val="auto"/>
                <w:kern w:val="2"/>
                <w:sz w:val="20"/>
                <w:szCs w:val="20"/>
              </w:rPr>
              <w:t>月</w:t>
            </w:r>
            <w:r>
              <w:rPr>
                <w:rFonts w:ascii="STSong-Light" w:hAnsi="STSong-Light" w:cs="STSong-Light"/>
                <w:bCs/>
                <w:color w:val="auto"/>
                <w:kern w:val="2"/>
                <w:sz w:val="20"/>
                <w:szCs w:val="20"/>
              </w:rPr>
              <w:t xml:space="preserve"> </w:t>
            </w: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汇报对象：鲁政委</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所在部门：宏观研究部</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270"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兴业研究源于兴业银行总行金融市场部，目前是国内首家银行</w:t>
            </w:r>
            <w:proofErr w:type="gramStart"/>
            <w:r>
              <w:rPr>
                <w:rFonts w:ascii="STSong-Light" w:hAnsi="STSong-Light" w:cs="STSong-Light" w:hint="eastAsia"/>
                <w:color w:val="auto"/>
                <w:kern w:val="2"/>
                <w:sz w:val="20"/>
                <w:szCs w:val="20"/>
              </w:rPr>
              <w:t>系专业</w:t>
            </w:r>
            <w:proofErr w:type="gramEnd"/>
            <w:r>
              <w:rPr>
                <w:rFonts w:ascii="STSong-Light" w:hAnsi="STSong-Light" w:cs="STSong-Light" w:hint="eastAsia"/>
                <w:color w:val="auto"/>
                <w:kern w:val="2"/>
                <w:sz w:val="20"/>
                <w:szCs w:val="20"/>
              </w:rPr>
              <w:t>研究公司，主要聚焦于宏观经济、固定收益、信用债、行业研究、金融工程等方面的研究，为集团公司和国内中小银行、基金、信托公司等提供投</w:t>
            </w:r>
            <w:proofErr w:type="gramStart"/>
            <w:r>
              <w:rPr>
                <w:rFonts w:ascii="STSong-Light" w:hAnsi="STSong-Light" w:cs="STSong-Light" w:hint="eastAsia"/>
                <w:color w:val="auto"/>
                <w:kern w:val="2"/>
                <w:sz w:val="20"/>
                <w:szCs w:val="20"/>
              </w:rPr>
              <w:t>研</w:t>
            </w:r>
            <w:proofErr w:type="gramEnd"/>
            <w:r>
              <w:rPr>
                <w:rFonts w:ascii="STSong-Light" w:hAnsi="STSong-Light" w:cs="STSong-Light" w:hint="eastAsia"/>
                <w:color w:val="auto"/>
                <w:kern w:val="2"/>
                <w:sz w:val="20"/>
                <w:szCs w:val="20"/>
              </w:rPr>
              <w:t>服务，目前签</w:t>
            </w:r>
            <w:r>
              <w:rPr>
                <w:rFonts w:ascii="STSong-Light" w:hAnsi="STSong-Light" w:cs="STSong-Light" w:hint="eastAsia"/>
                <w:color w:val="auto"/>
                <w:kern w:val="2"/>
                <w:sz w:val="20"/>
                <w:szCs w:val="20"/>
              </w:rPr>
              <w:lastRenderedPageBreak/>
              <w:t>约客户</w:t>
            </w:r>
            <w:r>
              <w:rPr>
                <w:rFonts w:ascii="STSong-Light" w:hAnsi="STSong-Light" w:cs="STSong-Light" w:hint="eastAsia"/>
                <w:color w:val="auto"/>
                <w:kern w:val="2"/>
                <w:sz w:val="20"/>
                <w:szCs w:val="20"/>
              </w:rPr>
              <w:t>100</w:t>
            </w:r>
            <w:r>
              <w:rPr>
                <w:rFonts w:ascii="STSong-Light" w:hAnsi="STSong-Light" w:cs="STSong-Light" w:hint="eastAsia"/>
                <w:color w:val="auto"/>
                <w:kern w:val="2"/>
                <w:sz w:val="20"/>
                <w:szCs w:val="20"/>
              </w:rPr>
              <w:t>余家。</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w:t>
            </w:r>
            <w:proofErr w:type="gramStart"/>
            <w:r>
              <w:rPr>
                <w:rFonts w:ascii="STSong-Light" w:hAnsi="STSong-Light" w:cs="STSong-Light" w:hint="eastAsia"/>
                <w:color w:val="auto"/>
                <w:kern w:val="2"/>
                <w:sz w:val="20"/>
                <w:szCs w:val="20"/>
              </w:rPr>
              <w:t>一</w:t>
            </w:r>
            <w:proofErr w:type="gramEnd"/>
            <w:r>
              <w:rPr>
                <w:rFonts w:ascii="STSong-Light" w:hAnsi="STSong-Light" w:cs="STSong-Light" w:hint="eastAsia"/>
                <w:color w:val="auto"/>
                <w:kern w:val="2"/>
                <w:sz w:val="20"/>
                <w:szCs w:val="20"/>
              </w:rPr>
              <w:t>：担任宏观经济研究团队分析师，在兴业银行首席经济学家、华福证券首席经济学家鲁政委博士指导下，主要负责国内宏观经济和金融监管政策的研究工作，长期关注宏观经济、债市利率、货币市场和流动性的研究，并重点研究国际（</w:t>
            </w:r>
            <w:r>
              <w:rPr>
                <w:rFonts w:ascii="STSong-Light" w:hAnsi="STSong-Light" w:cs="STSong-Light" w:hint="eastAsia"/>
                <w:color w:val="auto"/>
                <w:kern w:val="2"/>
                <w:sz w:val="20"/>
                <w:szCs w:val="20"/>
              </w:rPr>
              <w:t>BIS</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FSB</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FCA</w:t>
            </w:r>
            <w:r>
              <w:rPr>
                <w:rFonts w:ascii="STSong-Light" w:hAnsi="STSong-Light" w:cs="STSong-Light" w:hint="eastAsia"/>
                <w:color w:val="auto"/>
                <w:kern w:val="2"/>
                <w:sz w:val="20"/>
                <w:szCs w:val="20"/>
              </w:rPr>
              <w:t>）国内（一行两会、财政部、外管</w:t>
            </w:r>
            <w:proofErr w:type="gramStart"/>
            <w:r>
              <w:rPr>
                <w:rFonts w:ascii="STSong-Light" w:hAnsi="STSong-Light" w:cs="STSong-Light" w:hint="eastAsia"/>
                <w:color w:val="auto"/>
                <w:kern w:val="2"/>
                <w:sz w:val="20"/>
                <w:szCs w:val="20"/>
              </w:rPr>
              <w:t>局发改委</w:t>
            </w:r>
            <w:proofErr w:type="gramEnd"/>
            <w:r>
              <w:rPr>
                <w:rFonts w:ascii="STSong-Light" w:hAnsi="STSong-Light" w:cs="STSong-Light" w:hint="eastAsia"/>
                <w:color w:val="auto"/>
                <w:kern w:val="2"/>
                <w:sz w:val="20"/>
                <w:szCs w:val="20"/>
              </w:rPr>
              <w:t>、基金业协会）等重要监管发文。撰写专题、周报、数据快评等专业研究报告百余篇，所在团队获得</w:t>
            </w:r>
            <w:r>
              <w:rPr>
                <w:rFonts w:ascii="STSong-Light" w:hAnsi="STSong-Light" w:cs="STSong-Light" w:hint="eastAsia"/>
                <w:color w:val="auto"/>
                <w:kern w:val="2"/>
                <w:sz w:val="20"/>
                <w:szCs w:val="20"/>
              </w:rPr>
              <w:t>2016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BLOOMBERG</w:t>
            </w:r>
            <w:r>
              <w:rPr>
                <w:rFonts w:ascii="STSong-Light" w:hAnsi="STSong-Light" w:cs="STSong-Light" w:hint="eastAsia"/>
                <w:color w:val="auto"/>
                <w:kern w:val="2"/>
                <w:sz w:val="20"/>
                <w:szCs w:val="20"/>
              </w:rPr>
              <w:t>经济预测第一名、</w:t>
            </w:r>
            <w:r>
              <w:rPr>
                <w:rFonts w:ascii="STSong-Light" w:hAnsi="STSong-Light" w:cs="STSong-Light" w:hint="eastAsia"/>
                <w:color w:val="auto"/>
                <w:kern w:val="2"/>
                <w:sz w:val="20"/>
                <w:szCs w:val="20"/>
              </w:rPr>
              <w:t>2017</w:t>
            </w:r>
            <w:r>
              <w:rPr>
                <w:rFonts w:ascii="STSong-Light" w:hAnsi="STSong-Light" w:cs="STSong-Light" w:hint="eastAsia"/>
                <w:color w:val="auto"/>
                <w:kern w:val="2"/>
                <w:sz w:val="20"/>
                <w:szCs w:val="20"/>
              </w:rPr>
              <w:t>年远见经济预测第三名。多篇报告被《金融时报》《凤凰网》《华尔街见闻》《新浪财经》《</w:t>
            </w:r>
            <w:r>
              <w:rPr>
                <w:rFonts w:ascii="STSong-Light" w:hAnsi="STSong-Light" w:cs="STSong-Light" w:hint="eastAsia"/>
                <w:color w:val="auto"/>
                <w:kern w:val="2"/>
                <w:sz w:val="20"/>
                <w:szCs w:val="20"/>
              </w:rPr>
              <w:t>WIND</w:t>
            </w:r>
            <w:r>
              <w:rPr>
                <w:rFonts w:ascii="STSong-Light" w:hAnsi="STSong-Light" w:cs="STSong-Light" w:hint="eastAsia"/>
                <w:color w:val="auto"/>
                <w:kern w:val="2"/>
                <w:sz w:val="20"/>
                <w:szCs w:val="20"/>
              </w:rPr>
              <w:t>财经》《网易财经》《财经》等主流财经媒体刊发和转载。</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工作业绩二：为兴业银行集团业务发展和战略规划提供研究支持，参与总行五年战略发展规划、集团并表监管、信用风险量化的研究和制度起草工作；独立负责研究国际</w:t>
            </w:r>
            <w:proofErr w:type="gramStart"/>
            <w:r>
              <w:rPr>
                <w:rFonts w:ascii="STSong-Light" w:hAnsi="STSong-Light" w:cs="STSong-Light" w:hint="eastAsia"/>
                <w:color w:val="auto"/>
                <w:kern w:val="2"/>
                <w:sz w:val="20"/>
                <w:szCs w:val="20"/>
              </w:rPr>
              <w:t>主要资管机构</w:t>
            </w:r>
            <w:proofErr w:type="gramEnd"/>
            <w:r>
              <w:rPr>
                <w:rFonts w:ascii="STSong-Light" w:hAnsi="STSong-Light" w:cs="STSong-Light" w:hint="eastAsia"/>
                <w:color w:val="auto"/>
                <w:kern w:val="2"/>
                <w:sz w:val="20"/>
                <w:szCs w:val="20"/>
              </w:rPr>
              <w:t>的战略转型发展</w:t>
            </w:r>
            <w:proofErr w:type="gramStart"/>
            <w:r>
              <w:rPr>
                <w:rFonts w:ascii="STSong-Light" w:hAnsi="STSong-Light" w:cs="STSong-Light" w:hint="eastAsia"/>
                <w:color w:val="auto"/>
                <w:kern w:val="2"/>
                <w:sz w:val="20"/>
                <w:szCs w:val="20"/>
              </w:rPr>
              <w:t>的竞品研究</w:t>
            </w:r>
            <w:proofErr w:type="gramEnd"/>
            <w:r>
              <w:rPr>
                <w:rFonts w:ascii="STSong-Light" w:hAnsi="STSong-Light" w:cs="STSong-Light" w:hint="eastAsia"/>
                <w:color w:val="auto"/>
                <w:kern w:val="2"/>
                <w:sz w:val="20"/>
                <w:szCs w:val="20"/>
              </w:rPr>
              <w:t>，为集团提供参考借鉴；为兴业基金、上银基金、城商行、农商行和农信社等进行宏观经济形势路演和研究支持</w:t>
            </w:r>
            <w:r>
              <w:rPr>
                <w:rFonts w:ascii="STSong-Light" w:hAnsi="STSong-Light" w:cs="STSong-Light" w:hint="eastAsia"/>
                <w:color w:val="auto"/>
                <w:kern w:val="2"/>
                <w:sz w:val="20"/>
                <w:szCs w:val="20"/>
              </w:rPr>
              <w:t>20</w:t>
            </w:r>
            <w:r>
              <w:rPr>
                <w:rFonts w:ascii="STSong-Light" w:hAnsi="STSong-Light" w:cs="STSong-Light" w:hint="eastAsia"/>
                <w:color w:val="auto"/>
                <w:kern w:val="2"/>
                <w:sz w:val="20"/>
                <w:szCs w:val="20"/>
              </w:rPr>
              <w:t>余次，多次获得客户好评，</w:t>
            </w:r>
            <w:r>
              <w:rPr>
                <w:rFonts w:ascii="STSong-Light" w:hAnsi="STSong-Light" w:cs="STSong-Light" w:hint="eastAsia"/>
                <w:color w:val="auto"/>
                <w:kern w:val="2"/>
                <w:sz w:val="20"/>
                <w:szCs w:val="20"/>
              </w:rPr>
              <w:t>2017</w:t>
            </w:r>
            <w:r>
              <w:rPr>
                <w:rFonts w:ascii="STSong-Light" w:hAnsi="STSong-Light" w:cs="STSong-Light" w:hint="eastAsia"/>
                <w:color w:val="auto"/>
                <w:kern w:val="2"/>
                <w:sz w:val="20"/>
                <w:szCs w:val="20"/>
              </w:rPr>
              <w:t>年获得兴业银行青蓝飞扬优秀先进个人。</w:t>
            </w:r>
          </w:p>
        </w:tc>
      </w:tr>
      <w:tr w:rsidR="00224406">
        <w:tc>
          <w:tcPr>
            <w:tcW w:w="156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lastRenderedPageBreak/>
              <w:t>2012.09-2015.10</w:t>
            </w:r>
            <w:r>
              <w:t xml:space="preserve"> </w:t>
            </w:r>
          </w:p>
        </w:tc>
        <w:tc>
          <w:tcPr>
            <w:tcW w:w="8907" w:type="dxa"/>
            <w:gridSpan w:val="4"/>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上海财经大学经济法与社会法研究中心</w:t>
            </w:r>
            <w:r>
              <w:t xml:space="preserve"> </w:t>
            </w:r>
          </w:p>
        </w:tc>
      </w:tr>
      <w:tr w:rsidR="00224406">
        <w:tc>
          <w:tcPr>
            <w:tcW w:w="1560" w:type="dxa"/>
            <w:vMerge w:val="restart"/>
            <w:shd w:val="clear" w:color="auto" w:fill="FFFFFF"/>
          </w:tcPr>
          <w:p w:rsidR="00224406" w:rsidRDefault="00224406">
            <w:pPr>
              <w:rPr>
                <w:rFonts w:ascii="Times New Roman" w:hAnsi="Times New Roman" w:cs="Times New Roman"/>
                <w:color w:val="auto"/>
                <w:kern w:val="2"/>
              </w:rPr>
            </w:pPr>
          </w:p>
        </w:tc>
        <w:tc>
          <w:tcPr>
            <w:tcW w:w="8907"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公司性质：事业单位</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5000-10000</w:t>
            </w:r>
            <w:r>
              <w:rPr>
                <w:rFonts w:ascii="STSong-Light" w:hAnsi="STSong-Light" w:cs="STSong-Light"/>
                <w:color w:val="auto"/>
                <w:kern w:val="2"/>
                <w:sz w:val="20"/>
                <w:szCs w:val="20"/>
              </w:rPr>
              <w:t>人</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公司行业：政府</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公共事业</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非营利机构</w:t>
            </w:r>
            <w:r>
              <w:t xml:space="preserve"> </w:t>
            </w:r>
          </w:p>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公司描述：未填写</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b/>
                <w:bCs/>
                <w:color w:val="auto"/>
                <w:kern w:val="2"/>
                <w:sz w:val="20"/>
                <w:szCs w:val="20"/>
              </w:rPr>
              <w:t>金融</w:t>
            </w:r>
            <w:r>
              <w:rPr>
                <w:rFonts w:ascii="STSong-Light" w:hAnsi="STSong-Light" w:cs="STSong-Light" w:hint="eastAsia"/>
                <w:b/>
                <w:bCs/>
                <w:color w:val="auto"/>
                <w:kern w:val="2"/>
                <w:sz w:val="20"/>
                <w:szCs w:val="20"/>
              </w:rPr>
              <w:t>/</w:t>
            </w:r>
            <w:r>
              <w:rPr>
                <w:rFonts w:ascii="STSong-Light" w:hAnsi="STSong-Light" w:cs="STSong-Light" w:hint="eastAsia"/>
                <w:b/>
                <w:bCs/>
                <w:color w:val="auto"/>
                <w:kern w:val="2"/>
                <w:sz w:val="20"/>
                <w:szCs w:val="20"/>
              </w:rPr>
              <w:t>经济研究员</w:t>
            </w:r>
            <w:r>
              <w:t xml:space="preserve"> </w:t>
            </w: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下属人数：</w:t>
            </w:r>
            <w:r>
              <w:rPr>
                <w:rFonts w:ascii="STSong-Light" w:hAnsi="STSong-Light" w:cs="STSong-Light" w:hint="eastAsia"/>
                <w:color w:val="auto"/>
                <w:kern w:val="2"/>
                <w:sz w:val="20"/>
                <w:szCs w:val="20"/>
              </w:rPr>
              <w:t xml:space="preserve">5 | </w:t>
            </w:r>
            <w:r>
              <w:rPr>
                <w:rFonts w:ascii="STSong-Light" w:hAnsi="STSong-Light" w:cs="STSong-Light" w:hint="eastAsia"/>
                <w:color w:val="auto"/>
                <w:kern w:val="2"/>
                <w:sz w:val="20"/>
                <w:szCs w:val="20"/>
              </w:rPr>
              <w:t>所在地区：上海</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所在部门：未填写</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270"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工作业绩</w:t>
            </w:r>
            <w:proofErr w:type="gramStart"/>
            <w:r>
              <w:rPr>
                <w:rFonts w:ascii="STSong-Light" w:hAnsi="STSong-Light" w:cs="STSong-Light" w:hint="eastAsia"/>
                <w:color w:val="auto"/>
                <w:kern w:val="2"/>
                <w:sz w:val="20"/>
                <w:szCs w:val="20"/>
              </w:rPr>
              <w:t>一</w:t>
            </w:r>
            <w:proofErr w:type="gramEnd"/>
            <w:r>
              <w:rPr>
                <w:rFonts w:ascii="STSong-Light" w:hAnsi="STSong-Light" w:cs="STSong-Light" w:hint="eastAsia"/>
                <w:color w:val="auto"/>
                <w:kern w:val="2"/>
                <w:sz w:val="20"/>
                <w:szCs w:val="20"/>
              </w:rPr>
              <w:t>：主持上海财经大学经济法与社会法研究中心的日常研究工作，进行相关课题项目研究、调研论证和报告撰写等工作。与亚洲银行、国家税务总局、教育部、</w:t>
            </w:r>
            <w:proofErr w:type="gramStart"/>
            <w:r>
              <w:rPr>
                <w:rFonts w:ascii="STSong-Light" w:hAnsi="STSong-Light" w:cs="STSong-Light" w:hint="eastAsia"/>
                <w:color w:val="auto"/>
                <w:kern w:val="2"/>
                <w:sz w:val="20"/>
                <w:szCs w:val="20"/>
              </w:rPr>
              <w:t>发改委</w:t>
            </w:r>
            <w:proofErr w:type="gramEnd"/>
            <w:r>
              <w:rPr>
                <w:rFonts w:ascii="STSong-Light" w:hAnsi="STSong-Light" w:cs="STSong-Light" w:hint="eastAsia"/>
                <w:color w:val="auto"/>
                <w:kern w:val="2"/>
                <w:sz w:val="20"/>
                <w:szCs w:val="20"/>
              </w:rPr>
              <w:t>、上海自贸区管委会进行课题讨论、先后主持参与有关离岸金融、商业银行法律风险、金融消费者保护、营改增方案论证、农民权益金融保障、商业银行危机处置、公私合作与</w:t>
            </w:r>
            <w:r>
              <w:rPr>
                <w:rFonts w:ascii="STSong-Light" w:hAnsi="STSong-Light" w:cs="STSong-Light" w:hint="eastAsia"/>
                <w:color w:val="auto"/>
                <w:kern w:val="2"/>
                <w:sz w:val="20"/>
                <w:szCs w:val="20"/>
              </w:rPr>
              <w:t>PPP</w:t>
            </w:r>
            <w:r>
              <w:rPr>
                <w:rFonts w:ascii="STSong-Light" w:hAnsi="STSong-Light" w:cs="STSong-Light" w:hint="eastAsia"/>
                <w:color w:val="auto"/>
                <w:kern w:val="2"/>
                <w:sz w:val="20"/>
                <w:szCs w:val="20"/>
              </w:rPr>
              <w:t>项目、互联网金融风险监管与安全、上海自贸区体制机制创新等是多个重大重点项目的研究。多个课题项目获得国务院和省部级领导重要批示。</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工作业绩二：参与和支持课题项目研究，累计共承担课题</w:t>
            </w:r>
            <w:r>
              <w:rPr>
                <w:rFonts w:ascii="STSong-Light" w:hAnsi="STSong-Light" w:cs="STSong-Light" w:hint="eastAsia"/>
                <w:color w:val="auto"/>
                <w:kern w:val="2"/>
                <w:sz w:val="20"/>
                <w:szCs w:val="20"/>
              </w:rPr>
              <w:t>16</w:t>
            </w:r>
            <w:r>
              <w:rPr>
                <w:rFonts w:ascii="STSong-Light" w:hAnsi="STSong-Light" w:cs="STSong-Light" w:hint="eastAsia"/>
                <w:color w:val="auto"/>
                <w:kern w:val="2"/>
                <w:sz w:val="20"/>
                <w:szCs w:val="20"/>
              </w:rPr>
              <w:t>项，撰写报告</w:t>
            </w:r>
            <w:r>
              <w:rPr>
                <w:rFonts w:ascii="STSong-Light" w:hAnsi="STSong-Light" w:cs="STSong-Light" w:hint="eastAsia"/>
                <w:color w:val="auto"/>
                <w:kern w:val="2"/>
                <w:sz w:val="20"/>
                <w:szCs w:val="20"/>
              </w:rPr>
              <w:t>70</w:t>
            </w:r>
            <w:r>
              <w:rPr>
                <w:rFonts w:ascii="STSong-Light" w:hAnsi="STSong-Light" w:cs="STSong-Light" w:hint="eastAsia"/>
                <w:color w:val="auto"/>
                <w:kern w:val="2"/>
                <w:sz w:val="20"/>
                <w:szCs w:val="20"/>
              </w:rPr>
              <w:t>余万字，在《上海财经大学学报》《上海师范大学学报》《自贸区法治评论》《上海金融》等刊物上公开发表论文</w:t>
            </w:r>
            <w:r>
              <w:rPr>
                <w:rFonts w:ascii="STSong-Light" w:hAnsi="STSong-Light" w:cs="STSong-Light" w:hint="eastAsia"/>
                <w:color w:val="auto"/>
                <w:kern w:val="2"/>
                <w:sz w:val="20"/>
                <w:szCs w:val="20"/>
              </w:rPr>
              <w:t>8</w:t>
            </w:r>
            <w:r>
              <w:rPr>
                <w:rFonts w:ascii="STSong-Light" w:hAnsi="STSong-Light" w:cs="STSong-Light" w:hint="eastAsia"/>
                <w:color w:val="auto"/>
                <w:kern w:val="2"/>
                <w:sz w:val="20"/>
                <w:szCs w:val="20"/>
              </w:rPr>
              <w:t>篇，</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篇论文参与两岸研究生学术交流，被台湾《铭传大学学报》收录，参编教材</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部。因为科研成果突出，连续两年获得教育部国家奖学金。</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工作业绩三：组织和联络高端国际会议，进行研究成果的互动和交流。先后成功组织中美劳动标准、中加劳动关系高峰论坛、全国经济法年会、全面发展与改革高峰论坛、自贸区法治论坛、互联网金融和金融安全等诸多高水平学术会议。</w:t>
            </w:r>
            <w:r>
              <w:rPr>
                <w:rFonts w:ascii="STSong-Light" w:hAnsi="STSong-Light" w:cs="STSong-Light" w:hint="eastAsia"/>
                <w:color w:val="auto"/>
                <w:kern w:val="2"/>
                <w:sz w:val="20"/>
                <w:szCs w:val="20"/>
              </w:rPr>
              <w:t>2015</w:t>
            </w:r>
            <w:r>
              <w:rPr>
                <w:rFonts w:ascii="STSong-Light" w:hAnsi="STSong-Light" w:cs="STSong-Light" w:hint="eastAsia"/>
                <w:color w:val="auto"/>
                <w:kern w:val="2"/>
                <w:sz w:val="20"/>
                <w:szCs w:val="20"/>
              </w:rPr>
              <w:t>年作为中方联络代表参加中加劳动关系高峰论坛，与加拿大劳工部部长进行互动交流。</w:t>
            </w:r>
            <w:r>
              <w:rPr>
                <w:rFonts w:ascii="STSong-Light" w:hAnsi="STSong-Light" w:cs="STSong-Light" w:hint="eastAsia"/>
                <w:color w:val="auto"/>
                <w:kern w:val="2"/>
                <w:sz w:val="20"/>
                <w:szCs w:val="20"/>
              </w:rPr>
              <w:t xml:space="preserve"> </w:t>
            </w:r>
          </w:p>
        </w:tc>
      </w:tr>
      <w:tr w:rsidR="00224406">
        <w:tc>
          <w:tcPr>
            <w:tcW w:w="156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2011.12-2012.07</w:t>
            </w:r>
            <w:r>
              <w:t xml:space="preserve"> </w:t>
            </w:r>
          </w:p>
        </w:tc>
        <w:tc>
          <w:tcPr>
            <w:tcW w:w="8907" w:type="dxa"/>
            <w:gridSpan w:val="4"/>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中联重科股份有限公司</w:t>
            </w:r>
            <w:r>
              <w:t xml:space="preserve"> </w:t>
            </w:r>
          </w:p>
        </w:tc>
      </w:tr>
      <w:tr w:rsidR="00224406">
        <w:tc>
          <w:tcPr>
            <w:tcW w:w="1560" w:type="dxa"/>
            <w:vMerge w:val="restart"/>
            <w:shd w:val="clear" w:color="auto" w:fill="FFFFFF"/>
          </w:tcPr>
          <w:p w:rsidR="00224406" w:rsidRDefault="00224406">
            <w:pPr>
              <w:rPr>
                <w:rFonts w:ascii="Times New Roman" w:hAnsi="Times New Roman" w:cs="Times New Roman"/>
                <w:color w:val="auto"/>
                <w:kern w:val="2"/>
              </w:rPr>
            </w:pPr>
          </w:p>
        </w:tc>
        <w:tc>
          <w:tcPr>
            <w:tcW w:w="8907"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公司性质：国内上市公司</w:t>
            </w:r>
            <w:r>
              <w:t xml:space="preserve"> </w:t>
            </w:r>
            <w:r>
              <w:rPr>
                <w:rFonts w:ascii="STSong-Light" w:hAnsi="STSong-Light" w:cs="STSong-Light"/>
                <w:color w:val="auto"/>
                <w:kern w:val="2"/>
                <w:sz w:val="20"/>
                <w:szCs w:val="20"/>
              </w:rPr>
              <w:t xml:space="preserve">| </w:t>
            </w:r>
            <w:r>
              <w:rPr>
                <w:rFonts w:ascii="STSong-Light" w:hAnsi="STSong-Light" w:cs="STSong-Light" w:hint="eastAsia"/>
                <w:color w:val="auto"/>
                <w:kern w:val="2"/>
                <w:sz w:val="20"/>
                <w:szCs w:val="20"/>
              </w:rPr>
              <w:t>公司规模：</w:t>
            </w:r>
            <w:r>
              <w:t xml:space="preserve"> </w:t>
            </w:r>
            <w:r>
              <w:rPr>
                <w:rFonts w:ascii="STSong-Light" w:hAnsi="STSong-Light" w:cs="STSong-Light"/>
                <w:color w:val="auto"/>
                <w:kern w:val="2"/>
                <w:sz w:val="20"/>
                <w:szCs w:val="20"/>
              </w:rPr>
              <w:t>10000</w:t>
            </w:r>
            <w:r>
              <w:rPr>
                <w:rFonts w:ascii="STSong-Light" w:hAnsi="STSong-Light" w:cs="STSong-Light"/>
                <w:color w:val="auto"/>
                <w:kern w:val="2"/>
                <w:sz w:val="20"/>
                <w:szCs w:val="20"/>
              </w:rPr>
              <w:t>人以上</w:t>
            </w:r>
            <w:r>
              <w:rPr>
                <w:rFonts w:ascii="STSong-Light" w:hAnsi="STSong-Light" w:cs="STSong-Light"/>
                <w:color w:val="auto"/>
                <w:kern w:val="2"/>
                <w:sz w:val="20"/>
                <w:szCs w:val="20"/>
              </w:rPr>
              <w:t xml:space="preserve"> | </w:t>
            </w:r>
            <w:r>
              <w:rPr>
                <w:rFonts w:ascii="STSong-Light" w:hAnsi="STSong-Light" w:cs="STSong-Light" w:hint="eastAsia"/>
                <w:color w:val="auto"/>
                <w:kern w:val="2"/>
                <w:sz w:val="20"/>
                <w:szCs w:val="20"/>
              </w:rPr>
              <w:t>公司行业：机械制造</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机电</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重工</w:t>
            </w:r>
            <w:r>
              <w:t xml:space="preserve"> </w:t>
            </w:r>
          </w:p>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公司描述：</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中联重科股份有限公司创立于</w:t>
            </w:r>
            <w:r>
              <w:rPr>
                <w:rFonts w:ascii="STSong-Light" w:hAnsi="STSong-Light" w:cs="STSong-Light" w:hint="eastAsia"/>
                <w:color w:val="auto"/>
                <w:kern w:val="2"/>
                <w:sz w:val="20"/>
                <w:szCs w:val="20"/>
              </w:rPr>
              <w:t>1992</w:t>
            </w:r>
            <w:r>
              <w:rPr>
                <w:rFonts w:ascii="STSong-Light" w:hAnsi="STSong-Light" w:cs="STSong-Light" w:hint="eastAsia"/>
                <w:color w:val="auto"/>
                <w:kern w:val="2"/>
                <w:sz w:val="20"/>
                <w:szCs w:val="20"/>
              </w:rPr>
              <w:t>年，主要从事建筑工程、能源工程、环境工程、交通工程等基础设施建设所需重大高新技术装备的研发制造，是一家持续创新的全球化企业。中联重科成立</w:t>
            </w:r>
            <w:r>
              <w:rPr>
                <w:rFonts w:ascii="STSong-Light" w:hAnsi="STSong-Light" w:cs="STSong-Light" w:hint="eastAsia"/>
                <w:color w:val="auto"/>
                <w:kern w:val="2"/>
                <w:sz w:val="20"/>
                <w:szCs w:val="20"/>
              </w:rPr>
              <w:t>21</w:t>
            </w:r>
            <w:r>
              <w:rPr>
                <w:rFonts w:ascii="STSong-Light" w:hAnsi="STSong-Light" w:cs="STSong-Light" w:hint="eastAsia"/>
                <w:color w:val="auto"/>
                <w:kern w:val="2"/>
                <w:sz w:val="20"/>
                <w:szCs w:val="20"/>
              </w:rPr>
              <w:t>年来，年均复合增长率超</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，为全球增长最为迅速的工程机械企业。公司生产具有完全自主知识产权的</w:t>
            </w:r>
            <w:r>
              <w:rPr>
                <w:rFonts w:ascii="STSong-Light" w:hAnsi="STSong-Light" w:cs="STSong-Light" w:hint="eastAsia"/>
                <w:color w:val="auto"/>
                <w:kern w:val="2"/>
                <w:sz w:val="20"/>
                <w:szCs w:val="20"/>
              </w:rPr>
              <w:t>13</w:t>
            </w:r>
            <w:r>
              <w:rPr>
                <w:rFonts w:ascii="STSong-Light" w:hAnsi="STSong-Light" w:cs="STSong-Light" w:hint="eastAsia"/>
                <w:color w:val="auto"/>
                <w:kern w:val="2"/>
                <w:sz w:val="20"/>
                <w:szCs w:val="20"/>
              </w:rPr>
              <w:t>大类别、</w:t>
            </w:r>
            <w:r>
              <w:rPr>
                <w:rFonts w:ascii="STSong-Light" w:hAnsi="STSong-Light" w:cs="STSong-Light" w:hint="eastAsia"/>
                <w:color w:val="auto"/>
                <w:kern w:val="2"/>
                <w:sz w:val="20"/>
                <w:szCs w:val="20"/>
              </w:rPr>
              <w:t>86</w:t>
            </w:r>
            <w:r>
              <w:rPr>
                <w:rFonts w:ascii="STSong-Light" w:hAnsi="STSong-Light" w:cs="STSong-Light" w:hint="eastAsia"/>
                <w:color w:val="auto"/>
                <w:kern w:val="2"/>
                <w:sz w:val="20"/>
                <w:szCs w:val="20"/>
              </w:rPr>
              <w:t>个产品系列，近</w:t>
            </w:r>
            <w:r>
              <w:rPr>
                <w:rFonts w:ascii="STSong-Light" w:hAnsi="STSong-Light" w:cs="STSong-Light" w:hint="eastAsia"/>
                <w:color w:val="auto"/>
                <w:kern w:val="2"/>
                <w:sz w:val="20"/>
                <w:szCs w:val="20"/>
              </w:rPr>
              <w:t>800</w:t>
            </w:r>
            <w:r>
              <w:rPr>
                <w:rFonts w:ascii="STSong-Light" w:hAnsi="STSong-Light" w:cs="STSong-Light" w:hint="eastAsia"/>
                <w:color w:val="auto"/>
                <w:kern w:val="2"/>
                <w:sz w:val="20"/>
                <w:szCs w:val="20"/>
              </w:rPr>
              <w:t>多个品种的主导产品，为全球</w:t>
            </w:r>
            <w:proofErr w:type="gramStart"/>
            <w:r>
              <w:rPr>
                <w:rFonts w:ascii="STSong-Light" w:hAnsi="STSong-Light" w:cs="STSong-Light" w:hint="eastAsia"/>
                <w:color w:val="auto"/>
                <w:kern w:val="2"/>
                <w:sz w:val="20"/>
                <w:szCs w:val="20"/>
              </w:rPr>
              <w:t>产品链最齐备</w:t>
            </w:r>
            <w:proofErr w:type="gramEnd"/>
            <w:r>
              <w:rPr>
                <w:rFonts w:ascii="STSong-Light" w:hAnsi="STSong-Light" w:cs="STSong-Light" w:hint="eastAsia"/>
                <w:color w:val="auto"/>
                <w:kern w:val="2"/>
                <w:sz w:val="20"/>
                <w:szCs w:val="20"/>
              </w:rPr>
              <w:t>的工程机械企业。公司的两大业务板块混凝土机械和起重机械均位居全球前两位。公司注册资本</w:t>
            </w:r>
            <w:r>
              <w:rPr>
                <w:rFonts w:ascii="STSong-Light" w:hAnsi="STSong-Light" w:cs="STSong-Light" w:hint="eastAsia"/>
                <w:color w:val="auto"/>
                <w:kern w:val="2"/>
                <w:sz w:val="20"/>
                <w:szCs w:val="20"/>
              </w:rPr>
              <w:t>77.06</w:t>
            </w:r>
            <w:r>
              <w:rPr>
                <w:rFonts w:ascii="STSong-Light" w:hAnsi="STSong-Light" w:cs="STSong-Light" w:hint="eastAsia"/>
                <w:color w:val="auto"/>
                <w:kern w:val="2"/>
                <w:sz w:val="20"/>
                <w:szCs w:val="20"/>
              </w:rPr>
              <w:t>亿元，员工近</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万人。</w:t>
            </w:r>
            <w:r>
              <w:rPr>
                <w:rFonts w:ascii="STSong-Light" w:hAnsi="STSong-Light" w:cs="STSong-Light" w:hint="eastAsia"/>
                <w:color w:val="auto"/>
                <w:kern w:val="2"/>
                <w:sz w:val="20"/>
                <w:szCs w:val="20"/>
              </w:rPr>
              <w:t>2013</w:t>
            </w:r>
            <w:r>
              <w:rPr>
                <w:rFonts w:ascii="STSong-Light" w:hAnsi="STSong-Light" w:cs="STSong-Light" w:hint="eastAsia"/>
                <w:color w:val="auto"/>
                <w:kern w:val="2"/>
                <w:sz w:val="20"/>
                <w:szCs w:val="20"/>
              </w:rPr>
              <w:t>年，中联重科下属各经营单元实现收入近</w:t>
            </w:r>
            <w:r>
              <w:rPr>
                <w:rFonts w:ascii="STSong-Light" w:hAnsi="STSong-Light" w:cs="STSong-Light" w:hint="eastAsia"/>
                <w:color w:val="auto"/>
                <w:kern w:val="2"/>
                <w:sz w:val="20"/>
                <w:szCs w:val="20"/>
              </w:rPr>
              <w:t>800</w:t>
            </w:r>
            <w:r>
              <w:rPr>
                <w:rFonts w:ascii="STSong-Light" w:hAnsi="STSong-Light" w:cs="STSong-Light" w:hint="eastAsia"/>
                <w:color w:val="auto"/>
                <w:kern w:val="2"/>
                <w:sz w:val="20"/>
                <w:szCs w:val="20"/>
              </w:rPr>
              <w:t>亿元，利税近</w:t>
            </w:r>
            <w:r>
              <w:rPr>
                <w:rFonts w:ascii="STSong-Light" w:hAnsi="STSong-Light" w:cs="STSong-Light" w:hint="eastAsia"/>
                <w:color w:val="auto"/>
                <w:kern w:val="2"/>
                <w:sz w:val="20"/>
                <w:szCs w:val="20"/>
              </w:rPr>
              <w:t>90</w:t>
            </w:r>
            <w:r>
              <w:rPr>
                <w:rFonts w:ascii="STSong-Light" w:hAnsi="STSong-Light" w:cs="STSong-Light" w:hint="eastAsia"/>
                <w:color w:val="auto"/>
                <w:kern w:val="2"/>
                <w:sz w:val="20"/>
                <w:szCs w:val="20"/>
              </w:rPr>
              <w:t>亿元。</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4488" w:type="dxa"/>
            <w:gridSpan w:val="2"/>
            <w:shd w:val="clear" w:color="auto" w:fill="EAEAEA"/>
            <w:hideMark/>
          </w:tcPr>
          <w:p w:rsidR="00224406" w:rsidRDefault="003E3152">
            <w:pPr>
              <w:spacing w:line="300" w:lineRule="atLeast"/>
              <w:rPr>
                <w:rFonts w:ascii="STSong-Light" w:hAnsi="STSong-Light" w:cs="STSong-Light"/>
                <w:color w:val="auto"/>
                <w:kern w:val="2"/>
                <w:sz w:val="20"/>
                <w:szCs w:val="20"/>
              </w:rPr>
            </w:pPr>
            <w:proofErr w:type="gramStart"/>
            <w:r>
              <w:rPr>
                <w:rFonts w:ascii="STSong-Light" w:hAnsi="STSong-Light" w:cs="STSong-Light" w:hint="eastAsia"/>
                <w:b/>
                <w:bCs/>
                <w:color w:val="auto"/>
                <w:kern w:val="2"/>
                <w:sz w:val="20"/>
                <w:szCs w:val="20"/>
              </w:rPr>
              <w:t>总部风控专员</w:t>
            </w:r>
            <w:proofErr w:type="gramEnd"/>
            <w:r>
              <w:rPr>
                <w:rFonts w:ascii="STSong-Light" w:hAnsi="STSong-Light" w:cs="STSong-Light" w:hint="eastAsia"/>
                <w:b/>
                <w:bCs/>
                <w:color w:val="auto"/>
                <w:kern w:val="2"/>
                <w:sz w:val="20"/>
                <w:szCs w:val="20"/>
              </w:rPr>
              <w:t>（法</w:t>
            </w:r>
            <w:proofErr w:type="gramStart"/>
            <w:r>
              <w:rPr>
                <w:rFonts w:ascii="STSong-Light" w:hAnsi="STSong-Light" w:cs="STSong-Light" w:hint="eastAsia"/>
                <w:b/>
                <w:bCs/>
                <w:color w:val="auto"/>
                <w:kern w:val="2"/>
                <w:sz w:val="20"/>
                <w:szCs w:val="20"/>
              </w:rPr>
              <w:t>务</w:t>
            </w:r>
            <w:proofErr w:type="gramEnd"/>
            <w:r>
              <w:rPr>
                <w:rFonts w:ascii="STSong-Light" w:hAnsi="STSong-Light" w:cs="STSong-Light" w:hint="eastAsia"/>
                <w:b/>
                <w:bCs/>
                <w:color w:val="auto"/>
                <w:kern w:val="2"/>
                <w:sz w:val="20"/>
                <w:szCs w:val="20"/>
              </w:rPr>
              <w:t>助理）</w:t>
            </w:r>
            <w:r>
              <w:t xml:space="preserve"> </w:t>
            </w: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c>
          <w:tcPr>
            <w:tcW w:w="0" w:type="auto"/>
            <w:vAlign w:val="center"/>
            <w:hideMark/>
          </w:tcPr>
          <w:p w:rsidR="00224406" w:rsidRDefault="00224406">
            <w:pPr>
              <w:widowControl/>
              <w:autoSpaceDE/>
              <w:autoSpaceDN/>
              <w:adjustRightInd/>
              <w:rPr>
                <w:rFonts w:ascii="Calibri" w:eastAsia="Times New Roman" w:hAnsi="Calibri" w:cs="Calibri"/>
                <w:color w:val="auto"/>
                <w:sz w:val="20"/>
                <w:szCs w:val="20"/>
              </w:rPr>
            </w:pP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3015" w:type="dxa"/>
            <w:gridSpan w:val="4"/>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汇报对象：部门经理</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所在地区：长沙</w:t>
            </w:r>
            <w:r>
              <w:rPr>
                <w:rFonts w:ascii="STSong-Light" w:hAnsi="STSong-Light" w:cs="STSong-Light" w:hint="eastAsia"/>
                <w:color w:val="auto"/>
                <w:kern w:val="2"/>
                <w:sz w:val="20"/>
                <w:szCs w:val="20"/>
              </w:rPr>
              <w:t xml:space="preserve"> | </w:t>
            </w:r>
            <w:r>
              <w:rPr>
                <w:rFonts w:ascii="STSong-Light" w:hAnsi="STSong-Light" w:cs="STSong-Light" w:hint="eastAsia"/>
                <w:color w:val="auto"/>
                <w:kern w:val="2"/>
                <w:sz w:val="20"/>
                <w:szCs w:val="20"/>
              </w:rPr>
              <w:t>所在部门：风险管理部</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270" w:type="dxa"/>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工作职责和业绩：</w:t>
            </w:r>
            <w:r>
              <w:t xml:space="preserve"> </w:t>
            </w:r>
          </w:p>
        </w:tc>
        <w:tc>
          <w:tcPr>
            <w:tcW w:w="7637" w:type="dxa"/>
            <w:gridSpan w:val="3"/>
            <w:shd w:val="clear" w:color="auto" w:fill="FFFFFF"/>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hint="eastAsia"/>
                <w:color w:val="auto"/>
                <w:kern w:val="2"/>
                <w:sz w:val="20"/>
                <w:szCs w:val="20"/>
              </w:rPr>
              <w:t>工作业绩</w:t>
            </w:r>
            <w:proofErr w:type="gramStart"/>
            <w:r>
              <w:rPr>
                <w:rFonts w:ascii="STSong-Light" w:hAnsi="STSong-Light" w:cs="STSong-Light" w:hint="eastAsia"/>
                <w:color w:val="auto"/>
                <w:kern w:val="2"/>
                <w:sz w:val="20"/>
                <w:szCs w:val="20"/>
              </w:rPr>
              <w:t>一</w:t>
            </w:r>
            <w:proofErr w:type="gramEnd"/>
            <w:r>
              <w:rPr>
                <w:rFonts w:ascii="STSong-Light" w:hAnsi="STSong-Light" w:cs="STSong-Light" w:hint="eastAsia"/>
                <w:color w:val="auto"/>
                <w:kern w:val="2"/>
                <w:sz w:val="20"/>
                <w:szCs w:val="20"/>
              </w:rPr>
              <w:t>：负责中联重科（建起）公司的大型机械设备的租赁业务和并购业务的风险管控，评估业务风险，提出相应的风险处置建议，并撰写风险评估报告。</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lastRenderedPageBreak/>
              <w:t>工作业绩二：负责呆坏账核销的前期资料取证搜集与诉讼案件文书的拟写；配合处置应收账款清收及逾期设备回收工作。</w:t>
            </w:r>
            <w:r>
              <w:rPr>
                <w:rFonts w:ascii="STSong-Light" w:hAnsi="STSong-Light" w:cs="STSong-Light" w:hint="eastAsia"/>
                <w:color w:val="auto"/>
                <w:kern w:val="2"/>
                <w:sz w:val="20"/>
                <w:szCs w:val="20"/>
              </w:rPr>
              <w:t xml:space="preserve"> </w:t>
            </w:r>
          </w:p>
        </w:tc>
      </w:tr>
    </w:tbl>
    <w:p w:rsidR="00224406" w:rsidRDefault="00224406">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224406">
        <w:tc>
          <w:tcPr>
            <w:tcW w:w="10467" w:type="dxa"/>
            <w:tcBorders>
              <w:top w:val="nil"/>
              <w:left w:val="nil"/>
              <w:bottom w:val="single" w:sz="18" w:space="0" w:color="404040"/>
              <w:right w:val="nil"/>
            </w:tcBorders>
            <w:shd w:val="clear" w:color="auto" w:fill="FFFFFF"/>
            <w:hideMark/>
          </w:tcPr>
          <w:p w:rsidR="00224406" w:rsidRDefault="003E315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项目经历</w:t>
            </w:r>
            <w:r>
              <w:t xml:space="preserve"> </w:t>
            </w:r>
          </w:p>
        </w:tc>
      </w:tr>
    </w:tbl>
    <w:p w:rsidR="00224406" w:rsidRDefault="00224406">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767"/>
        <w:gridCol w:w="1112"/>
        <w:gridCol w:w="7588"/>
      </w:tblGrid>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2019.06 –2019.08</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宏观专题研究：粤港澳大湾区跨境资金自由流动——跨境结算账户</w:t>
            </w:r>
            <w:r>
              <w:rPr>
                <w:rFonts w:ascii="STSong-Light" w:hAnsi="STSong-Light" w:cs="STSong-Light" w:hint="eastAsia"/>
                <w:b/>
                <w:bCs/>
                <w:color w:val="auto"/>
                <w:kern w:val="2"/>
                <w:sz w:val="20"/>
                <w:szCs w:val="20"/>
              </w:rPr>
              <w:t>FT</w:t>
            </w:r>
            <w:r>
              <w:rPr>
                <w:rFonts w:ascii="STSong-Light" w:hAnsi="STSong-Light" w:cs="STSong-Light" w:hint="eastAsia"/>
                <w:b/>
                <w:bCs/>
                <w:color w:val="auto"/>
                <w:kern w:val="2"/>
                <w:sz w:val="20"/>
                <w:szCs w:val="20"/>
              </w:rPr>
              <w:t>研究</w:t>
            </w:r>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子课题撰写人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亚洲金融协会</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促进粤港澳大湾区金融融合的关键在于打通资金梗阻，实现大湾区在“资金”上的互联互通，按照《粤港澳大湾区发展规划纲要》的战略部署，未来实现跨境资金的自由流动已经成为粤港澳大湾区进行金融合作的重要支柱。这其中既包括扩大人民币跨境使用，推动人民币成为粤港澳经贸往来的主要计价和结算、融资货币，同时也包括进一步便利市场主体开展跨境融资的活动，使得市场主体可以有效规避汇率风险，降低融资成本。同时，还要实现对跨境资金流动和清算的有效监管，探索实现资本项目外汇管理的便利化，引导大湾区企业的全口径跨境融资宏观的审慎管理和跨境资金集中运营管理，促进“资金流”更为安全有序的实现跨境流动。而构建一套可以进行风险监测和管理的账户体系就显得极为重要，我国各地通过试点改革和金融创新不断探索跨境融资的账户业务模式及功能，并且逐步形成了以</w:t>
            </w:r>
            <w:r>
              <w:rPr>
                <w:rFonts w:ascii="STSong-Light" w:hAnsi="STSong-Light" w:cs="STSong-Light" w:hint="eastAsia"/>
                <w:color w:val="auto"/>
                <w:kern w:val="2"/>
                <w:sz w:val="20"/>
                <w:szCs w:val="20"/>
              </w:rPr>
              <w:t>OSA(</w:t>
            </w:r>
            <w:r>
              <w:rPr>
                <w:rFonts w:ascii="STSong-Light" w:hAnsi="STSong-Light" w:cs="STSong-Light" w:hint="eastAsia"/>
                <w:color w:val="auto"/>
                <w:kern w:val="2"/>
                <w:sz w:val="20"/>
                <w:szCs w:val="20"/>
              </w:rPr>
              <w:t>离岸账户）、</w:t>
            </w:r>
            <w:r>
              <w:rPr>
                <w:rFonts w:ascii="STSong-Light" w:hAnsi="STSong-Light" w:cs="STSong-Light" w:hint="eastAsia"/>
                <w:color w:val="auto"/>
                <w:kern w:val="2"/>
                <w:sz w:val="20"/>
                <w:szCs w:val="20"/>
              </w:rPr>
              <w:t>NRA(</w:t>
            </w:r>
            <w:r>
              <w:rPr>
                <w:rFonts w:ascii="STSong-Light" w:hAnsi="STSong-Light" w:cs="STSong-Light" w:hint="eastAsia"/>
                <w:color w:val="auto"/>
                <w:kern w:val="2"/>
                <w:sz w:val="20"/>
                <w:szCs w:val="20"/>
              </w:rPr>
              <w:t>境外机构境内账户）和</w:t>
            </w:r>
            <w:r>
              <w:rPr>
                <w:rFonts w:ascii="STSong-Light" w:hAnsi="STSong-Light" w:cs="STSong-Light" w:hint="eastAsia"/>
                <w:color w:val="auto"/>
                <w:kern w:val="2"/>
                <w:sz w:val="20"/>
                <w:szCs w:val="20"/>
              </w:rPr>
              <w:t>FT(</w:t>
            </w:r>
            <w:r>
              <w:rPr>
                <w:rFonts w:ascii="STSong-Light" w:hAnsi="STSong-Light" w:cs="STSong-Light" w:hint="eastAsia"/>
                <w:color w:val="auto"/>
                <w:kern w:val="2"/>
                <w:sz w:val="20"/>
                <w:szCs w:val="20"/>
              </w:rPr>
              <w:t>自由贸易账户）等为代表的不同账户体系。本课题对账户体系进行系统深入研究，为实现跨境资金流转便利化提供参考借鉴。</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、与课题组组成员进行研究框架的讨论和拟定</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、独立进行电话调研和访谈，了解主要账户的使用范围和功能，同时了解其可能存在的问题</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、进行数据的搜集和整理，围绕各地的账户监管现状，撰写研究报告</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、提出相关的分析逻辑，拟定对策建议</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未填写</w:t>
            </w:r>
            <w: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2018.04 –2019.07</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行业战略研究：</w:t>
            </w:r>
            <w:proofErr w:type="gramStart"/>
            <w:r>
              <w:rPr>
                <w:rFonts w:ascii="STSong-Light" w:hAnsi="STSong-Light" w:cs="STSong-Light" w:hint="eastAsia"/>
                <w:b/>
                <w:bCs/>
                <w:color w:val="auto"/>
                <w:kern w:val="2"/>
                <w:sz w:val="20"/>
                <w:szCs w:val="20"/>
              </w:rPr>
              <w:t>在线资管机构</w:t>
            </w:r>
            <w:proofErr w:type="gramEnd"/>
            <w:r>
              <w:rPr>
                <w:rFonts w:ascii="STSong-Light" w:hAnsi="STSong-Light" w:cs="STSong-Light" w:hint="eastAsia"/>
                <w:b/>
                <w:bCs/>
                <w:color w:val="auto"/>
                <w:kern w:val="2"/>
                <w:sz w:val="20"/>
                <w:szCs w:val="20"/>
              </w:rPr>
              <w:t>服务模式</w:t>
            </w:r>
            <w:proofErr w:type="gramStart"/>
            <w:r>
              <w:rPr>
                <w:rFonts w:ascii="STSong-Light" w:hAnsi="STSong-Light" w:cs="STSong-Light" w:hint="eastAsia"/>
                <w:b/>
                <w:bCs/>
                <w:color w:val="auto"/>
                <w:kern w:val="2"/>
                <w:sz w:val="20"/>
                <w:szCs w:val="20"/>
              </w:rPr>
              <w:t>竞品研究</w:t>
            </w:r>
            <w:proofErr w:type="gramEnd"/>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主持人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浙江大学经济学院</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大众富裕阶层</w:t>
            </w:r>
            <w:proofErr w:type="gramStart"/>
            <w:r>
              <w:rPr>
                <w:rFonts w:ascii="STSong-Light" w:hAnsi="STSong-Light" w:cs="STSong-Light" w:hint="eastAsia"/>
                <w:color w:val="auto"/>
                <w:kern w:val="2"/>
                <w:sz w:val="20"/>
                <w:szCs w:val="20"/>
              </w:rPr>
              <w:t>”</w:t>
            </w:r>
            <w:proofErr w:type="gramEnd"/>
            <w:r>
              <w:rPr>
                <w:rFonts w:ascii="STSong-Light" w:hAnsi="STSong-Light" w:cs="STSong-Light" w:hint="eastAsia"/>
                <w:color w:val="auto"/>
                <w:kern w:val="2"/>
                <w:sz w:val="20"/>
                <w:szCs w:val="20"/>
              </w:rPr>
              <w:t>(Mass affluent)</w:t>
            </w:r>
            <w:r>
              <w:rPr>
                <w:rFonts w:ascii="STSong-Light" w:hAnsi="STSong-Light" w:cs="STSong-Light" w:hint="eastAsia"/>
                <w:color w:val="auto"/>
                <w:kern w:val="2"/>
                <w:sz w:val="20"/>
                <w:szCs w:val="20"/>
              </w:rPr>
              <w:t>起源于美国，其通常被看作是具有经济和社会学意义的表述，这些人通常具有高于平均水平的收入、具有较为前瞻性的经济观点和高于美国平均水平的可投资的资产数量。该人群普遍对传统金融机构提供的服务普遍不满并对利用</w:t>
            </w:r>
            <w:r>
              <w:rPr>
                <w:rFonts w:ascii="STSong-Light" w:hAnsi="STSong-Light" w:cs="STSong-Light" w:hint="eastAsia"/>
                <w:color w:val="auto"/>
                <w:kern w:val="2"/>
                <w:sz w:val="20"/>
                <w:szCs w:val="20"/>
              </w:rPr>
              <w:t>WEB</w:t>
            </w:r>
            <w:r>
              <w:rPr>
                <w:rFonts w:ascii="STSong-Light" w:hAnsi="STSong-Light" w:cs="STSong-Light" w:hint="eastAsia"/>
                <w:color w:val="auto"/>
                <w:kern w:val="2"/>
                <w:sz w:val="20"/>
                <w:szCs w:val="20"/>
              </w:rPr>
              <w:t>和手机进行财务管理认可度较高，更喜欢倾听财经资讯和新闻，对于理财顾问的专业化要求较高，因此在线服务应运而生。我国的互联网财富管理市场目前迎来了发展的快车道，市场空间广阔。就我国的大众富裕阶层来说，具有以下几个特点：一是数量大，增长迅速；二是人群结构以</w:t>
            </w:r>
            <w:r>
              <w:rPr>
                <w:rFonts w:ascii="STSong-Light" w:hAnsi="STSong-Light" w:cs="STSong-Light" w:hint="eastAsia"/>
                <w:color w:val="auto"/>
                <w:kern w:val="2"/>
                <w:sz w:val="20"/>
                <w:szCs w:val="20"/>
              </w:rPr>
              <w:t>80/90</w:t>
            </w:r>
            <w:r>
              <w:rPr>
                <w:rFonts w:ascii="STSong-Light" w:hAnsi="STSong-Light" w:cs="STSong-Light" w:hint="eastAsia"/>
                <w:color w:val="auto"/>
                <w:kern w:val="2"/>
                <w:sz w:val="20"/>
                <w:szCs w:val="20"/>
              </w:rPr>
              <w:t>后为主，理财需求强烈；三是信息获取上注重经验分享，对于安全性和专业</w:t>
            </w:r>
            <w:proofErr w:type="gramStart"/>
            <w:r>
              <w:rPr>
                <w:rFonts w:ascii="STSong-Light" w:hAnsi="STSong-Light" w:cs="STSong-Light" w:hint="eastAsia"/>
                <w:color w:val="auto"/>
                <w:kern w:val="2"/>
                <w:sz w:val="20"/>
                <w:szCs w:val="20"/>
              </w:rPr>
              <w:t>性关注</w:t>
            </w:r>
            <w:proofErr w:type="gramEnd"/>
            <w:r>
              <w:rPr>
                <w:rFonts w:ascii="STSong-Light" w:hAnsi="STSong-Light" w:cs="STSong-Light" w:hint="eastAsia"/>
                <w:color w:val="auto"/>
                <w:kern w:val="2"/>
                <w:sz w:val="20"/>
                <w:szCs w:val="20"/>
              </w:rPr>
              <w:t>较多；四是资产配置多样化，对海外资产配置需求强烈。美国的在线服务不仅起步早，发展快，而且已经形成了较为成熟的模式，通过研究</w:t>
            </w:r>
            <w:r>
              <w:rPr>
                <w:rFonts w:ascii="STSong-Light" w:hAnsi="STSong-Light" w:cs="STSong-Light" w:hint="eastAsia"/>
                <w:color w:val="auto"/>
                <w:kern w:val="2"/>
                <w:sz w:val="20"/>
                <w:szCs w:val="20"/>
              </w:rPr>
              <w:t>Blackrock</w:t>
            </w:r>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LPL</w:t>
            </w:r>
            <w:r>
              <w:rPr>
                <w:rFonts w:ascii="STSong-Light" w:hAnsi="STSong-Light" w:cs="STSong-Light" w:hint="eastAsia"/>
                <w:color w:val="auto"/>
                <w:kern w:val="2"/>
                <w:sz w:val="20"/>
                <w:szCs w:val="20"/>
              </w:rPr>
              <w:t>、</w:t>
            </w:r>
            <w:proofErr w:type="spellStart"/>
            <w:r>
              <w:rPr>
                <w:rFonts w:ascii="STSong-Light" w:hAnsi="STSong-Light" w:cs="STSong-Light" w:hint="eastAsia"/>
                <w:color w:val="auto"/>
                <w:kern w:val="2"/>
                <w:sz w:val="20"/>
                <w:szCs w:val="20"/>
              </w:rPr>
              <w:t>Wealthfront</w:t>
            </w:r>
            <w:proofErr w:type="spellEnd"/>
            <w:r>
              <w:rPr>
                <w:rFonts w:ascii="STSong-Light" w:hAnsi="STSong-Light" w:cs="STSong-Light" w:hint="eastAsia"/>
                <w:color w:val="auto"/>
                <w:kern w:val="2"/>
                <w:sz w:val="20"/>
                <w:szCs w:val="20"/>
              </w:rPr>
              <w:t>、</w:t>
            </w:r>
            <w:proofErr w:type="spellStart"/>
            <w:r>
              <w:rPr>
                <w:rFonts w:ascii="STSong-Light" w:hAnsi="STSong-Light" w:cs="STSong-Light" w:hint="eastAsia"/>
                <w:color w:val="auto"/>
                <w:kern w:val="2"/>
                <w:sz w:val="20"/>
                <w:szCs w:val="20"/>
              </w:rPr>
              <w:t>Peosonal</w:t>
            </w:r>
            <w:proofErr w:type="spellEnd"/>
            <w:r>
              <w:rPr>
                <w:rFonts w:ascii="STSong-Light" w:hAnsi="STSong-Light" w:cs="STSong-Light" w:hint="eastAsia"/>
                <w:color w:val="auto"/>
                <w:kern w:val="2"/>
                <w:sz w:val="20"/>
                <w:szCs w:val="20"/>
              </w:rPr>
              <w:t xml:space="preserve"> Capita</w:t>
            </w:r>
            <w:r>
              <w:rPr>
                <w:rFonts w:ascii="STSong-Light" w:hAnsi="STSong-Light" w:cs="STSong-Light" w:hint="eastAsia"/>
                <w:color w:val="auto"/>
                <w:kern w:val="2"/>
                <w:sz w:val="20"/>
                <w:szCs w:val="20"/>
              </w:rPr>
              <w:t>、七分钟理财、</w:t>
            </w:r>
            <w:proofErr w:type="gramStart"/>
            <w:r>
              <w:rPr>
                <w:rFonts w:ascii="STSong-Light" w:hAnsi="STSong-Light" w:cs="STSong-Light" w:hint="eastAsia"/>
                <w:color w:val="auto"/>
                <w:kern w:val="2"/>
                <w:sz w:val="20"/>
                <w:szCs w:val="20"/>
              </w:rPr>
              <w:t>钜</w:t>
            </w:r>
            <w:proofErr w:type="gramEnd"/>
            <w:r>
              <w:rPr>
                <w:rFonts w:ascii="STSong-Light" w:hAnsi="STSong-Light" w:cs="STSong-Light" w:hint="eastAsia"/>
                <w:color w:val="auto"/>
                <w:kern w:val="2"/>
                <w:sz w:val="20"/>
                <w:szCs w:val="20"/>
              </w:rPr>
              <w:t>派、东方财富、陆金所</w:t>
            </w:r>
            <w:r>
              <w:rPr>
                <w:rFonts w:ascii="STSong-Light" w:hAnsi="STSong-Light" w:cs="STSong-Light" w:hint="eastAsia"/>
                <w:color w:val="auto"/>
                <w:kern w:val="2"/>
                <w:sz w:val="20"/>
                <w:szCs w:val="20"/>
              </w:rPr>
              <w:t>l</w:t>
            </w:r>
            <w:r>
              <w:rPr>
                <w:rFonts w:ascii="STSong-Light" w:hAnsi="STSong-Light" w:cs="STSong-Light" w:hint="eastAsia"/>
                <w:color w:val="auto"/>
                <w:kern w:val="2"/>
                <w:sz w:val="20"/>
                <w:szCs w:val="20"/>
              </w:rPr>
              <w:t>等机构的服务模式研究，结合我国已经进行的在线服务模式的探索，可以为服务模式上的创新提供参考和借鉴。</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、作为主持人，拟定研究框架，负责项目管理的推进和实施</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、定时展开研究会议讨论，调整</w:t>
            </w:r>
            <w:proofErr w:type="gramStart"/>
            <w:r>
              <w:rPr>
                <w:rFonts w:ascii="STSong-Light" w:hAnsi="STSong-Light" w:cs="STSong-Light" w:hint="eastAsia"/>
                <w:color w:val="auto"/>
                <w:kern w:val="2"/>
                <w:sz w:val="20"/>
                <w:szCs w:val="20"/>
              </w:rPr>
              <w:t>竞品研究</w:t>
            </w:r>
            <w:proofErr w:type="gramEnd"/>
            <w:r>
              <w:rPr>
                <w:rFonts w:ascii="STSong-Light" w:hAnsi="STSong-Light" w:cs="STSong-Light" w:hint="eastAsia"/>
                <w:color w:val="auto"/>
                <w:kern w:val="2"/>
                <w:sz w:val="20"/>
                <w:szCs w:val="20"/>
              </w:rPr>
              <w:t>对象，对已有研究成果进行跟踪把关</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、指导研究成员进行行业数据的分析，整理，以及对标杆企业的交流访谈</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、与业务部门进行交流讨论，了解业务发展实际和明确的需求</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未填写</w:t>
            </w:r>
            <w: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2018.10 –2018.11</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行业战略研究：长租公寓“租金贷”金融风险与监管建议</w:t>
            </w:r>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主持人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浙江大学经济学院</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随着“房住不炒”“租购并举”等政策的相继出台，住房租赁市场稳步进入发展的快车道，住房租赁经营企业也一度成为资本青睐的热点。然而，“金融＋长租公寓”的模式被广泛应用的同时，潜藏其后的金融风险也被频频引爆，以鼎家、寓见、</w:t>
            </w:r>
            <w:r>
              <w:rPr>
                <w:rFonts w:ascii="STSong-Light" w:hAnsi="STSong-Light" w:cs="STSong-Light" w:hint="eastAsia"/>
                <w:color w:val="auto"/>
                <w:kern w:val="2"/>
                <w:sz w:val="20"/>
                <w:szCs w:val="20"/>
              </w:rPr>
              <w:t>GO</w:t>
            </w:r>
            <w:proofErr w:type="gramStart"/>
            <w:r>
              <w:rPr>
                <w:rFonts w:ascii="STSong-Light" w:hAnsi="STSong-Light" w:cs="STSong-Light" w:hint="eastAsia"/>
                <w:color w:val="auto"/>
                <w:kern w:val="2"/>
                <w:sz w:val="20"/>
                <w:szCs w:val="20"/>
              </w:rPr>
              <w:t>窝</w:t>
            </w:r>
            <w:proofErr w:type="gramEnd"/>
            <w:r>
              <w:rPr>
                <w:rFonts w:ascii="STSong-Light" w:hAnsi="STSong-Light" w:cs="STSong-Light" w:hint="eastAsia"/>
                <w:color w:val="auto"/>
                <w:kern w:val="2"/>
                <w:sz w:val="20"/>
                <w:szCs w:val="20"/>
              </w:rPr>
              <w:t>等长租公寓企业“爆仓”为标志</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长租公寓运营模式以及其背后隐藏的风险引发舆论关注，而牵涉其中的“租金贷”也广受质疑。长租公寓已经成为我国住房租赁市场的新亮点，“租金贷”在满足了融资需求的同时，也隐藏了诸多风险。课题研究认为，应当充分意识到“租金贷”在我国存在的现实动因和积极作用，满足承租人和运营主体的合理融资需求，构建以“行为监管”为核心的监管框架，从信息披露制度、资金托管制度、细化</w:t>
            </w:r>
            <w:r>
              <w:rPr>
                <w:rFonts w:ascii="STSong-Light" w:hAnsi="STSong-Light" w:cs="STSong-Light" w:hint="eastAsia"/>
                <w:color w:val="auto"/>
                <w:kern w:val="2"/>
                <w:sz w:val="20"/>
                <w:szCs w:val="20"/>
              </w:rPr>
              <w:lastRenderedPageBreak/>
              <w:t>合同流程等方面进行完善。</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、负责课题研究框架的拟定和数据的搜集整理</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、指导课题组成员进行租金</w:t>
            </w:r>
            <w:proofErr w:type="gramStart"/>
            <w:r>
              <w:rPr>
                <w:rFonts w:ascii="STSong-Light" w:hAnsi="STSong-Light" w:cs="STSong-Light" w:hint="eastAsia"/>
                <w:color w:val="auto"/>
                <w:kern w:val="2"/>
                <w:sz w:val="20"/>
                <w:szCs w:val="20"/>
              </w:rPr>
              <w:t>贷运</w:t>
            </w:r>
            <w:proofErr w:type="gramEnd"/>
            <w:r>
              <w:rPr>
                <w:rFonts w:ascii="STSong-Light" w:hAnsi="STSong-Light" w:cs="STSong-Light" w:hint="eastAsia"/>
                <w:color w:val="auto"/>
                <w:kern w:val="2"/>
                <w:sz w:val="20"/>
                <w:szCs w:val="20"/>
              </w:rPr>
              <w:t>作模式的行业调研，对其金融风险进行重点分析</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、独立撰写研究报告，提出监管建议</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课题研究报告《长租公寓“租金贷”金融风险与监管建议》刊发在《清华金融评论》上，该文被多家媒体转载和引用，引发了市场对于“租金贷”风险的关注，《新华社》记者进行了专门采访，相关建议获得领导重要批示</w:t>
            </w:r>
            <w:r>
              <w:rPr>
                <w:rFonts w:ascii="STSong-Light" w:hAnsi="STSong-Light" w:cs="STSong-Light" w:hint="eastAsia"/>
                <w:color w:val="auto"/>
                <w:kern w:val="2"/>
                <w:sz w:val="20"/>
                <w:szCs w:val="20"/>
              </w:rP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2018.01 –2018.05</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行业战略研究：</w:t>
            </w:r>
            <w:proofErr w:type="gramStart"/>
            <w:r>
              <w:rPr>
                <w:rFonts w:ascii="STSong-Light" w:hAnsi="STSong-Light" w:cs="STSong-Light" w:hint="eastAsia"/>
                <w:b/>
                <w:bCs/>
                <w:color w:val="auto"/>
                <w:kern w:val="2"/>
                <w:sz w:val="20"/>
                <w:szCs w:val="20"/>
              </w:rPr>
              <w:t>国际息费定价</w:t>
            </w:r>
            <w:proofErr w:type="gramEnd"/>
            <w:r>
              <w:rPr>
                <w:rFonts w:ascii="STSong-Light" w:hAnsi="STSong-Light" w:cs="STSong-Light" w:hint="eastAsia"/>
                <w:b/>
                <w:bCs/>
                <w:color w:val="auto"/>
                <w:kern w:val="2"/>
                <w:sz w:val="20"/>
                <w:szCs w:val="20"/>
              </w:rPr>
              <w:t>的比较研究</w:t>
            </w:r>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主持人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中国</w:t>
            </w:r>
            <w:proofErr w:type="gramStart"/>
            <w:r>
              <w:rPr>
                <w:rFonts w:ascii="STSong-Light" w:hAnsi="STSong-Light" w:cs="STSong-Light" w:hint="eastAsia"/>
                <w:color w:val="auto"/>
                <w:kern w:val="2"/>
                <w:sz w:val="20"/>
                <w:szCs w:val="20"/>
              </w:rPr>
              <w:t>互金协会</w:t>
            </w:r>
            <w:proofErr w:type="gramEnd"/>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互联网金融在发展过程中，也产生了一系列的问题，自</w:t>
            </w:r>
            <w:r>
              <w:rPr>
                <w:rFonts w:ascii="STSong-Light" w:hAnsi="STSong-Light" w:cs="STSong-Light" w:hint="eastAsia"/>
                <w:color w:val="auto"/>
                <w:kern w:val="2"/>
                <w:sz w:val="20"/>
                <w:szCs w:val="20"/>
              </w:rPr>
              <w:t>2017</w:t>
            </w:r>
            <w:r>
              <w:rPr>
                <w:rFonts w:ascii="STSong-Light" w:hAnsi="STSong-Light" w:cs="STSong-Light" w:hint="eastAsia"/>
                <w:color w:val="auto"/>
                <w:kern w:val="2"/>
                <w:sz w:val="20"/>
                <w:szCs w:val="20"/>
              </w:rPr>
              <w:t>年以来，</w:t>
            </w:r>
            <w:proofErr w:type="gramStart"/>
            <w:r>
              <w:rPr>
                <w:rFonts w:ascii="STSong-Light" w:hAnsi="STSong-Light" w:cs="STSong-Light" w:hint="eastAsia"/>
                <w:color w:val="auto"/>
                <w:kern w:val="2"/>
                <w:sz w:val="20"/>
                <w:szCs w:val="20"/>
              </w:rPr>
              <w:t>网贷行业</w:t>
            </w:r>
            <w:proofErr w:type="gramEnd"/>
            <w:r>
              <w:rPr>
                <w:rFonts w:ascii="STSong-Light" w:hAnsi="STSong-Light" w:cs="STSong-Light" w:hint="eastAsia"/>
                <w:color w:val="auto"/>
                <w:kern w:val="2"/>
                <w:sz w:val="20"/>
                <w:szCs w:val="20"/>
              </w:rPr>
              <w:t>频频暴雷，而现金贷也因为利率畸高引发市场热议。</w:t>
            </w:r>
            <w:r>
              <w:rPr>
                <w:rFonts w:ascii="STSong-Light" w:hAnsi="STSong-Light" w:cs="STSong-Light" w:hint="eastAsia"/>
                <w:color w:val="auto"/>
                <w:kern w:val="2"/>
                <w:sz w:val="20"/>
                <w:szCs w:val="20"/>
              </w:rPr>
              <w:br/>
            </w:r>
            <w:proofErr w:type="gramStart"/>
            <w:r>
              <w:rPr>
                <w:rFonts w:ascii="STSong-Light" w:hAnsi="STSong-Light" w:cs="STSong-Light" w:hint="eastAsia"/>
                <w:color w:val="auto"/>
                <w:kern w:val="2"/>
                <w:sz w:val="20"/>
                <w:szCs w:val="20"/>
              </w:rPr>
              <w:t>网贷行业</w:t>
            </w:r>
            <w:proofErr w:type="gramEnd"/>
            <w:r>
              <w:rPr>
                <w:rFonts w:ascii="STSong-Light" w:hAnsi="STSong-Light" w:cs="STSong-Light" w:hint="eastAsia"/>
                <w:color w:val="auto"/>
                <w:kern w:val="2"/>
                <w:sz w:val="20"/>
                <w:szCs w:val="20"/>
              </w:rPr>
              <w:t>在高速发展的同时，也面临着风控缺失、存管不合理、息费</w:t>
            </w:r>
            <w:proofErr w:type="gramStart"/>
            <w:r>
              <w:rPr>
                <w:rFonts w:ascii="STSong-Light" w:hAnsi="STSong-Light" w:cs="STSong-Light" w:hint="eastAsia"/>
                <w:color w:val="auto"/>
                <w:kern w:val="2"/>
                <w:sz w:val="20"/>
                <w:szCs w:val="20"/>
              </w:rPr>
              <w:t>畸</w:t>
            </w:r>
            <w:proofErr w:type="gramEnd"/>
            <w:r>
              <w:rPr>
                <w:rFonts w:ascii="STSong-Light" w:hAnsi="STSong-Light" w:cs="STSong-Light" w:hint="eastAsia"/>
                <w:color w:val="auto"/>
                <w:kern w:val="2"/>
                <w:sz w:val="20"/>
                <w:szCs w:val="20"/>
              </w:rPr>
              <w:t>高等诸多问题。课题组在对同业交流、专门座谈的基础上，全面梳理了美国、日本、澳大利亚、英国等国家</w:t>
            </w:r>
            <w:proofErr w:type="gramStart"/>
            <w:r>
              <w:rPr>
                <w:rFonts w:ascii="STSong-Light" w:hAnsi="STSong-Light" w:cs="STSong-Light" w:hint="eastAsia"/>
                <w:color w:val="auto"/>
                <w:kern w:val="2"/>
                <w:sz w:val="20"/>
                <w:szCs w:val="20"/>
              </w:rPr>
              <w:t>在息费监管</w:t>
            </w:r>
            <w:proofErr w:type="gramEnd"/>
            <w:r>
              <w:rPr>
                <w:rFonts w:ascii="STSong-Light" w:hAnsi="STSong-Light" w:cs="STSong-Light" w:hint="eastAsia"/>
                <w:color w:val="auto"/>
                <w:kern w:val="2"/>
                <w:sz w:val="20"/>
                <w:szCs w:val="20"/>
              </w:rPr>
              <w:t>上的成熟经验，特别是对美国</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个州的具</w:t>
            </w:r>
            <w:proofErr w:type="gramStart"/>
            <w:r>
              <w:rPr>
                <w:rFonts w:ascii="STSong-Light" w:hAnsi="STSong-Light" w:cs="STSong-Light" w:hint="eastAsia"/>
                <w:color w:val="auto"/>
                <w:kern w:val="2"/>
                <w:sz w:val="20"/>
                <w:szCs w:val="20"/>
              </w:rPr>
              <w:t>体息</w:t>
            </w:r>
            <w:proofErr w:type="gramEnd"/>
            <w:r>
              <w:rPr>
                <w:rFonts w:ascii="STSong-Light" w:hAnsi="STSong-Light" w:cs="STSong-Light" w:hint="eastAsia"/>
                <w:color w:val="auto"/>
                <w:kern w:val="2"/>
                <w:sz w:val="20"/>
                <w:szCs w:val="20"/>
              </w:rPr>
              <w:t>费监管规定进行了细致研究和比较分析，总结了</w:t>
            </w:r>
            <w:proofErr w:type="gramStart"/>
            <w:r>
              <w:rPr>
                <w:rFonts w:ascii="STSong-Light" w:hAnsi="STSong-Light" w:cs="STSong-Light" w:hint="eastAsia"/>
                <w:color w:val="auto"/>
                <w:kern w:val="2"/>
                <w:sz w:val="20"/>
                <w:szCs w:val="20"/>
              </w:rPr>
              <w:t>不同息费监管</w:t>
            </w:r>
            <w:proofErr w:type="gramEnd"/>
            <w:r>
              <w:rPr>
                <w:rFonts w:ascii="STSong-Light" w:hAnsi="STSong-Light" w:cs="STSong-Light" w:hint="eastAsia"/>
                <w:color w:val="auto"/>
                <w:kern w:val="2"/>
                <w:sz w:val="20"/>
                <w:szCs w:val="20"/>
              </w:rPr>
              <w:t>模式对行业发展产生的不同影响。通过研究发现，国外监管规定及研究的争论焦点主要在于：第一，发薪</w:t>
            </w:r>
            <w:proofErr w:type="gramStart"/>
            <w:r>
              <w:rPr>
                <w:rFonts w:ascii="STSong-Light" w:hAnsi="STSong-Light" w:cs="STSong-Light" w:hint="eastAsia"/>
                <w:color w:val="auto"/>
                <w:kern w:val="2"/>
                <w:sz w:val="20"/>
                <w:szCs w:val="20"/>
              </w:rPr>
              <w:t>日贷款</w:t>
            </w:r>
            <w:proofErr w:type="gramEnd"/>
            <w:r>
              <w:rPr>
                <w:rFonts w:ascii="STSong-Light" w:hAnsi="STSong-Light" w:cs="STSong-Light" w:hint="eastAsia"/>
                <w:color w:val="auto"/>
                <w:kern w:val="2"/>
                <w:sz w:val="20"/>
                <w:szCs w:val="20"/>
              </w:rPr>
              <w:t>属于小额短期贷款但费率畸高，其对于解决融资需求的社会意义？用户人群画像及使用贷款的动因；第二，对于行业费率的监管态度及规定。如采用</w:t>
            </w:r>
            <w:r>
              <w:rPr>
                <w:rFonts w:ascii="STSong-Light" w:hAnsi="STSong-Light" w:cs="STSong-Light" w:hint="eastAsia"/>
                <w:color w:val="auto"/>
                <w:kern w:val="2"/>
                <w:sz w:val="20"/>
                <w:szCs w:val="20"/>
              </w:rPr>
              <w:t>APR</w:t>
            </w:r>
            <w:r>
              <w:rPr>
                <w:rFonts w:ascii="STSong-Light" w:hAnsi="STSong-Light" w:cs="STSong-Light" w:hint="eastAsia"/>
                <w:color w:val="auto"/>
                <w:kern w:val="2"/>
                <w:sz w:val="20"/>
                <w:szCs w:val="20"/>
              </w:rPr>
              <w:t>的合理性及局限性，利率上限的设定，信息披露的规定，展期及罚金规则的安排等等。</w:t>
            </w:r>
            <w:proofErr w:type="gramStart"/>
            <w:r>
              <w:rPr>
                <w:rFonts w:ascii="STSong-Light" w:hAnsi="STSong-Light" w:cs="STSong-Light" w:hint="eastAsia"/>
                <w:color w:val="auto"/>
                <w:kern w:val="2"/>
                <w:sz w:val="20"/>
                <w:szCs w:val="20"/>
              </w:rPr>
              <w:t>息费定价</w:t>
            </w:r>
            <w:proofErr w:type="gramEnd"/>
            <w:r>
              <w:rPr>
                <w:rFonts w:ascii="STSong-Light" w:hAnsi="STSong-Light" w:cs="STSong-Light" w:hint="eastAsia"/>
                <w:color w:val="auto"/>
                <w:kern w:val="2"/>
                <w:sz w:val="20"/>
                <w:szCs w:val="20"/>
              </w:rPr>
              <w:t>的标准及形影</w:t>
            </w:r>
            <w:proofErr w:type="gramStart"/>
            <w:r>
              <w:rPr>
                <w:rFonts w:ascii="STSong-Light" w:hAnsi="STSong-Light" w:cs="STSong-Light" w:hint="eastAsia"/>
                <w:color w:val="auto"/>
                <w:kern w:val="2"/>
                <w:sz w:val="20"/>
                <w:szCs w:val="20"/>
              </w:rPr>
              <w:t>考量</w:t>
            </w:r>
            <w:proofErr w:type="gramEnd"/>
            <w:r>
              <w:rPr>
                <w:rFonts w:ascii="STSong-Light" w:hAnsi="STSong-Light" w:cs="STSong-Light" w:hint="eastAsia"/>
                <w:color w:val="auto"/>
                <w:kern w:val="2"/>
                <w:sz w:val="20"/>
                <w:szCs w:val="20"/>
              </w:rPr>
              <w:t>因素；第三，不同监管规定对于行业发现的影响；等等。</w:t>
            </w:r>
            <w:r>
              <w:rPr>
                <w:rFonts w:ascii="STSong-Light" w:hAnsi="STSong-Light" w:cs="STSong-Light" w:hint="eastAsia"/>
                <w:color w:val="auto"/>
                <w:kern w:val="2"/>
                <w:sz w:val="20"/>
                <w:szCs w:val="20"/>
              </w:rPr>
              <w:br/>
            </w:r>
            <w:proofErr w:type="gramStart"/>
            <w:r>
              <w:rPr>
                <w:rFonts w:ascii="STSong-Light" w:hAnsi="STSong-Light" w:cs="STSong-Light" w:hint="eastAsia"/>
                <w:color w:val="auto"/>
                <w:kern w:val="2"/>
                <w:sz w:val="20"/>
                <w:szCs w:val="20"/>
              </w:rPr>
              <w:t>国外息费</w:t>
            </w:r>
            <w:proofErr w:type="gramEnd"/>
            <w:r>
              <w:rPr>
                <w:rFonts w:ascii="STSong-Light" w:hAnsi="STSong-Light" w:cs="STSong-Light" w:hint="eastAsia"/>
                <w:color w:val="auto"/>
                <w:kern w:val="2"/>
                <w:sz w:val="20"/>
                <w:szCs w:val="20"/>
              </w:rPr>
              <w:t>定价监管的规定，有的在我国的监管规定已经有所规定，有的正待进一步完善。在全面阐述</w:t>
            </w:r>
            <w:proofErr w:type="gramStart"/>
            <w:r>
              <w:rPr>
                <w:rFonts w:ascii="STSong-Light" w:hAnsi="STSong-Light" w:cs="STSong-Light" w:hint="eastAsia"/>
                <w:color w:val="auto"/>
                <w:kern w:val="2"/>
                <w:sz w:val="20"/>
                <w:szCs w:val="20"/>
              </w:rPr>
              <w:t>我国息费监管</w:t>
            </w:r>
            <w:proofErr w:type="gramEnd"/>
            <w:r>
              <w:rPr>
                <w:rFonts w:ascii="STSong-Light" w:hAnsi="STSong-Light" w:cs="STSong-Light" w:hint="eastAsia"/>
                <w:color w:val="auto"/>
                <w:kern w:val="2"/>
                <w:sz w:val="20"/>
                <w:szCs w:val="20"/>
              </w:rPr>
              <w:t>存在的问题的基础上，我们认为：第一，应当</w:t>
            </w:r>
            <w:proofErr w:type="gramStart"/>
            <w:r>
              <w:rPr>
                <w:rFonts w:ascii="STSong-Light" w:hAnsi="STSong-Light" w:cs="STSong-Light" w:hint="eastAsia"/>
                <w:color w:val="auto"/>
                <w:kern w:val="2"/>
                <w:sz w:val="20"/>
                <w:szCs w:val="20"/>
              </w:rPr>
              <w:t>构建息费统一</w:t>
            </w:r>
            <w:proofErr w:type="gramEnd"/>
            <w:r>
              <w:rPr>
                <w:rFonts w:ascii="STSong-Light" w:hAnsi="STSong-Light" w:cs="STSong-Light" w:hint="eastAsia"/>
                <w:color w:val="auto"/>
                <w:kern w:val="2"/>
                <w:sz w:val="20"/>
                <w:szCs w:val="20"/>
              </w:rPr>
              <w:t>监管模式；第二，</w:t>
            </w:r>
            <w:proofErr w:type="gramStart"/>
            <w:r>
              <w:rPr>
                <w:rFonts w:ascii="STSong-Light" w:hAnsi="STSong-Light" w:cs="STSong-Light" w:hint="eastAsia"/>
                <w:color w:val="auto"/>
                <w:kern w:val="2"/>
                <w:sz w:val="20"/>
                <w:szCs w:val="20"/>
              </w:rPr>
              <w:t>息费规则</w:t>
            </w:r>
            <w:proofErr w:type="gramEnd"/>
            <w:r>
              <w:rPr>
                <w:rFonts w:ascii="STSong-Light" w:hAnsi="STSong-Light" w:cs="STSong-Light" w:hint="eastAsia"/>
                <w:color w:val="auto"/>
                <w:kern w:val="2"/>
                <w:sz w:val="20"/>
                <w:szCs w:val="20"/>
              </w:rPr>
              <w:t>制定应当充分考虑行业发展现状，设定合理</w:t>
            </w:r>
            <w:proofErr w:type="gramStart"/>
            <w:r>
              <w:rPr>
                <w:rFonts w:ascii="STSong-Light" w:hAnsi="STSong-Light" w:cs="STSong-Light" w:hint="eastAsia"/>
                <w:color w:val="auto"/>
                <w:kern w:val="2"/>
                <w:sz w:val="20"/>
                <w:szCs w:val="20"/>
              </w:rPr>
              <w:t>的息费水平</w:t>
            </w:r>
            <w:proofErr w:type="gramEnd"/>
            <w:r>
              <w:rPr>
                <w:rFonts w:ascii="STSong-Light" w:hAnsi="STSong-Light" w:cs="STSong-Light" w:hint="eastAsia"/>
                <w:color w:val="auto"/>
                <w:kern w:val="2"/>
                <w:sz w:val="20"/>
                <w:szCs w:val="20"/>
              </w:rPr>
              <w:t>，保证行业的健康发展；第三，进一步强化信息披露；第四，大力推广应用大数据风控；第五，真实反映消费者的风险偿债能力，设定合理的展期和罚金规则。</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、独立组织课题研究的框架的拟定，各子课题的研究内容和数据的搜集整理</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、提取日本、加拿大、澳大利亚、英国以及美国</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个主要州的监管网站的数据，以及</w:t>
            </w:r>
            <w:proofErr w:type="gramStart"/>
            <w:r>
              <w:rPr>
                <w:rFonts w:ascii="STSong-Light" w:hAnsi="STSong-Light" w:cs="STSong-Light" w:hint="eastAsia"/>
                <w:color w:val="auto"/>
                <w:kern w:val="2"/>
                <w:sz w:val="20"/>
                <w:szCs w:val="20"/>
              </w:rPr>
              <w:t>有关息费定价</w:t>
            </w:r>
            <w:proofErr w:type="gramEnd"/>
            <w:r>
              <w:rPr>
                <w:rFonts w:ascii="STSong-Light" w:hAnsi="STSong-Light" w:cs="STSong-Light" w:hint="eastAsia"/>
                <w:color w:val="auto"/>
                <w:kern w:val="2"/>
                <w:sz w:val="20"/>
                <w:szCs w:val="20"/>
              </w:rPr>
              <w:t>的主要法律规定，并对每个国家和美国</w:t>
            </w:r>
            <w:r>
              <w:rPr>
                <w:rFonts w:ascii="STSong-Light" w:hAnsi="STSong-Light" w:cs="STSong-Light" w:hint="eastAsia"/>
                <w:color w:val="auto"/>
                <w:kern w:val="2"/>
                <w:sz w:val="20"/>
                <w:szCs w:val="20"/>
              </w:rPr>
              <w:t>50</w:t>
            </w:r>
            <w:r>
              <w:rPr>
                <w:rFonts w:ascii="STSong-Light" w:hAnsi="STSong-Light" w:cs="STSong-Light" w:hint="eastAsia"/>
                <w:color w:val="auto"/>
                <w:kern w:val="2"/>
                <w:sz w:val="20"/>
                <w:szCs w:val="20"/>
              </w:rPr>
              <w:t>个州的监管规定作了细致研究和整理。</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、对国内主要行业进行调研和访谈，听取行业专家意见</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、独立分析和撰写研究报告，形成两份报告（约</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万字左右）</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研究报告分别发别在《金融监管研究》《清华金融评论》等期刊上，并在中国</w:t>
            </w:r>
            <w:proofErr w:type="gramStart"/>
            <w:r>
              <w:rPr>
                <w:rFonts w:ascii="STSong-Light" w:hAnsi="STSong-Light" w:cs="STSong-Light" w:hint="eastAsia"/>
                <w:color w:val="auto"/>
                <w:kern w:val="2"/>
                <w:sz w:val="20"/>
                <w:szCs w:val="20"/>
              </w:rPr>
              <w:t>互金协会</w:t>
            </w:r>
            <w:proofErr w:type="gramEnd"/>
            <w:r>
              <w:rPr>
                <w:rFonts w:ascii="STSong-Light" w:hAnsi="STSong-Light" w:cs="STSong-Light" w:hint="eastAsia"/>
                <w:color w:val="auto"/>
                <w:kern w:val="2"/>
                <w:sz w:val="20"/>
                <w:szCs w:val="20"/>
              </w:rPr>
              <w:t>做了重点汇报，获得了协会领导和行业专家的一致认可，报告主要观点被监管部门采纳</w:t>
            </w:r>
            <w:r>
              <w:rPr>
                <w:rFonts w:ascii="STSong-Light" w:hAnsi="STSong-Light" w:cs="STSong-Light" w:hint="eastAsia"/>
                <w:color w:val="auto"/>
                <w:kern w:val="2"/>
                <w:sz w:val="20"/>
                <w:szCs w:val="20"/>
              </w:rP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2017.04 –2017.06</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proofErr w:type="gramStart"/>
            <w:r>
              <w:rPr>
                <w:rFonts w:ascii="STSong-Light" w:hAnsi="STSong-Light" w:cs="STSong-Light" w:hint="eastAsia"/>
                <w:b/>
                <w:bCs/>
                <w:color w:val="auto"/>
                <w:kern w:val="2"/>
                <w:sz w:val="20"/>
                <w:szCs w:val="20"/>
              </w:rPr>
              <w:t>宏观汇率</w:t>
            </w:r>
            <w:proofErr w:type="gramEnd"/>
            <w:r>
              <w:rPr>
                <w:rFonts w:ascii="STSong-Light" w:hAnsi="STSong-Light" w:cs="STSong-Light" w:hint="eastAsia"/>
                <w:b/>
                <w:bCs/>
                <w:color w:val="auto"/>
                <w:kern w:val="2"/>
                <w:sz w:val="20"/>
                <w:szCs w:val="20"/>
              </w:rPr>
              <w:t>研究：特朗普财税改革对经济的影响</w:t>
            </w:r>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参与人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未填写</w:t>
            </w:r>
            <w: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自特朗普上台以来，美国财政赤字重新走上了扩张的道路。就内容来看，其扩张性财政政策主要包括减税和基建，而减税政策被视为该政策的核心内容。减税主要包括下调个人所得税和企业所得税率、投资税率等。一般而言，市场普遍认为特朗普扩张性的财政政策将使得美国经济增长加速，并且拉动消费、投资和商品价格，实现“再通胀”；但同时也会降低企业的生产成本，从而提升其制造能力。虽然截止到目前，美国减税计划的细节尚有待进一步完善</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，但从公布的内容来看，其将对美国乃至中国经济产生较大的影响，本课题对以上问题进行重点研究，</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、负责特朗普税改政策的数据分析和整理</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、独立撰写特朗普税改政策的监管规定部分</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、分析税改政策对经济的影响</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课题研究报告《特朗普财税改革对经济的影响》上报给国家税务总局</w:t>
            </w:r>
            <w:r>
              <w:rPr>
                <w:rFonts w:ascii="STSong-Light" w:hAnsi="STSong-Light" w:cs="STSong-Light" w:hint="eastAsia"/>
                <w:color w:val="auto"/>
                <w:kern w:val="2"/>
                <w:sz w:val="20"/>
                <w:szCs w:val="20"/>
              </w:rP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2016.12 –2017.01</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宏观利率研究：</w:t>
            </w:r>
            <w:r>
              <w:rPr>
                <w:rFonts w:ascii="STSong-Light" w:hAnsi="STSong-Light" w:cs="STSong-Light" w:hint="eastAsia"/>
                <w:b/>
                <w:bCs/>
                <w:color w:val="auto"/>
                <w:kern w:val="2"/>
                <w:sz w:val="20"/>
                <w:szCs w:val="20"/>
              </w:rPr>
              <w:t>NCD</w:t>
            </w:r>
            <w:r>
              <w:rPr>
                <w:rFonts w:ascii="STSong-Light" w:hAnsi="STSong-Light" w:cs="STSong-Light" w:hint="eastAsia"/>
                <w:b/>
                <w:bCs/>
                <w:color w:val="auto"/>
                <w:kern w:val="2"/>
                <w:sz w:val="20"/>
                <w:szCs w:val="20"/>
              </w:rPr>
              <w:t>市场比较分析研究</w:t>
            </w:r>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未填写</w:t>
            </w:r>
            <w: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兴业银行股份有限公司</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2016</w:t>
            </w:r>
            <w:r>
              <w:rPr>
                <w:rFonts w:ascii="STSong-Light" w:hAnsi="STSong-Light" w:cs="STSong-Light" w:hint="eastAsia"/>
                <w:color w:val="auto"/>
                <w:kern w:val="2"/>
                <w:sz w:val="20"/>
                <w:szCs w:val="20"/>
              </w:rPr>
              <w:t>年第四季度以来货币市场的震荡，令</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成为市场的关注的焦点之一。由于货币市场的震荡，</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利率大幅上行，其由此再度受到各方关注。一些声音甚至认为：我国</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的规模已经不小，未来应该对其进行限制。为此，本课题试图通过对海外成熟经济体</w:t>
            </w:r>
            <w:r>
              <w:rPr>
                <w:rFonts w:ascii="STSong-Light" w:hAnsi="STSong-Light" w:cs="STSong-Light" w:hint="eastAsia"/>
                <w:color w:val="auto"/>
                <w:kern w:val="2"/>
                <w:sz w:val="20"/>
                <w:szCs w:val="20"/>
              </w:rPr>
              <w:t>CDs</w:t>
            </w:r>
            <w:r>
              <w:rPr>
                <w:rFonts w:ascii="STSong-Light" w:hAnsi="STSong-Light" w:cs="STSong-Light" w:hint="eastAsia"/>
                <w:color w:val="auto"/>
                <w:kern w:val="2"/>
                <w:sz w:val="20"/>
                <w:szCs w:val="20"/>
              </w:rPr>
              <w:t>市场情况的考察，为我国提供借鉴。</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研究考察发现，从占银行全部负债的比例来看，我国</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不到</w:t>
            </w:r>
            <w:r>
              <w:rPr>
                <w:rFonts w:ascii="STSong-Light" w:hAnsi="STSong-Light" w:cs="STSong-Light" w:hint="eastAsia"/>
                <w:color w:val="auto"/>
                <w:kern w:val="2"/>
                <w:sz w:val="20"/>
                <w:szCs w:val="20"/>
              </w:rPr>
              <w:t>3%</w:t>
            </w:r>
            <w:r>
              <w:rPr>
                <w:rFonts w:ascii="STSong-Light" w:hAnsi="STSong-Light" w:cs="STSong-Light" w:hint="eastAsia"/>
                <w:color w:val="auto"/>
                <w:kern w:val="2"/>
                <w:sz w:val="20"/>
                <w:szCs w:val="20"/>
              </w:rPr>
              <w:t>，远低于美国可比的</w:t>
            </w:r>
            <w:r>
              <w:rPr>
                <w:rFonts w:ascii="STSong-Light" w:hAnsi="STSong-Light" w:cs="STSong-Light" w:hint="eastAsia"/>
                <w:color w:val="auto"/>
                <w:kern w:val="2"/>
                <w:sz w:val="20"/>
                <w:szCs w:val="20"/>
              </w:rPr>
              <w:t>CDs</w:t>
            </w:r>
            <w:r>
              <w:rPr>
                <w:rFonts w:ascii="STSong-Light" w:hAnsi="STSong-Light" w:cs="STSong-Light" w:hint="eastAsia"/>
                <w:color w:val="auto"/>
                <w:kern w:val="2"/>
                <w:sz w:val="20"/>
                <w:szCs w:val="20"/>
              </w:rPr>
              <w:t>在银行全部负债中</w:t>
            </w:r>
            <w:r>
              <w:rPr>
                <w:rFonts w:ascii="STSong-Light" w:hAnsi="STSong-Light" w:cs="STSong-Light" w:hint="eastAsia"/>
                <w:color w:val="auto"/>
                <w:kern w:val="2"/>
                <w:sz w:val="20"/>
                <w:szCs w:val="20"/>
              </w:rPr>
              <w:t>10%</w:t>
            </w:r>
            <w:r>
              <w:rPr>
                <w:rFonts w:ascii="STSong-Light" w:hAnsi="STSong-Light" w:cs="STSong-Light" w:hint="eastAsia"/>
                <w:color w:val="auto"/>
                <w:kern w:val="2"/>
                <w:sz w:val="20"/>
                <w:szCs w:val="20"/>
              </w:rPr>
              <w:t>以上、日本</w:t>
            </w:r>
            <w:r>
              <w:rPr>
                <w:rFonts w:ascii="STSong-Light" w:hAnsi="STSong-Light" w:cs="STSong-Light" w:hint="eastAsia"/>
                <w:color w:val="auto"/>
                <w:kern w:val="2"/>
                <w:sz w:val="20"/>
                <w:szCs w:val="20"/>
              </w:rPr>
              <w:t>5%</w:t>
            </w:r>
            <w:r>
              <w:rPr>
                <w:rFonts w:ascii="STSong-Light" w:hAnsi="STSong-Light" w:cs="STSong-Light" w:hint="eastAsia"/>
                <w:color w:val="auto"/>
                <w:kern w:val="2"/>
                <w:sz w:val="20"/>
                <w:szCs w:val="20"/>
              </w:rPr>
              <w:t>以上的比例；从在货币市场基金投资资产的占比来看，我国在最高时期只有</w:t>
            </w:r>
            <w:r>
              <w:rPr>
                <w:rFonts w:ascii="STSong-Light" w:hAnsi="STSong-Light" w:cs="STSong-Light" w:hint="eastAsia"/>
                <w:color w:val="auto"/>
                <w:kern w:val="2"/>
                <w:sz w:val="20"/>
                <w:szCs w:val="20"/>
              </w:rPr>
              <w:t>25%</w:t>
            </w:r>
            <w:r>
              <w:rPr>
                <w:rFonts w:ascii="STSong-Light" w:hAnsi="STSong-Light" w:cs="STSong-Light" w:hint="eastAsia"/>
                <w:color w:val="auto"/>
                <w:kern w:val="2"/>
                <w:sz w:val="20"/>
                <w:szCs w:val="20"/>
              </w:rPr>
              <w:t>，与美国</w:t>
            </w:r>
            <w:r>
              <w:rPr>
                <w:rFonts w:ascii="STSong-Light" w:hAnsi="STSong-Light" w:cs="STSong-Light" w:hint="eastAsia"/>
                <w:color w:val="auto"/>
                <w:kern w:val="2"/>
                <w:sz w:val="20"/>
                <w:szCs w:val="20"/>
              </w:rPr>
              <w:t>CDs</w:t>
            </w:r>
            <w:r>
              <w:rPr>
                <w:rFonts w:ascii="STSong-Light" w:hAnsi="STSong-Light" w:cs="STSong-Light" w:hint="eastAsia"/>
                <w:color w:val="auto"/>
                <w:kern w:val="2"/>
                <w:sz w:val="20"/>
                <w:szCs w:val="20"/>
              </w:rPr>
              <w:t>占全部货币基金基础资产的</w:t>
            </w:r>
            <w:r>
              <w:rPr>
                <w:rFonts w:ascii="STSong-Light" w:hAnsi="STSong-Light" w:cs="STSong-Light" w:hint="eastAsia"/>
                <w:color w:val="auto"/>
                <w:kern w:val="2"/>
                <w:sz w:val="20"/>
                <w:szCs w:val="20"/>
              </w:rPr>
              <w:t>20%</w:t>
            </w:r>
            <w:r>
              <w:rPr>
                <w:rFonts w:ascii="STSong-Light" w:hAnsi="STSong-Light" w:cs="STSong-Light" w:hint="eastAsia"/>
                <w:color w:val="auto"/>
                <w:kern w:val="2"/>
                <w:sz w:val="20"/>
                <w:szCs w:val="20"/>
              </w:rPr>
              <w:t>左右基</w:t>
            </w:r>
            <w:r>
              <w:rPr>
                <w:rFonts w:ascii="STSong-Light" w:hAnsi="STSong-Light" w:cs="STSong-Light" w:hint="eastAsia"/>
                <w:color w:val="auto"/>
                <w:kern w:val="2"/>
                <w:sz w:val="20"/>
                <w:szCs w:val="20"/>
              </w:rPr>
              <w:lastRenderedPageBreak/>
              <w:t>本相当，但远远低于其在可以投资信用产品的货币基金类型</w:t>
            </w:r>
            <w:r>
              <w:rPr>
                <w:rFonts w:ascii="STSong-Light" w:hAnsi="STSong-Light" w:cs="STSong-Light" w:hint="eastAsia"/>
                <w:color w:val="auto"/>
                <w:kern w:val="2"/>
                <w:sz w:val="20"/>
                <w:szCs w:val="20"/>
              </w:rPr>
              <w:t>Prime Funds</w:t>
            </w:r>
            <w:r>
              <w:rPr>
                <w:rFonts w:ascii="STSong-Light" w:hAnsi="STSong-Light" w:cs="STSong-Light" w:hint="eastAsia"/>
                <w:color w:val="auto"/>
                <w:kern w:val="2"/>
                <w:sz w:val="20"/>
                <w:szCs w:val="20"/>
              </w:rPr>
              <w:t>中</w:t>
            </w:r>
            <w:r>
              <w:rPr>
                <w:rFonts w:ascii="STSong-Light" w:hAnsi="STSong-Light" w:cs="STSong-Light" w:hint="eastAsia"/>
                <w:color w:val="auto"/>
                <w:kern w:val="2"/>
                <w:sz w:val="20"/>
                <w:szCs w:val="20"/>
              </w:rPr>
              <w:t>28-35%</w:t>
            </w:r>
            <w:r>
              <w:rPr>
                <w:rFonts w:ascii="STSong-Light" w:hAnsi="STSong-Light" w:cs="STSong-Light" w:hint="eastAsia"/>
                <w:color w:val="auto"/>
                <w:kern w:val="2"/>
                <w:sz w:val="20"/>
                <w:szCs w:val="20"/>
              </w:rPr>
              <w:t>的比例。</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更为重要的是，与其他金融工具相比，</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在一个经济体利率市场化的过程中，至少在三个方面会起到其他任何工具都无法替代的作用：第一，</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是唯一</w:t>
            </w:r>
            <w:proofErr w:type="gramStart"/>
            <w:r>
              <w:rPr>
                <w:rFonts w:ascii="STSong-Light" w:hAnsi="STSong-Light" w:cs="STSong-Light" w:hint="eastAsia"/>
                <w:color w:val="auto"/>
                <w:kern w:val="2"/>
                <w:sz w:val="20"/>
                <w:szCs w:val="20"/>
              </w:rPr>
              <w:t>一个</w:t>
            </w:r>
            <w:proofErr w:type="gramEnd"/>
            <w:r>
              <w:rPr>
                <w:rFonts w:ascii="STSong-Light" w:hAnsi="STSong-Light" w:cs="STSong-Light" w:hint="eastAsia"/>
                <w:color w:val="auto"/>
                <w:kern w:val="2"/>
                <w:sz w:val="20"/>
                <w:szCs w:val="20"/>
              </w:rPr>
              <w:t>由公开透明市场形成的存款性质的利率；第二，活跃的</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市场有助于全期限货币市场利率的完善；第三，</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具备衔接货币市场利率与贷款利率之间的天然优势，有利于央行通过调控货币市场利率、来影响包括贷款利率在内的整个金融、经济体系利率。</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、独立学习和了解</w:t>
            </w:r>
            <w:r>
              <w:rPr>
                <w:rFonts w:ascii="STSong-Light" w:hAnsi="STSong-Light" w:cs="STSong-Light" w:hint="eastAsia"/>
                <w:color w:val="auto"/>
                <w:kern w:val="2"/>
                <w:sz w:val="20"/>
                <w:szCs w:val="20"/>
              </w:rPr>
              <w:t>NCD</w:t>
            </w:r>
            <w:r>
              <w:rPr>
                <w:rFonts w:ascii="STSong-Light" w:hAnsi="STSong-Light" w:cs="STSong-Light" w:hint="eastAsia"/>
                <w:color w:val="auto"/>
                <w:kern w:val="2"/>
                <w:sz w:val="20"/>
                <w:szCs w:val="20"/>
              </w:rPr>
              <w:t>在我国的发展情况</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、学习和梳理</w:t>
            </w:r>
            <w:r>
              <w:rPr>
                <w:rFonts w:ascii="STSong-Light" w:hAnsi="STSong-Light" w:cs="STSong-Light" w:hint="eastAsia"/>
                <w:color w:val="auto"/>
                <w:kern w:val="2"/>
                <w:sz w:val="20"/>
                <w:szCs w:val="20"/>
              </w:rPr>
              <w:t>NCD</w:t>
            </w:r>
            <w:r>
              <w:rPr>
                <w:rFonts w:ascii="STSong-Light" w:hAnsi="STSong-Light" w:cs="STSong-Light" w:hint="eastAsia"/>
                <w:color w:val="auto"/>
                <w:kern w:val="2"/>
                <w:sz w:val="20"/>
                <w:szCs w:val="20"/>
              </w:rPr>
              <w:t>的利率数据，以及美国货币市场的数据，并在德国、法国、加拿大、英国等数据库和政府官网上的主要数据情况，并手工整理零散数据</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、撰写课题研究报告</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课题研究报告成果《我国</w:t>
            </w:r>
            <w:r>
              <w:rPr>
                <w:rFonts w:ascii="STSong-Light" w:hAnsi="STSong-Light" w:cs="STSong-Light" w:hint="eastAsia"/>
                <w:color w:val="auto"/>
                <w:kern w:val="2"/>
                <w:sz w:val="20"/>
                <w:szCs w:val="20"/>
              </w:rPr>
              <w:t>NCDs</w:t>
            </w:r>
            <w:r>
              <w:rPr>
                <w:rFonts w:ascii="STSong-Light" w:hAnsi="STSong-Light" w:cs="STSong-Light" w:hint="eastAsia"/>
                <w:color w:val="auto"/>
                <w:kern w:val="2"/>
                <w:sz w:val="20"/>
                <w:szCs w:val="20"/>
              </w:rPr>
              <w:t>市场仍有发展空间》发表在中国人民银行《金融时报》上，并被多家新闻媒体报告和转载</w:t>
            </w:r>
            <w:r>
              <w:rPr>
                <w:rFonts w:ascii="STSong-Light" w:hAnsi="STSong-Light" w:cs="STSong-Light" w:hint="eastAsia"/>
                <w:color w:val="auto"/>
                <w:kern w:val="2"/>
                <w:sz w:val="20"/>
                <w:szCs w:val="20"/>
              </w:rP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2016.06 –2016.08</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行业战略研究：国外银行</w:t>
            </w:r>
            <w:proofErr w:type="gramStart"/>
            <w:r>
              <w:rPr>
                <w:rFonts w:ascii="STSong-Light" w:hAnsi="STSong-Light" w:cs="STSong-Light" w:hint="eastAsia"/>
                <w:b/>
                <w:bCs/>
                <w:color w:val="auto"/>
                <w:kern w:val="2"/>
                <w:sz w:val="20"/>
                <w:szCs w:val="20"/>
              </w:rPr>
              <w:t>竞品研究</w:t>
            </w:r>
            <w:proofErr w:type="gramEnd"/>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主持人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兴业银行股份有限公司</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为集团公司总行战略规划提供俺就支持</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宏观经济下行、</w:t>
            </w:r>
            <w:proofErr w:type="gramStart"/>
            <w:r>
              <w:rPr>
                <w:rFonts w:ascii="STSong-Light" w:hAnsi="STSong-Light" w:cs="STSong-Light" w:hint="eastAsia"/>
                <w:color w:val="auto"/>
                <w:kern w:val="2"/>
                <w:sz w:val="20"/>
                <w:szCs w:val="20"/>
              </w:rPr>
              <w:t>金融脱媒等</w:t>
            </w:r>
            <w:proofErr w:type="gramEnd"/>
            <w:r>
              <w:rPr>
                <w:rFonts w:ascii="STSong-Light" w:hAnsi="STSong-Light" w:cs="STSong-Light" w:hint="eastAsia"/>
                <w:color w:val="auto"/>
                <w:kern w:val="2"/>
                <w:sz w:val="20"/>
                <w:szCs w:val="20"/>
              </w:rPr>
              <w:t>造成银行业经营出现全面下滑，银行转型已经迫在眉睫，而有着上百年发展史的国外大型金融，其发展经验或可资借鉴。目前国外大型金融机构主要分为两类：一类是银行控股公司模式，以高盛集团、摩根大通、富国银行等为代表；另一类是全能银行模式，以德意志为代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本课题对于国外主要的</w:t>
            </w:r>
            <w:proofErr w:type="gramStart"/>
            <w:r>
              <w:rPr>
                <w:rFonts w:ascii="STSong-Light" w:hAnsi="STSong-Light" w:cs="STSong-Light" w:hint="eastAsia"/>
                <w:color w:val="auto"/>
                <w:kern w:val="2"/>
                <w:sz w:val="20"/>
                <w:szCs w:val="20"/>
              </w:rPr>
              <w:t>金控公司</w:t>
            </w:r>
            <w:proofErr w:type="gramEnd"/>
            <w:r>
              <w:rPr>
                <w:rFonts w:ascii="STSong-Light" w:hAnsi="STSong-Light" w:cs="STSong-Light" w:hint="eastAsia"/>
                <w:color w:val="auto"/>
                <w:kern w:val="2"/>
                <w:sz w:val="20"/>
                <w:szCs w:val="20"/>
              </w:rPr>
              <w:t>进行了深入研究，并对其未来发展战略予以重点回应。</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、独立拟定课题的主要研究框架，研究的</w:t>
            </w:r>
            <w:proofErr w:type="gramStart"/>
            <w:r>
              <w:rPr>
                <w:rFonts w:ascii="STSong-Light" w:hAnsi="STSong-Light" w:cs="STSong-Light" w:hint="eastAsia"/>
                <w:color w:val="auto"/>
                <w:kern w:val="2"/>
                <w:sz w:val="20"/>
                <w:szCs w:val="20"/>
              </w:rPr>
              <w:t>同业竞品公司</w:t>
            </w:r>
            <w:proofErr w:type="gramEnd"/>
            <w:r>
              <w:rPr>
                <w:rFonts w:ascii="STSong-Light" w:hAnsi="STSong-Light" w:cs="STSong-Light" w:hint="eastAsia"/>
                <w:color w:val="auto"/>
                <w:kern w:val="2"/>
                <w:sz w:val="20"/>
                <w:szCs w:val="20"/>
              </w:rPr>
              <w:t>的筛选逻辑和类型划分</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、分四个之课题，对于不同的银行发展模式进行了重点研究，独立进行资料的搜集整理，提取相应财务数据和公开资料内容，开展深入细致的比较分析</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、从不同维度进行业务模式和发展战略的比较研究</w:t>
            </w:r>
            <w:r>
              <w:rPr>
                <w:rFonts w:ascii="STSong-Light" w:hAnsi="STSong-Light" w:cs="STSong-Light" w:hint="eastAsia"/>
                <w:color w:val="auto"/>
                <w:kern w:val="2"/>
                <w:sz w:val="20"/>
                <w:szCs w:val="20"/>
              </w:rPr>
              <w:br/>
              <w:t>4</w:t>
            </w:r>
            <w:r>
              <w:rPr>
                <w:rFonts w:ascii="STSong-Light" w:hAnsi="STSong-Light" w:cs="STSong-Light" w:hint="eastAsia"/>
                <w:color w:val="auto"/>
                <w:kern w:val="2"/>
                <w:sz w:val="20"/>
                <w:szCs w:val="20"/>
              </w:rPr>
              <w:t>、开展国内同业调研和类型化分析</w:t>
            </w:r>
            <w:r>
              <w:rPr>
                <w:rFonts w:ascii="STSong-Light" w:hAnsi="STSong-Light" w:cs="STSong-Light" w:hint="eastAsia"/>
                <w:color w:val="auto"/>
                <w:kern w:val="2"/>
                <w:sz w:val="20"/>
                <w:szCs w:val="20"/>
              </w:rPr>
              <w:br/>
              <w:t>5</w:t>
            </w:r>
            <w:r>
              <w:rPr>
                <w:rFonts w:ascii="STSong-Light" w:hAnsi="STSong-Light" w:cs="STSong-Light" w:hint="eastAsia"/>
                <w:color w:val="auto"/>
                <w:kern w:val="2"/>
                <w:sz w:val="20"/>
                <w:szCs w:val="20"/>
              </w:rPr>
              <w:t>、撰写课题研究报告</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经过评选分析，上报给总行各主要部门</w:t>
            </w:r>
            <w:r>
              <w:rPr>
                <w:rFonts w:ascii="STSong-Light" w:hAnsi="STSong-Light" w:cs="STSong-Light" w:hint="eastAsia"/>
                <w:color w:val="auto"/>
                <w:kern w:val="2"/>
                <w:sz w:val="20"/>
                <w:szCs w:val="20"/>
              </w:rP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t>2016.05 –2016.08</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宏观专题研究：债转累积优先股——一种“</w:t>
            </w:r>
            <w:proofErr w:type="gramStart"/>
            <w:r>
              <w:rPr>
                <w:rFonts w:ascii="STSong-Light" w:hAnsi="STSong-Light" w:cs="STSong-Light" w:hint="eastAsia"/>
                <w:b/>
                <w:bCs/>
                <w:color w:val="auto"/>
                <w:kern w:val="2"/>
                <w:sz w:val="20"/>
                <w:szCs w:val="20"/>
              </w:rPr>
              <w:t>一</w:t>
            </w:r>
            <w:proofErr w:type="gramEnd"/>
            <w:r>
              <w:rPr>
                <w:rFonts w:ascii="STSong-Light" w:hAnsi="STSong-Light" w:cs="STSong-Light" w:hint="eastAsia"/>
                <w:b/>
                <w:bCs/>
                <w:color w:val="auto"/>
                <w:kern w:val="2"/>
                <w:sz w:val="20"/>
                <w:szCs w:val="20"/>
              </w:rPr>
              <w:t>箭三雕”的安排</w:t>
            </w:r>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主持人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兴业经济研究公司</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2016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 xml:space="preserve">3 </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 xml:space="preserve"> 24 </w:t>
            </w:r>
            <w:r>
              <w:rPr>
                <w:rFonts w:ascii="STSong-Light" w:hAnsi="STSong-Light" w:cs="STSong-Light" w:hint="eastAsia"/>
                <w:color w:val="auto"/>
                <w:kern w:val="2"/>
                <w:sz w:val="20"/>
                <w:szCs w:val="20"/>
              </w:rPr>
              <w:t>日，</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国务院总理李克</w:t>
            </w:r>
            <w:proofErr w:type="gramStart"/>
            <w:r>
              <w:rPr>
                <w:rFonts w:ascii="STSong-Light" w:hAnsi="STSong-Light" w:cs="STSong-Light" w:hint="eastAsia"/>
                <w:color w:val="auto"/>
                <w:kern w:val="2"/>
                <w:sz w:val="20"/>
                <w:szCs w:val="20"/>
              </w:rPr>
              <w:t>强出席博</w:t>
            </w:r>
            <w:proofErr w:type="gramEnd"/>
            <w:r>
              <w:rPr>
                <w:rFonts w:ascii="STSong-Light" w:hAnsi="STSong-Light" w:cs="STSong-Light" w:hint="eastAsia"/>
                <w:color w:val="auto"/>
                <w:kern w:val="2"/>
                <w:sz w:val="20"/>
                <w:szCs w:val="20"/>
              </w:rPr>
              <w:t>鳌亚洲论坛时表示：</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将用市场化办法推动债转股，探索</w:t>
            </w:r>
            <w:proofErr w:type="gramStart"/>
            <w:r>
              <w:rPr>
                <w:rFonts w:ascii="STSong-Light" w:hAnsi="STSong-Light" w:cs="STSong-Light" w:hint="eastAsia"/>
                <w:color w:val="auto"/>
                <w:kern w:val="2"/>
                <w:sz w:val="20"/>
                <w:szCs w:val="20"/>
              </w:rPr>
              <w:t>用债转股降低</w:t>
            </w:r>
            <w:proofErr w:type="gramEnd"/>
            <w:r>
              <w:rPr>
                <w:rFonts w:ascii="STSong-Light" w:hAnsi="STSong-Light" w:cs="STSong-Light" w:hint="eastAsia"/>
                <w:color w:val="auto"/>
                <w:kern w:val="2"/>
                <w:sz w:val="20"/>
                <w:szCs w:val="20"/>
              </w:rPr>
              <w:t>企业杠杆。</w:t>
            </w:r>
            <w:r>
              <w:rPr>
                <w:rFonts w:ascii="STSong-Light" w:hAnsi="STSong-Light" w:cs="STSong-Light" w:hint="eastAsia"/>
                <w:color w:val="auto"/>
                <w:kern w:val="2"/>
                <w:sz w:val="20"/>
                <w:szCs w:val="20"/>
              </w:rPr>
              <w:t xml:space="preserve"> 5</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9</w:t>
            </w:r>
            <w:r>
              <w:rPr>
                <w:rFonts w:ascii="STSong-Light" w:hAnsi="STSong-Light" w:cs="STSong-Light" w:hint="eastAsia"/>
                <w:color w:val="auto"/>
                <w:kern w:val="2"/>
                <w:sz w:val="20"/>
                <w:szCs w:val="20"/>
              </w:rPr>
              <w:t>日，权威人士要求：对于那些确实无法救的企业，该关闭的就坚决关闭，该破产的就坚决破产，不要</w:t>
            </w:r>
            <w:proofErr w:type="gramStart"/>
            <w:r>
              <w:rPr>
                <w:rFonts w:ascii="STSong-Light" w:hAnsi="STSong-Light" w:cs="STSong-Light" w:hint="eastAsia"/>
                <w:color w:val="auto"/>
                <w:kern w:val="2"/>
                <w:sz w:val="20"/>
                <w:szCs w:val="20"/>
              </w:rPr>
              <w:t>动辄搞债转</w:t>
            </w:r>
            <w:proofErr w:type="gramEnd"/>
            <w:r>
              <w:rPr>
                <w:rFonts w:ascii="STSong-Light" w:hAnsi="STSong-Light" w:cs="STSong-Light" w:hint="eastAsia"/>
                <w:color w:val="auto"/>
                <w:kern w:val="2"/>
                <w:sz w:val="20"/>
                <w:szCs w:val="20"/>
              </w:rPr>
              <w:t>股，‚债转股</w:t>
            </w:r>
            <w:r>
              <w:rPr>
                <w:rFonts w:ascii="MS Mincho" w:eastAsia="MS Mincho" w:hAnsi="MS Mincho" w:cs="MS Mincho" w:hint="eastAsia"/>
                <w:color w:val="auto"/>
                <w:kern w:val="2"/>
                <w:sz w:val="20"/>
                <w:szCs w:val="20"/>
              </w:rPr>
              <w:t>‛</w:t>
            </w:r>
            <w:r>
              <w:rPr>
                <w:rFonts w:ascii="宋体" w:eastAsia="宋体" w:hAnsi="宋体" w:cs="宋体" w:hint="eastAsia"/>
                <w:color w:val="auto"/>
                <w:kern w:val="2"/>
                <w:sz w:val="20"/>
                <w:szCs w:val="20"/>
              </w:rPr>
              <w:t>已在一些企业的重组中开始启动。未来银行业将如何</w:t>
            </w:r>
            <w:proofErr w:type="gramStart"/>
            <w:r>
              <w:rPr>
                <w:rFonts w:ascii="宋体" w:eastAsia="宋体" w:hAnsi="宋体" w:cs="宋体" w:hint="eastAsia"/>
                <w:color w:val="auto"/>
                <w:kern w:val="2"/>
                <w:sz w:val="20"/>
                <w:szCs w:val="20"/>
              </w:rPr>
              <w:t>践行</w:t>
            </w:r>
            <w:proofErr w:type="gramEnd"/>
            <w:r>
              <w:rPr>
                <w:rFonts w:ascii="宋体" w:eastAsia="宋体" w:hAnsi="宋体" w:cs="宋体" w:hint="eastAsia"/>
                <w:color w:val="auto"/>
                <w:kern w:val="2"/>
                <w:sz w:val="20"/>
                <w:szCs w:val="20"/>
              </w:rPr>
              <w:t>债转股，而在业务具体实践中，债转股存在哪些突出问题？兴业研究公司宏观研究部推出了系列报告，对以上问题进行重点。</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在宏观经济下行的背景下，银行信贷资产的风险进一步暴露，特别是僵尸企业以及“逃废债”已经引起监管部门和市场的高度关注。在激烈的争论中，债转股已开始启动。</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如何有力、有度、有效地</w:t>
            </w:r>
            <w:proofErr w:type="gramStart"/>
            <w:r>
              <w:rPr>
                <w:rFonts w:ascii="STSong-Light" w:hAnsi="STSong-Light" w:cs="STSong-Light" w:hint="eastAsia"/>
                <w:color w:val="auto"/>
                <w:kern w:val="2"/>
                <w:sz w:val="20"/>
                <w:szCs w:val="20"/>
              </w:rPr>
              <w:t>利用好债转</w:t>
            </w:r>
            <w:proofErr w:type="gramEnd"/>
            <w:r>
              <w:rPr>
                <w:rFonts w:ascii="STSong-Light" w:hAnsi="STSong-Light" w:cs="STSong-Light" w:hint="eastAsia"/>
                <w:color w:val="auto"/>
                <w:kern w:val="2"/>
                <w:sz w:val="20"/>
                <w:szCs w:val="20"/>
              </w:rPr>
              <w:t>股，达到既能为暂时困难的企业</w:t>
            </w:r>
            <w:proofErr w:type="gramStart"/>
            <w:r>
              <w:rPr>
                <w:rFonts w:ascii="STSong-Light" w:hAnsi="STSong-Light" w:cs="STSong-Light" w:hint="eastAsia"/>
                <w:color w:val="auto"/>
                <w:kern w:val="2"/>
                <w:sz w:val="20"/>
                <w:szCs w:val="20"/>
              </w:rPr>
              <w:t>纾困同时</w:t>
            </w:r>
            <w:proofErr w:type="gramEnd"/>
            <w:r>
              <w:rPr>
                <w:rFonts w:ascii="STSong-Light" w:hAnsi="STSong-Light" w:cs="STSong-Light" w:hint="eastAsia"/>
                <w:color w:val="auto"/>
                <w:kern w:val="2"/>
                <w:sz w:val="20"/>
                <w:szCs w:val="20"/>
              </w:rPr>
              <w:t>又避免真正该去的僵尸漏网，还能避免银行被恶意逃废债、</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同时不特别加重银行在资本占用上的压力，需要在制度细节上设计一种激励相容的安排。该课题研究主要研究债转股的法律和金融性质，并从国外的发展实践和实施效果等进行分析，并进而对我国未来债转股存在的问题和挑战提出相应的建议。</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通过研究发现，累积优先股兼具了债权与股权的双重特性，但与普通股和债券相比又有所区分。</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其具有固定收益、</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股息累积、</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优先派息、优先清偿、权利有限等特点。累积优先股在公司治理和会计准则上更接近债权，</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而巴塞尔协议也还没有明确的规定，</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因而，根据其会计上更接近债务的特性，</w:t>
            </w:r>
            <w:r>
              <w:rPr>
                <w:rFonts w:ascii="STSong-Light" w:hAnsi="STSong-Light" w:cs="STSong-Light" w:hint="eastAsia"/>
                <w:color w:val="auto"/>
                <w:kern w:val="2"/>
                <w:sz w:val="20"/>
                <w:szCs w:val="20"/>
              </w:rPr>
              <w:t xml:space="preserve"> </w:t>
            </w:r>
            <w:r>
              <w:rPr>
                <w:rFonts w:ascii="STSong-Light" w:hAnsi="STSong-Light" w:cs="STSong-Light" w:hint="eastAsia"/>
                <w:color w:val="auto"/>
                <w:kern w:val="2"/>
                <w:sz w:val="20"/>
                <w:szCs w:val="20"/>
              </w:rPr>
              <w:t>可以设定接近债权的风险权重，由银行直接持有，这种无需借助</w:t>
            </w:r>
            <w:r>
              <w:rPr>
                <w:rFonts w:ascii="STSong-Light" w:hAnsi="STSong-Light" w:cs="STSong-Light" w:hint="eastAsia"/>
                <w:color w:val="auto"/>
                <w:kern w:val="2"/>
                <w:sz w:val="20"/>
                <w:szCs w:val="20"/>
              </w:rPr>
              <w:t xml:space="preserve"> AMC</w:t>
            </w:r>
            <w:r>
              <w:rPr>
                <w:rFonts w:ascii="STSong-Light" w:hAnsi="STSong-Light" w:cs="STSong-Light" w:hint="eastAsia"/>
                <w:color w:val="auto"/>
                <w:kern w:val="2"/>
                <w:sz w:val="20"/>
                <w:szCs w:val="20"/>
              </w:rPr>
              <w:t>的安排增强了银行转股的激励，避免了对不良债权的集中廉价处理。</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、独立负责项目资料的搜集和整理，项目的撰写和进程推进</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、主持负责进行相关数据的梳理，总结和比较“累积优先股”在巴塞尔协议中的重要表述等内容</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、基于法律和经济学的</w:t>
            </w:r>
            <w:proofErr w:type="gramStart"/>
            <w:r>
              <w:rPr>
                <w:rFonts w:ascii="STSong-Light" w:hAnsi="STSong-Light" w:cs="STSong-Light" w:hint="eastAsia"/>
                <w:color w:val="auto"/>
                <w:kern w:val="2"/>
                <w:sz w:val="20"/>
                <w:szCs w:val="20"/>
              </w:rPr>
              <w:t>双背景</w:t>
            </w:r>
            <w:proofErr w:type="gramEnd"/>
            <w:r>
              <w:rPr>
                <w:rFonts w:ascii="STSong-Light" w:hAnsi="STSong-Light" w:cs="STSong-Light" w:hint="eastAsia"/>
                <w:color w:val="auto"/>
                <w:kern w:val="2"/>
                <w:sz w:val="20"/>
                <w:szCs w:val="20"/>
              </w:rPr>
              <w:t>优势，重点从经济学角度分析存在的问题，并从法律（制度设计）的角度予以回应，提出解决方案，供监管部门参考。</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课题研究报告成果《债转累积优先股——一种“一箭三雕”的安排》，发表于中国人民银行《金融时报》</w:t>
            </w:r>
            <w:r>
              <w:rPr>
                <w:rFonts w:ascii="STSong-Light" w:hAnsi="STSong-Light" w:cs="STSong-Light" w:hint="eastAsia"/>
                <w:color w:val="auto"/>
                <w:kern w:val="2"/>
                <w:sz w:val="20"/>
                <w:szCs w:val="20"/>
              </w:rPr>
              <w:t>2017</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7</w:t>
            </w:r>
            <w:r>
              <w:rPr>
                <w:rFonts w:ascii="STSong-Light" w:hAnsi="STSong-Light" w:cs="STSong-Light" w:hint="eastAsia"/>
                <w:color w:val="auto"/>
                <w:kern w:val="2"/>
                <w:sz w:val="20"/>
                <w:szCs w:val="20"/>
              </w:rPr>
              <w:t>月</w:t>
            </w:r>
            <w:r>
              <w:rPr>
                <w:rFonts w:ascii="STSong-Light" w:hAnsi="STSong-Light" w:cs="STSong-Light" w:hint="eastAsia"/>
                <w:color w:val="auto"/>
                <w:kern w:val="2"/>
                <w:sz w:val="20"/>
                <w:szCs w:val="20"/>
              </w:rPr>
              <w:t>23</w:t>
            </w:r>
            <w:r>
              <w:rPr>
                <w:rFonts w:ascii="STSong-Light" w:hAnsi="STSong-Light" w:cs="STSong-Light" w:hint="eastAsia"/>
                <w:color w:val="auto"/>
                <w:kern w:val="2"/>
                <w:sz w:val="20"/>
                <w:szCs w:val="20"/>
              </w:rPr>
              <w:t>日刊，并被《凤凰网》《财经网》等多家媒体争相报道和</w:t>
            </w:r>
            <w:r>
              <w:rPr>
                <w:rFonts w:ascii="STSong-Light" w:hAnsi="STSong-Light" w:cs="STSong-Light" w:hint="eastAsia"/>
                <w:color w:val="auto"/>
                <w:kern w:val="2"/>
                <w:sz w:val="20"/>
                <w:szCs w:val="20"/>
              </w:rPr>
              <w:lastRenderedPageBreak/>
              <w:t>转载</w:t>
            </w:r>
            <w:r>
              <w:rPr>
                <w:rFonts w:ascii="STSong-Light" w:hAnsi="STSong-Light" w:cs="STSong-Light" w:hint="eastAsia"/>
                <w:color w:val="auto"/>
                <w:kern w:val="2"/>
                <w:sz w:val="20"/>
                <w:szCs w:val="20"/>
              </w:rPr>
              <w:t xml:space="preserve"> </w:t>
            </w:r>
          </w:p>
        </w:tc>
      </w:tr>
      <w:tr w:rsidR="00224406">
        <w:tc>
          <w:tcPr>
            <w:tcW w:w="1800" w:type="dxa"/>
            <w:shd w:val="clear" w:color="auto" w:fill="EAEAEA"/>
            <w:hideMark/>
          </w:tcPr>
          <w:p w:rsidR="00224406" w:rsidRDefault="003E3152">
            <w:pPr>
              <w:spacing w:line="300" w:lineRule="atLeast"/>
              <w:rPr>
                <w:rFonts w:ascii="STSong-Light" w:hAnsi="STSong-Light" w:cs="STSong-Light"/>
                <w:color w:val="auto"/>
                <w:kern w:val="2"/>
                <w:sz w:val="20"/>
                <w:szCs w:val="20"/>
              </w:rPr>
            </w:pPr>
            <w:r>
              <w:rPr>
                <w:rFonts w:ascii="STSong-Light" w:hAnsi="STSong-Light" w:cs="STSong-Light"/>
                <w:b/>
                <w:bCs/>
                <w:color w:val="auto"/>
                <w:kern w:val="2"/>
                <w:sz w:val="20"/>
                <w:szCs w:val="20"/>
              </w:rPr>
              <w:lastRenderedPageBreak/>
              <w:t>2016.03 –2016.07</w:t>
            </w:r>
            <w:r>
              <w:t xml:space="preserve"> </w:t>
            </w:r>
          </w:p>
        </w:tc>
        <w:tc>
          <w:tcPr>
            <w:tcW w:w="8912" w:type="dxa"/>
            <w:gridSpan w:val="2"/>
            <w:shd w:val="clear" w:color="auto" w:fill="EAEAEA"/>
            <w:hideMark/>
          </w:tcPr>
          <w:p w:rsidR="00224406" w:rsidRDefault="003E3152">
            <w:pPr>
              <w:spacing w:line="300" w:lineRule="atLeast"/>
              <w:ind w:left="100"/>
              <w:rPr>
                <w:rFonts w:ascii="STSong-Light" w:hAnsi="STSong-Light" w:cs="STSong-Light"/>
                <w:color w:val="auto"/>
                <w:kern w:val="2"/>
                <w:sz w:val="20"/>
                <w:szCs w:val="20"/>
              </w:rPr>
            </w:pPr>
            <w:r>
              <w:rPr>
                <w:rFonts w:ascii="STSong-Light" w:hAnsi="STSong-Light" w:cs="STSong-Light" w:hint="eastAsia"/>
                <w:b/>
                <w:bCs/>
                <w:color w:val="auto"/>
                <w:kern w:val="2"/>
                <w:sz w:val="20"/>
                <w:szCs w:val="20"/>
              </w:rPr>
              <w:t>宏观专题研究：中国债券市场研究</w:t>
            </w:r>
            <w:r>
              <w:t xml:space="preserve"> </w:t>
            </w:r>
          </w:p>
        </w:tc>
      </w:tr>
      <w:tr w:rsidR="00224406">
        <w:tc>
          <w:tcPr>
            <w:tcW w:w="1555" w:type="dxa"/>
            <w:vMerge w:val="restart"/>
            <w:shd w:val="clear" w:color="auto" w:fill="FFFFFF"/>
          </w:tcPr>
          <w:p w:rsidR="00224406" w:rsidRDefault="00224406">
            <w:pPr>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项目职务：</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主要主持人</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19" w:right="-46"/>
              <w:rPr>
                <w:rFonts w:ascii="STSong-Light" w:hAnsi="STSong-Light" w:cs="STSong-Light"/>
                <w:color w:val="auto"/>
                <w:kern w:val="2"/>
                <w:sz w:val="20"/>
                <w:szCs w:val="20"/>
              </w:rPr>
            </w:pPr>
            <w:r>
              <w:rPr>
                <w:rFonts w:ascii="STSong-Light" w:hAnsi="STSong-Light" w:cs="STSong-Light" w:hint="eastAsia"/>
                <w:color w:val="auto"/>
                <w:kern w:val="2"/>
                <w:sz w:val="20"/>
                <w:szCs w:val="20"/>
              </w:rPr>
              <w:t>所在公司：</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兴业经济研究公司</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项目简介：</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自</w:t>
            </w:r>
            <w:r>
              <w:rPr>
                <w:rFonts w:ascii="STSong-Light" w:hAnsi="STSong-Light" w:cs="STSong-Light" w:hint="eastAsia"/>
                <w:color w:val="auto"/>
                <w:kern w:val="2"/>
                <w:sz w:val="20"/>
                <w:szCs w:val="20"/>
              </w:rPr>
              <w:t>2015</w:t>
            </w:r>
            <w:r>
              <w:rPr>
                <w:rFonts w:ascii="STSong-Light" w:hAnsi="STSong-Light" w:cs="STSong-Light" w:hint="eastAsia"/>
                <w:color w:val="auto"/>
                <w:kern w:val="2"/>
                <w:sz w:val="20"/>
                <w:szCs w:val="20"/>
              </w:rPr>
              <w:t>年以来，债券市场违约频繁出现，引发市场的热议，为此，央行和银监会引发高度关注。到底债券市场违约的现状如何？存在哪些问题？如何予以回应？基于监管部门和市场普遍关心的问题，开展了重点的课题研究。</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近年来，我国债券市场规模逐年扩大，发行和投资主体更加多元化，品种和期限不断丰富，收益率曲线不断完善，市场体系和市场制度建设日趋完善。</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债券市场发展对我国经济发展产生了积极的影响，但在特定情况下，债券市场的风险失控可能引发系统性金融危机。美国</w:t>
            </w:r>
            <w:proofErr w:type="gramStart"/>
            <w:r>
              <w:rPr>
                <w:rFonts w:ascii="STSong-Light" w:hAnsi="STSong-Light" w:cs="STSong-Light" w:hint="eastAsia"/>
                <w:color w:val="auto"/>
                <w:kern w:val="2"/>
                <w:sz w:val="20"/>
                <w:szCs w:val="20"/>
              </w:rPr>
              <w:t>次贷</w:t>
            </w:r>
            <w:proofErr w:type="gramEnd"/>
            <w:r>
              <w:rPr>
                <w:rFonts w:ascii="STSong-Light" w:hAnsi="STSong-Light" w:cs="STSong-Light" w:hint="eastAsia"/>
                <w:color w:val="auto"/>
                <w:kern w:val="2"/>
                <w:sz w:val="20"/>
                <w:szCs w:val="20"/>
              </w:rPr>
              <w:t>危机即是一个典型的案例，其成因大致可归结为三方面：长期宽松的货币政策和松懈的金融监管、评级公司的评级高估和金融衍生品市场的过度膨胀。</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经济下行导致我国债券违约进入全面的爆发期，表现为如下特点：违约数量激增；违约行业、区域与企业性质分布广泛。违约主要受行业景气度下降、突发事件和逃废债企图的影响。违约导致信用利差、评级利差、行业利差全面分化，利率市场化进一步深化，但是投资人利益保护面临严峻挑战。</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与国际相比，当前我国债券违约和主体违约率均不高，但受经济下行影响，违约</w:t>
            </w:r>
            <w:proofErr w:type="gramStart"/>
            <w:r>
              <w:rPr>
                <w:rFonts w:ascii="STSong-Light" w:hAnsi="STSong-Light" w:cs="STSong-Light" w:hint="eastAsia"/>
                <w:color w:val="auto"/>
                <w:kern w:val="2"/>
                <w:sz w:val="20"/>
                <w:szCs w:val="20"/>
              </w:rPr>
              <w:t>率面临</w:t>
            </w:r>
            <w:proofErr w:type="gramEnd"/>
            <w:r>
              <w:rPr>
                <w:rFonts w:ascii="STSong-Light" w:hAnsi="STSong-Light" w:cs="STSong-Light" w:hint="eastAsia"/>
                <w:color w:val="auto"/>
                <w:kern w:val="2"/>
                <w:sz w:val="20"/>
                <w:szCs w:val="20"/>
              </w:rPr>
              <w:t>上升压力，中低等级产业债违约预期将继续保持高位。违约增多将加剧公</w:t>
            </w:r>
            <w:proofErr w:type="gramStart"/>
            <w:r>
              <w:rPr>
                <w:rFonts w:ascii="STSong-Light" w:hAnsi="STSong-Light" w:cs="STSong-Light" w:hint="eastAsia"/>
                <w:color w:val="auto"/>
                <w:kern w:val="2"/>
                <w:sz w:val="20"/>
                <w:szCs w:val="20"/>
              </w:rPr>
              <w:t>募基金</w:t>
            </w:r>
            <w:proofErr w:type="gramEnd"/>
            <w:r>
              <w:rPr>
                <w:rFonts w:ascii="STSong-Light" w:hAnsi="STSong-Light" w:cs="STSong-Light" w:hint="eastAsia"/>
                <w:color w:val="auto"/>
                <w:kern w:val="2"/>
                <w:sz w:val="20"/>
                <w:szCs w:val="20"/>
              </w:rPr>
              <w:t>和整个市场的潜在风险。</w:t>
            </w:r>
            <w:proofErr w:type="gramStart"/>
            <w:r>
              <w:rPr>
                <w:rFonts w:ascii="STSong-Light" w:hAnsi="STSong-Light" w:cs="STSong-Light" w:hint="eastAsia"/>
                <w:color w:val="auto"/>
                <w:kern w:val="2"/>
                <w:sz w:val="20"/>
                <w:szCs w:val="20"/>
              </w:rPr>
              <w:t>一</w:t>
            </w:r>
            <w:proofErr w:type="gramEnd"/>
            <w:r>
              <w:rPr>
                <w:rFonts w:ascii="STSong-Light" w:hAnsi="STSong-Light" w:cs="STSong-Light" w:hint="eastAsia"/>
                <w:color w:val="auto"/>
                <w:kern w:val="2"/>
                <w:sz w:val="20"/>
                <w:szCs w:val="20"/>
              </w:rPr>
              <w:t>二级市场剧烈共振加剧企业资金链断裂风险。</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本文对债市杠杆率的测算结果显示，当前债券场内杠杆的总体水平不高。截至</w:t>
            </w:r>
            <w:r>
              <w:rPr>
                <w:rFonts w:ascii="STSong-Light" w:hAnsi="STSong-Light" w:cs="STSong-Light" w:hint="eastAsia"/>
                <w:color w:val="auto"/>
                <w:kern w:val="2"/>
                <w:sz w:val="20"/>
                <w:szCs w:val="20"/>
              </w:rPr>
              <w:t>2016</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4</w:t>
            </w:r>
            <w:r>
              <w:rPr>
                <w:rFonts w:ascii="STSong-Light" w:hAnsi="STSong-Light" w:cs="STSong-Light" w:hint="eastAsia"/>
                <w:color w:val="auto"/>
                <w:kern w:val="2"/>
                <w:sz w:val="20"/>
                <w:szCs w:val="20"/>
              </w:rPr>
              <w:t>月，银行</w:t>
            </w:r>
            <w:proofErr w:type="gramStart"/>
            <w:r>
              <w:rPr>
                <w:rFonts w:ascii="STSong-Light" w:hAnsi="STSong-Light" w:cs="STSong-Light" w:hint="eastAsia"/>
                <w:color w:val="auto"/>
                <w:kern w:val="2"/>
                <w:sz w:val="20"/>
                <w:szCs w:val="20"/>
              </w:rPr>
              <w:t>间质押式回购</w:t>
            </w:r>
            <w:proofErr w:type="gramEnd"/>
            <w:r>
              <w:rPr>
                <w:rFonts w:ascii="STSong-Light" w:hAnsi="STSong-Light" w:cs="STSong-Light" w:hint="eastAsia"/>
                <w:color w:val="auto"/>
                <w:kern w:val="2"/>
                <w:sz w:val="20"/>
                <w:szCs w:val="20"/>
              </w:rPr>
              <w:t>杠杆倍数约为</w:t>
            </w:r>
            <w:r>
              <w:rPr>
                <w:rFonts w:ascii="STSong-Light" w:hAnsi="STSong-Light" w:cs="STSong-Light" w:hint="eastAsia"/>
                <w:color w:val="auto"/>
                <w:kern w:val="2"/>
                <w:sz w:val="20"/>
                <w:szCs w:val="20"/>
              </w:rPr>
              <w:t>1.04</w:t>
            </w:r>
            <w:r>
              <w:rPr>
                <w:rFonts w:ascii="STSong-Light" w:hAnsi="STSong-Light" w:cs="STSong-Light" w:hint="eastAsia"/>
                <w:color w:val="auto"/>
                <w:kern w:val="2"/>
                <w:sz w:val="20"/>
                <w:szCs w:val="20"/>
              </w:rPr>
              <w:t>，低于去年同期水平，持续上升趋势被打破。交易所质押式回购杠杆倍数约为</w:t>
            </w:r>
            <w:r>
              <w:rPr>
                <w:rFonts w:ascii="STSong-Light" w:hAnsi="STSong-Light" w:cs="STSong-Light" w:hint="eastAsia"/>
                <w:color w:val="auto"/>
                <w:kern w:val="2"/>
                <w:sz w:val="20"/>
                <w:szCs w:val="20"/>
              </w:rPr>
              <w:t>1.18</w:t>
            </w:r>
            <w:r>
              <w:rPr>
                <w:rFonts w:ascii="STSong-Light" w:hAnsi="STSong-Light" w:cs="STSong-Light" w:hint="eastAsia"/>
                <w:color w:val="auto"/>
                <w:kern w:val="2"/>
                <w:sz w:val="20"/>
                <w:szCs w:val="20"/>
              </w:rPr>
              <w:t>，创</w:t>
            </w:r>
            <w:r>
              <w:rPr>
                <w:rFonts w:ascii="STSong-Light" w:hAnsi="STSong-Light" w:cs="STSong-Light" w:hint="eastAsia"/>
                <w:color w:val="auto"/>
                <w:kern w:val="2"/>
                <w:sz w:val="20"/>
                <w:szCs w:val="20"/>
              </w:rPr>
              <w:t>2013</w:t>
            </w:r>
            <w:r>
              <w:rPr>
                <w:rFonts w:ascii="STSong-Light" w:hAnsi="STSong-Light" w:cs="STSong-Light" w:hint="eastAsia"/>
                <w:color w:val="auto"/>
                <w:kern w:val="2"/>
                <w:sz w:val="20"/>
                <w:szCs w:val="20"/>
              </w:rPr>
              <w:t>年</w:t>
            </w: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月以来的最低记录。</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但是场内杠杆存在一定结构性压力，表现为全国性商业银行的银行间债券杠杆率呈上升趋势，券商、基金等非银行金融机构的银行间债券杠杆率偏高。此外，</w:t>
            </w:r>
            <w:r>
              <w:rPr>
                <w:rFonts w:ascii="STSong-Light" w:hAnsi="STSong-Light" w:cs="STSong-Light" w:hint="eastAsia"/>
                <w:color w:val="auto"/>
                <w:kern w:val="2"/>
                <w:sz w:val="20"/>
                <w:szCs w:val="20"/>
              </w:rPr>
              <w:t>2015</w:t>
            </w:r>
            <w:r>
              <w:rPr>
                <w:rFonts w:ascii="STSong-Light" w:hAnsi="STSong-Light" w:cs="STSong-Light" w:hint="eastAsia"/>
                <w:color w:val="auto"/>
                <w:kern w:val="2"/>
                <w:sz w:val="20"/>
                <w:szCs w:val="20"/>
              </w:rPr>
              <w:t>年国内债券型基金杠杆率的中位数高于全球平均水平。</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本文的研究显示，造成上述现象的原因是货币宽松和实体回报下降使得中大型商业银行资金配置压力增大。一方面，这些银行逐步在债券市场加杠杆，但受制于</w:t>
            </w:r>
            <w:proofErr w:type="gramStart"/>
            <w:r>
              <w:rPr>
                <w:rFonts w:ascii="STSong-Light" w:hAnsi="STSong-Light" w:cs="STSong-Light" w:hint="eastAsia"/>
                <w:color w:val="auto"/>
                <w:kern w:val="2"/>
                <w:sz w:val="20"/>
                <w:szCs w:val="20"/>
              </w:rPr>
              <w:t>内部风控和</w:t>
            </w:r>
            <w:proofErr w:type="gramEnd"/>
            <w:r>
              <w:rPr>
                <w:rFonts w:ascii="STSong-Light" w:hAnsi="STSong-Light" w:cs="STSong-Light" w:hint="eastAsia"/>
                <w:color w:val="auto"/>
                <w:kern w:val="2"/>
                <w:sz w:val="20"/>
                <w:szCs w:val="20"/>
              </w:rPr>
              <w:t>外部监管。另一方面，大量资金通过银行同业投资和</w:t>
            </w:r>
            <w:proofErr w:type="gramStart"/>
            <w:r>
              <w:rPr>
                <w:rFonts w:ascii="STSong-Light" w:hAnsi="STSong-Light" w:cs="STSong-Light" w:hint="eastAsia"/>
                <w:color w:val="auto"/>
                <w:kern w:val="2"/>
                <w:sz w:val="20"/>
                <w:szCs w:val="20"/>
              </w:rPr>
              <w:t>委外</w:t>
            </w:r>
            <w:proofErr w:type="gramEnd"/>
            <w:r>
              <w:rPr>
                <w:rFonts w:ascii="STSong-Light" w:hAnsi="STSong-Light" w:cs="STSong-Light" w:hint="eastAsia"/>
                <w:color w:val="auto"/>
                <w:kern w:val="2"/>
                <w:sz w:val="20"/>
                <w:szCs w:val="20"/>
              </w:rPr>
              <w:t>投资流入非银行金融机构，使得非银行金融机构债券投资杠杆上升，场外杠杆风险不可小</w:t>
            </w:r>
            <w:proofErr w:type="gramStart"/>
            <w:r>
              <w:rPr>
                <w:rFonts w:ascii="STSong-Light" w:hAnsi="STSong-Light" w:cs="STSong-Light" w:hint="eastAsia"/>
                <w:color w:val="auto"/>
                <w:kern w:val="2"/>
                <w:sz w:val="20"/>
                <w:szCs w:val="20"/>
              </w:rPr>
              <w:t>藐</w:t>
            </w:r>
            <w:proofErr w:type="gramEnd"/>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从控制违约风险的角度，本文建议监管</w:t>
            </w:r>
            <w:proofErr w:type="gramStart"/>
            <w:r>
              <w:rPr>
                <w:rFonts w:ascii="STSong-Light" w:hAnsi="STSong-Light" w:cs="STSong-Light" w:hint="eastAsia"/>
                <w:color w:val="auto"/>
                <w:kern w:val="2"/>
                <w:sz w:val="20"/>
                <w:szCs w:val="20"/>
              </w:rPr>
              <w:t>层重点</w:t>
            </w:r>
            <w:proofErr w:type="gramEnd"/>
            <w:r>
              <w:rPr>
                <w:rFonts w:ascii="STSong-Light" w:hAnsi="STSong-Light" w:cs="STSong-Light" w:hint="eastAsia"/>
                <w:color w:val="auto"/>
                <w:kern w:val="2"/>
                <w:sz w:val="20"/>
                <w:szCs w:val="20"/>
              </w:rPr>
              <w:t>加强信息披露，完善信用评级制度，强化事中事后监管和提高对投资人的保护力度。从控制债市杠杆的角度，本文建议监管</w:t>
            </w:r>
            <w:proofErr w:type="gramStart"/>
            <w:r>
              <w:rPr>
                <w:rFonts w:ascii="STSong-Light" w:hAnsi="STSong-Light" w:cs="STSong-Light" w:hint="eastAsia"/>
                <w:color w:val="auto"/>
                <w:kern w:val="2"/>
                <w:sz w:val="20"/>
                <w:szCs w:val="20"/>
              </w:rPr>
              <w:t>层全面</w:t>
            </w:r>
            <w:proofErr w:type="gramEnd"/>
            <w:r>
              <w:rPr>
                <w:rFonts w:ascii="STSong-Light" w:hAnsi="STSong-Light" w:cs="STSong-Light" w:hint="eastAsia"/>
                <w:color w:val="auto"/>
                <w:kern w:val="2"/>
                <w:sz w:val="20"/>
                <w:szCs w:val="20"/>
              </w:rPr>
              <w:t>调查基金</w:t>
            </w:r>
            <w:proofErr w:type="gramStart"/>
            <w:r>
              <w:rPr>
                <w:rFonts w:ascii="STSong-Light" w:hAnsi="STSong-Light" w:cs="STSong-Light" w:hint="eastAsia"/>
                <w:color w:val="auto"/>
                <w:kern w:val="2"/>
                <w:sz w:val="20"/>
                <w:szCs w:val="20"/>
              </w:rPr>
              <w:t>公司委外专</w:t>
            </w:r>
            <w:proofErr w:type="gramEnd"/>
            <w:r>
              <w:rPr>
                <w:rFonts w:ascii="STSong-Light" w:hAnsi="STSong-Light" w:cs="STSong-Light" w:hint="eastAsia"/>
                <w:color w:val="auto"/>
                <w:kern w:val="2"/>
                <w:sz w:val="20"/>
                <w:szCs w:val="20"/>
              </w:rPr>
              <w:t>户资金的杠杆情况，并加紧完善金融监管体制。</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项目职责：</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1</w:t>
            </w:r>
            <w:r>
              <w:rPr>
                <w:rFonts w:ascii="STSong-Light" w:hAnsi="STSong-Light" w:cs="STSong-Light" w:hint="eastAsia"/>
                <w:color w:val="auto"/>
                <w:kern w:val="2"/>
                <w:sz w:val="20"/>
                <w:szCs w:val="20"/>
              </w:rPr>
              <w:t>、独立负责第三、第四、五部分的课题研究，重点分析债券违约的现状、违约率的国际计算比较、债券违约中暴露出来的问题，如何进行进一步的制度完善。</w:t>
            </w:r>
            <w:r>
              <w:rPr>
                <w:rFonts w:ascii="STSong-Light" w:hAnsi="STSong-Light" w:cs="STSong-Light" w:hint="eastAsia"/>
                <w:color w:val="auto"/>
                <w:kern w:val="2"/>
                <w:sz w:val="20"/>
                <w:szCs w:val="20"/>
              </w:rPr>
              <w:br/>
              <w:t>2</w:t>
            </w:r>
            <w:r>
              <w:rPr>
                <w:rFonts w:ascii="STSong-Light" w:hAnsi="STSong-Light" w:cs="STSong-Light" w:hint="eastAsia"/>
                <w:color w:val="auto"/>
                <w:kern w:val="2"/>
                <w:sz w:val="20"/>
                <w:szCs w:val="20"/>
              </w:rPr>
              <w:t>、与信评团队进行配合和沟通，进行债权违约数据和案例的分析和整理，逐步完善数据分析框架</w:t>
            </w:r>
            <w:r>
              <w:rPr>
                <w:rFonts w:ascii="STSong-Light" w:hAnsi="STSong-Light" w:cs="STSong-Light" w:hint="eastAsia"/>
                <w:color w:val="auto"/>
                <w:kern w:val="2"/>
                <w:sz w:val="20"/>
                <w:szCs w:val="20"/>
              </w:rPr>
              <w:br/>
              <w:t>3</w:t>
            </w:r>
            <w:r>
              <w:rPr>
                <w:rFonts w:ascii="STSong-Light" w:hAnsi="STSong-Light" w:cs="STSong-Light" w:hint="eastAsia"/>
                <w:color w:val="auto"/>
                <w:kern w:val="2"/>
                <w:sz w:val="20"/>
                <w:szCs w:val="20"/>
              </w:rPr>
              <w:t>、独立进行深入研究，进行行业访谈和电话沟通，撰写课题研究报告</w:t>
            </w:r>
            <w:r>
              <w:rPr>
                <w:rFonts w:ascii="STSong-Light" w:hAnsi="STSong-Light" w:cs="STSong-Light" w:hint="eastAsia"/>
                <w:color w:val="auto"/>
                <w:kern w:val="2"/>
                <w:sz w:val="20"/>
                <w:szCs w:val="20"/>
              </w:rPr>
              <w:t xml:space="preserve"> </w:t>
            </w:r>
          </w:p>
        </w:tc>
      </w:tr>
      <w:tr w:rsidR="00224406">
        <w:tc>
          <w:tcPr>
            <w:tcW w:w="0" w:type="auto"/>
            <w:vMerge/>
            <w:vAlign w:val="center"/>
            <w:hideMark/>
          </w:tcPr>
          <w:p w:rsidR="00224406" w:rsidRDefault="00224406">
            <w:pPr>
              <w:widowControl/>
              <w:autoSpaceDE/>
              <w:autoSpaceDN/>
              <w:adjustRightInd/>
              <w:rPr>
                <w:rFonts w:ascii="Times New Roman" w:hAnsi="Times New Roman" w:cs="Times New Roman"/>
                <w:color w:val="auto"/>
                <w:kern w:val="2"/>
              </w:rPr>
            </w:pPr>
          </w:p>
        </w:tc>
        <w:tc>
          <w:tcPr>
            <w:tcW w:w="1134" w:type="dxa"/>
            <w:shd w:val="clear" w:color="auto" w:fill="FFFFFF"/>
            <w:hideMark/>
          </w:tcPr>
          <w:p w:rsidR="00224406" w:rsidRDefault="003E3152">
            <w:pPr>
              <w:ind w:rightChars="-78" w:right="-187"/>
              <w:rPr>
                <w:rFonts w:ascii="STSong-Light" w:hAnsi="STSong-Light" w:cs="STSong-Light"/>
                <w:color w:val="auto"/>
                <w:kern w:val="2"/>
                <w:sz w:val="20"/>
                <w:szCs w:val="20"/>
              </w:rPr>
            </w:pPr>
            <w:r>
              <w:rPr>
                <w:rFonts w:ascii="STSong-Light" w:hAnsi="STSong-Light" w:cs="STSong-Light" w:hint="eastAsia"/>
                <w:color w:val="auto"/>
                <w:kern w:val="2"/>
                <w:sz w:val="20"/>
                <w:szCs w:val="20"/>
              </w:rPr>
              <w:t>项目业绩：</w:t>
            </w:r>
            <w:r>
              <w:t xml:space="preserve"> </w:t>
            </w:r>
          </w:p>
        </w:tc>
        <w:tc>
          <w:tcPr>
            <w:tcW w:w="7778"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相关研究报告成果《债券市场高速发展对宏观经济的影响》报送给中国人民银行</w:t>
            </w:r>
            <w:r>
              <w:rPr>
                <w:rFonts w:ascii="STSong-Light" w:hAnsi="STSong-Light" w:cs="STSong-Light" w:hint="eastAsia"/>
                <w:color w:val="auto"/>
                <w:kern w:val="2"/>
                <w:sz w:val="20"/>
                <w:szCs w:val="20"/>
              </w:rPr>
              <w:t xml:space="preserve"> </w:t>
            </w:r>
          </w:p>
        </w:tc>
      </w:tr>
    </w:tbl>
    <w:p w:rsidR="00224406" w:rsidRDefault="00224406">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224406">
        <w:tc>
          <w:tcPr>
            <w:tcW w:w="10467" w:type="dxa"/>
            <w:tcBorders>
              <w:top w:val="nil"/>
              <w:left w:val="nil"/>
              <w:bottom w:val="single" w:sz="18" w:space="0" w:color="404040"/>
              <w:right w:val="nil"/>
            </w:tcBorders>
            <w:shd w:val="clear" w:color="auto" w:fill="FFFFFF"/>
            <w:hideMark/>
          </w:tcPr>
          <w:p w:rsidR="00224406" w:rsidRDefault="003E315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教育经历</w:t>
            </w:r>
            <w:r>
              <w:t xml:space="preserve"> </w:t>
            </w:r>
          </w:p>
        </w:tc>
      </w:tr>
    </w:tbl>
    <w:p w:rsidR="00224406" w:rsidRDefault="00224406">
      <w:pPr>
        <w:rPr>
          <w:rFonts w:ascii="STSong-Light" w:hAnsi="STSong-Light" w:cs="STSong-Light"/>
          <w:color w:val="404040"/>
          <w:sz w:val="30"/>
          <w:szCs w:val="3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224406">
        <w:tc>
          <w:tcPr>
            <w:tcW w:w="5000" w:type="pct"/>
            <w:gridSpan w:val="3"/>
            <w:shd w:val="clear" w:color="auto" w:fill="FFFFFF"/>
            <w:hideMark/>
          </w:tcPr>
          <w:p w:rsidR="00224406" w:rsidRDefault="003E3152">
            <w:pPr>
              <w:spacing w:line="300" w:lineRule="atLeast"/>
            </w:pPr>
            <w:bookmarkStart w:id="1" w:name="OLE_LINK2"/>
            <w:bookmarkStart w:id="2" w:name="OLE_LINK1"/>
            <w:r>
              <w:rPr>
                <w:rFonts w:ascii="STSong-Light" w:hAnsi="STSong-Light" w:cs="STSong-Light"/>
                <w:b/>
                <w:bCs/>
                <w:color w:val="auto"/>
                <w:kern w:val="2"/>
                <w:sz w:val="20"/>
                <w:szCs w:val="20"/>
              </w:rPr>
              <w:t>浙江大学</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2018.01-2019.08 </w:t>
            </w:r>
            <w:r>
              <w:rPr>
                <w:rFonts w:ascii="STSong-Light" w:hAnsi="STSong-Light" w:cs="STSong-Light"/>
                <w:b/>
                <w:bCs/>
                <w:color w:val="auto"/>
                <w:kern w:val="2"/>
                <w:sz w:val="20"/>
                <w:szCs w:val="20"/>
              </w:rPr>
              <w:t>）</w:t>
            </w:r>
            <w:r>
              <w:t xml:space="preserve"> </w:t>
            </w:r>
          </w:p>
        </w:tc>
      </w:tr>
      <w:tr w:rsidR="00224406">
        <w:tc>
          <w:tcPr>
            <w:tcW w:w="2250" w:type="pct"/>
            <w:shd w:val="clear" w:color="auto" w:fill="FFFFFF"/>
            <w:hideMark/>
          </w:tcPr>
          <w:p w:rsidR="00224406" w:rsidRDefault="003E3152">
            <w:r>
              <w:rPr>
                <w:rFonts w:ascii="STSong-Light" w:hAnsi="STSong-Light" w:cs="STSong-Light" w:hint="eastAsia"/>
                <w:color w:val="auto"/>
                <w:sz w:val="20"/>
                <w:szCs w:val="20"/>
              </w:rPr>
              <w:t>专业：应用经济学</w:t>
            </w:r>
            <w:r>
              <w:t xml:space="preserve"> </w:t>
            </w:r>
          </w:p>
        </w:tc>
        <w:tc>
          <w:tcPr>
            <w:tcW w:w="175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学历：博士后</w:t>
            </w:r>
            <w:r>
              <w:t xml:space="preserve"> </w:t>
            </w:r>
          </w:p>
        </w:tc>
        <w:tc>
          <w:tcPr>
            <w:tcW w:w="100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是否统招：否</w:t>
            </w:r>
            <w:r>
              <w:t xml:space="preserve"> </w:t>
            </w:r>
          </w:p>
        </w:tc>
      </w:tr>
    </w:tbl>
    <w:p w:rsidR="00224406" w:rsidRDefault="003E3152">
      <w:pPr>
        <w:pBdr>
          <w:bottom w:val="single" w:sz="6" w:space="1" w:color="auto"/>
        </w:pBdr>
        <w:tabs>
          <w:tab w:val="left" w:pos="4395"/>
        </w:tabs>
      </w:pPr>
      <w:r>
        <w:tab/>
        <w:t xml:space="preserve"> </w:t>
      </w:r>
    </w:p>
    <w:p w:rsidR="00224406" w:rsidRDefault="00224406">
      <w:pPr>
        <w:rPr>
          <w:rFonts w:ascii="STSong-Light" w:hAnsi="STSong-Light" w:cs="STSong-Light"/>
          <w:color w:val="auto"/>
          <w:sz w:val="20"/>
          <w:szCs w:val="2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224406">
        <w:tc>
          <w:tcPr>
            <w:tcW w:w="5000" w:type="pct"/>
            <w:gridSpan w:val="3"/>
            <w:shd w:val="clear" w:color="auto" w:fill="FFFFFF"/>
            <w:hideMark/>
          </w:tcPr>
          <w:p w:rsidR="00224406" w:rsidRDefault="003E3152">
            <w:pPr>
              <w:spacing w:line="300" w:lineRule="atLeast"/>
            </w:pPr>
            <w:r>
              <w:rPr>
                <w:rFonts w:ascii="STSong-Light" w:hAnsi="STSong-Light" w:cs="STSong-Light"/>
                <w:b/>
                <w:bCs/>
                <w:color w:val="auto"/>
                <w:kern w:val="2"/>
                <w:sz w:val="20"/>
                <w:szCs w:val="20"/>
              </w:rPr>
              <w:t>上海财经大学</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2012.09-2015.12 </w:t>
            </w:r>
            <w:r>
              <w:rPr>
                <w:rFonts w:ascii="STSong-Light" w:hAnsi="STSong-Light" w:cs="STSong-Light"/>
                <w:b/>
                <w:bCs/>
                <w:color w:val="auto"/>
                <w:kern w:val="2"/>
                <w:sz w:val="20"/>
                <w:szCs w:val="20"/>
              </w:rPr>
              <w:t>）</w:t>
            </w:r>
            <w:r>
              <w:t xml:space="preserve"> </w:t>
            </w:r>
          </w:p>
        </w:tc>
      </w:tr>
      <w:tr w:rsidR="00224406">
        <w:tc>
          <w:tcPr>
            <w:tcW w:w="2250" w:type="pct"/>
            <w:shd w:val="clear" w:color="auto" w:fill="FFFFFF"/>
            <w:hideMark/>
          </w:tcPr>
          <w:p w:rsidR="00224406" w:rsidRDefault="003E3152">
            <w:r>
              <w:rPr>
                <w:rFonts w:ascii="STSong-Light" w:hAnsi="STSong-Light" w:cs="STSong-Light" w:hint="eastAsia"/>
                <w:color w:val="auto"/>
                <w:sz w:val="20"/>
                <w:szCs w:val="20"/>
              </w:rPr>
              <w:t>专业：经济学</w:t>
            </w:r>
            <w:r>
              <w:t xml:space="preserve"> </w:t>
            </w:r>
          </w:p>
        </w:tc>
        <w:tc>
          <w:tcPr>
            <w:tcW w:w="175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学历：博士</w:t>
            </w:r>
            <w:r>
              <w:t xml:space="preserve"> </w:t>
            </w:r>
          </w:p>
        </w:tc>
        <w:tc>
          <w:tcPr>
            <w:tcW w:w="100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tbl>
    <w:p w:rsidR="00224406" w:rsidRDefault="003E3152">
      <w:pPr>
        <w:pBdr>
          <w:bottom w:val="single" w:sz="6" w:space="1" w:color="auto"/>
        </w:pBdr>
        <w:tabs>
          <w:tab w:val="left" w:pos="4395"/>
        </w:tabs>
      </w:pPr>
      <w:r>
        <w:tab/>
        <w:t xml:space="preserve"> </w:t>
      </w:r>
    </w:p>
    <w:p w:rsidR="00224406" w:rsidRDefault="00224406">
      <w:pPr>
        <w:rPr>
          <w:rFonts w:ascii="STSong-Light" w:hAnsi="STSong-Light" w:cs="STSong-Light"/>
          <w:color w:val="auto"/>
          <w:sz w:val="20"/>
          <w:szCs w:val="2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224406">
        <w:tc>
          <w:tcPr>
            <w:tcW w:w="5000" w:type="pct"/>
            <w:gridSpan w:val="3"/>
            <w:shd w:val="clear" w:color="auto" w:fill="FFFFFF"/>
            <w:hideMark/>
          </w:tcPr>
          <w:p w:rsidR="00224406" w:rsidRDefault="003E3152">
            <w:pPr>
              <w:spacing w:line="300" w:lineRule="atLeast"/>
            </w:pPr>
            <w:r>
              <w:rPr>
                <w:rFonts w:ascii="STSong-Light" w:hAnsi="STSong-Light" w:cs="STSong-Light"/>
                <w:b/>
                <w:bCs/>
                <w:color w:val="auto"/>
                <w:kern w:val="2"/>
                <w:sz w:val="20"/>
                <w:szCs w:val="20"/>
              </w:rPr>
              <w:t>台湾铭传大学</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2015.02-2015.07 </w:t>
            </w:r>
            <w:r>
              <w:rPr>
                <w:rFonts w:ascii="STSong-Light" w:hAnsi="STSong-Light" w:cs="STSong-Light"/>
                <w:b/>
                <w:bCs/>
                <w:color w:val="auto"/>
                <w:kern w:val="2"/>
                <w:sz w:val="20"/>
                <w:szCs w:val="20"/>
              </w:rPr>
              <w:t>）</w:t>
            </w:r>
            <w:r>
              <w:t xml:space="preserve"> </w:t>
            </w:r>
          </w:p>
        </w:tc>
      </w:tr>
      <w:tr w:rsidR="00224406">
        <w:tc>
          <w:tcPr>
            <w:tcW w:w="2250" w:type="pct"/>
            <w:shd w:val="clear" w:color="auto" w:fill="FFFFFF"/>
            <w:hideMark/>
          </w:tcPr>
          <w:p w:rsidR="00224406" w:rsidRDefault="003E3152">
            <w:r>
              <w:rPr>
                <w:rFonts w:ascii="STSong-Light" w:hAnsi="STSong-Light" w:cs="STSong-Light" w:hint="eastAsia"/>
                <w:color w:val="auto"/>
                <w:sz w:val="20"/>
                <w:szCs w:val="20"/>
              </w:rPr>
              <w:t>专业：财税与金融</w:t>
            </w:r>
            <w:r>
              <w:t xml:space="preserve"> </w:t>
            </w:r>
          </w:p>
        </w:tc>
        <w:tc>
          <w:tcPr>
            <w:tcW w:w="175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学历：博士</w:t>
            </w:r>
            <w:r>
              <w:t xml:space="preserve"> </w:t>
            </w:r>
          </w:p>
        </w:tc>
        <w:tc>
          <w:tcPr>
            <w:tcW w:w="100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是否统招：否</w:t>
            </w:r>
            <w:r>
              <w:t xml:space="preserve"> </w:t>
            </w:r>
          </w:p>
        </w:tc>
      </w:tr>
    </w:tbl>
    <w:p w:rsidR="00224406" w:rsidRDefault="003E3152">
      <w:pPr>
        <w:pBdr>
          <w:bottom w:val="single" w:sz="6" w:space="1" w:color="auto"/>
        </w:pBdr>
        <w:tabs>
          <w:tab w:val="left" w:pos="4395"/>
        </w:tabs>
      </w:pPr>
      <w:r>
        <w:tab/>
        <w:t xml:space="preserve"> </w:t>
      </w:r>
    </w:p>
    <w:p w:rsidR="00224406" w:rsidRDefault="00224406">
      <w:pPr>
        <w:rPr>
          <w:rFonts w:ascii="STSong-Light" w:hAnsi="STSong-Light" w:cs="STSong-Light"/>
          <w:color w:val="auto"/>
          <w:sz w:val="20"/>
          <w:szCs w:val="2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224406">
        <w:tc>
          <w:tcPr>
            <w:tcW w:w="5000" w:type="pct"/>
            <w:gridSpan w:val="3"/>
            <w:shd w:val="clear" w:color="auto" w:fill="FFFFFF"/>
            <w:hideMark/>
          </w:tcPr>
          <w:p w:rsidR="00224406" w:rsidRDefault="003E3152">
            <w:pPr>
              <w:spacing w:line="300" w:lineRule="atLeast"/>
            </w:pPr>
            <w:r>
              <w:rPr>
                <w:rFonts w:ascii="STSong-Light" w:hAnsi="STSong-Light" w:cs="STSong-Light"/>
                <w:b/>
                <w:bCs/>
                <w:color w:val="auto"/>
                <w:kern w:val="2"/>
                <w:sz w:val="20"/>
                <w:szCs w:val="20"/>
              </w:rPr>
              <w:t>蒙特利尔大学</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2014.06-2014.12 </w:t>
            </w:r>
            <w:r>
              <w:rPr>
                <w:rFonts w:ascii="STSong-Light" w:hAnsi="STSong-Light" w:cs="STSong-Light"/>
                <w:b/>
                <w:bCs/>
                <w:color w:val="auto"/>
                <w:kern w:val="2"/>
                <w:sz w:val="20"/>
                <w:szCs w:val="20"/>
              </w:rPr>
              <w:t>）</w:t>
            </w:r>
            <w:r>
              <w:t xml:space="preserve"> </w:t>
            </w:r>
          </w:p>
        </w:tc>
      </w:tr>
      <w:tr w:rsidR="00224406">
        <w:tc>
          <w:tcPr>
            <w:tcW w:w="2250" w:type="pct"/>
            <w:shd w:val="clear" w:color="auto" w:fill="FFFFFF"/>
            <w:hideMark/>
          </w:tcPr>
          <w:p w:rsidR="00224406" w:rsidRDefault="003E3152">
            <w:r>
              <w:rPr>
                <w:rFonts w:ascii="STSong-Light" w:hAnsi="STSong-Light" w:cs="STSong-Light" w:hint="eastAsia"/>
                <w:color w:val="auto"/>
                <w:sz w:val="20"/>
                <w:szCs w:val="20"/>
              </w:rPr>
              <w:t>专业：劳动经济学</w:t>
            </w:r>
            <w:r>
              <w:t xml:space="preserve"> </w:t>
            </w:r>
          </w:p>
        </w:tc>
        <w:tc>
          <w:tcPr>
            <w:tcW w:w="175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学历：博士</w:t>
            </w:r>
            <w:r>
              <w:t xml:space="preserve"> </w:t>
            </w:r>
          </w:p>
        </w:tc>
        <w:tc>
          <w:tcPr>
            <w:tcW w:w="100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是否统招：否</w:t>
            </w:r>
            <w:r>
              <w:t xml:space="preserve"> </w:t>
            </w:r>
          </w:p>
        </w:tc>
      </w:tr>
    </w:tbl>
    <w:p w:rsidR="00224406" w:rsidRDefault="003E3152">
      <w:pPr>
        <w:pBdr>
          <w:bottom w:val="single" w:sz="6" w:space="1" w:color="auto"/>
        </w:pBdr>
        <w:tabs>
          <w:tab w:val="left" w:pos="4395"/>
        </w:tabs>
      </w:pPr>
      <w:r>
        <w:tab/>
        <w:t xml:space="preserve"> </w:t>
      </w:r>
    </w:p>
    <w:p w:rsidR="00224406" w:rsidRDefault="00224406">
      <w:pPr>
        <w:rPr>
          <w:rFonts w:ascii="STSong-Light" w:hAnsi="STSong-Light" w:cs="STSong-Light"/>
          <w:color w:val="auto"/>
          <w:sz w:val="20"/>
          <w:szCs w:val="20"/>
        </w:rPr>
      </w:pPr>
    </w:p>
    <w:tbl>
      <w:tblPr>
        <w:tblW w:w="5000" w:type="pct"/>
        <w:tblCellMar>
          <w:left w:w="0" w:type="dxa"/>
          <w:right w:w="0" w:type="dxa"/>
        </w:tblCellMar>
        <w:tblLook w:val="04A0" w:firstRow="1" w:lastRow="0" w:firstColumn="1" w:lastColumn="0" w:noHBand="0" w:noVBand="1"/>
      </w:tblPr>
      <w:tblGrid>
        <w:gridCol w:w="4711"/>
        <w:gridCol w:w="3663"/>
        <w:gridCol w:w="2093"/>
      </w:tblGrid>
      <w:tr w:rsidR="00224406">
        <w:tc>
          <w:tcPr>
            <w:tcW w:w="5000" w:type="pct"/>
            <w:gridSpan w:val="3"/>
            <w:shd w:val="clear" w:color="auto" w:fill="FFFFFF"/>
            <w:hideMark/>
          </w:tcPr>
          <w:p w:rsidR="00224406" w:rsidRDefault="003E3152">
            <w:pPr>
              <w:spacing w:line="300" w:lineRule="atLeast"/>
            </w:pPr>
            <w:r>
              <w:rPr>
                <w:rFonts w:ascii="STSong-Light" w:hAnsi="STSong-Light" w:cs="STSong-Light"/>
                <w:b/>
                <w:bCs/>
                <w:color w:val="auto"/>
                <w:kern w:val="2"/>
                <w:sz w:val="20"/>
                <w:szCs w:val="20"/>
              </w:rPr>
              <w:t>华中科技大学</w:t>
            </w:r>
            <w:r>
              <w:t xml:space="preserve"> </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 xml:space="preserve"> 2009.09-2011.12 </w:t>
            </w:r>
            <w:r>
              <w:rPr>
                <w:rFonts w:ascii="STSong-Light" w:hAnsi="STSong-Light" w:cs="STSong-Light"/>
                <w:b/>
                <w:bCs/>
                <w:color w:val="auto"/>
                <w:kern w:val="2"/>
                <w:sz w:val="20"/>
                <w:szCs w:val="20"/>
              </w:rPr>
              <w:t>）</w:t>
            </w:r>
            <w:r>
              <w:t xml:space="preserve"> </w:t>
            </w:r>
          </w:p>
        </w:tc>
      </w:tr>
      <w:tr w:rsidR="00224406">
        <w:tc>
          <w:tcPr>
            <w:tcW w:w="2250" w:type="pct"/>
            <w:shd w:val="clear" w:color="auto" w:fill="FFFFFF"/>
            <w:hideMark/>
          </w:tcPr>
          <w:p w:rsidR="00224406" w:rsidRDefault="003E3152">
            <w:r>
              <w:rPr>
                <w:rFonts w:ascii="STSong-Light" w:hAnsi="STSong-Light" w:cs="STSong-Light" w:hint="eastAsia"/>
                <w:color w:val="auto"/>
                <w:sz w:val="20"/>
                <w:szCs w:val="20"/>
              </w:rPr>
              <w:t>专业：经济法学</w:t>
            </w:r>
            <w:r>
              <w:t xml:space="preserve"> </w:t>
            </w:r>
          </w:p>
        </w:tc>
        <w:tc>
          <w:tcPr>
            <w:tcW w:w="175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学历：硕士</w:t>
            </w:r>
            <w:r>
              <w:t xml:space="preserve"> </w:t>
            </w:r>
          </w:p>
        </w:tc>
        <w:tc>
          <w:tcPr>
            <w:tcW w:w="1000" w:type="pct"/>
            <w:shd w:val="clear" w:color="auto" w:fill="FFFFFF"/>
            <w:hideMark/>
          </w:tcPr>
          <w:p w:rsidR="00224406" w:rsidRDefault="003E3152">
            <w:pPr>
              <w:rPr>
                <w:rFonts w:ascii="STSong-Light" w:hAnsi="STSong-Light" w:cs="STSong-Light"/>
                <w:color w:val="auto"/>
                <w:sz w:val="20"/>
                <w:szCs w:val="20"/>
              </w:rPr>
            </w:pPr>
            <w:r>
              <w:rPr>
                <w:rFonts w:ascii="STSong-Light" w:hAnsi="STSong-Light" w:cs="STSong-Light" w:hint="eastAsia"/>
                <w:color w:val="auto"/>
                <w:sz w:val="20"/>
                <w:szCs w:val="20"/>
              </w:rPr>
              <w:t>是否统招：是</w:t>
            </w:r>
            <w:r>
              <w:t xml:space="preserve"> </w:t>
            </w:r>
          </w:p>
        </w:tc>
      </w:tr>
      <w:bookmarkEnd w:id="1"/>
      <w:bookmarkEnd w:id="2"/>
    </w:tbl>
    <w:p w:rsidR="00224406" w:rsidRDefault="00224406">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224406">
        <w:tc>
          <w:tcPr>
            <w:tcW w:w="10467" w:type="dxa"/>
            <w:tcBorders>
              <w:top w:val="nil"/>
              <w:left w:val="nil"/>
              <w:bottom w:val="single" w:sz="18" w:space="0" w:color="404040"/>
              <w:right w:val="nil"/>
            </w:tcBorders>
            <w:shd w:val="clear" w:color="auto" w:fill="FFFFFF"/>
            <w:hideMark/>
          </w:tcPr>
          <w:p w:rsidR="00224406" w:rsidRDefault="003E315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语言能力</w:t>
            </w:r>
            <w:r>
              <w:t xml:space="preserve"> </w:t>
            </w:r>
          </w:p>
        </w:tc>
      </w:tr>
    </w:tbl>
    <w:p w:rsidR="00224406" w:rsidRDefault="00224406">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224406">
        <w:tc>
          <w:tcPr>
            <w:tcW w:w="10467"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b/>
                <w:bCs/>
                <w:color w:val="auto"/>
                <w:kern w:val="2"/>
                <w:sz w:val="20"/>
                <w:szCs w:val="20"/>
              </w:rPr>
              <w:t>英语</w:t>
            </w:r>
            <w:r>
              <w:rPr>
                <w:rFonts w:ascii="STSong-Light" w:hAnsi="STSong-Light" w:cs="STSong-Light"/>
                <w:b/>
                <w:bCs/>
                <w:color w:val="auto"/>
                <w:kern w:val="2"/>
                <w:sz w:val="20"/>
                <w:szCs w:val="20"/>
              </w:rPr>
              <w:t>(CET6</w:t>
            </w:r>
            <w:r>
              <w:rPr>
                <w:rFonts w:ascii="STSong-Light" w:hAnsi="STSong-Light" w:cs="STSong-Light"/>
                <w:b/>
                <w:bCs/>
                <w:color w:val="auto"/>
                <w:kern w:val="2"/>
                <w:sz w:val="20"/>
                <w:szCs w:val="20"/>
              </w:rPr>
              <w:t>、商务洽谈</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、普通话</w:t>
            </w:r>
            <w:r>
              <w:rPr>
                <w:rFonts w:ascii="STSong-Light" w:hAnsi="STSong-Light" w:cs="STSong-Light"/>
                <w:b/>
                <w:bCs/>
                <w:color w:val="auto"/>
                <w:kern w:val="2"/>
                <w:sz w:val="20"/>
                <w:szCs w:val="20"/>
              </w:rPr>
              <w:t>(</w:t>
            </w:r>
            <w:r>
              <w:rPr>
                <w:rFonts w:ascii="STSong-Light" w:hAnsi="STSong-Light" w:cs="STSong-Light"/>
                <w:b/>
                <w:bCs/>
                <w:color w:val="auto"/>
                <w:kern w:val="2"/>
                <w:sz w:val="20"/>
                <w:szCs w:val="20"/>
              </w:rPr>
              <w:t>一级乙等</w:t>
            </w:r>
            <w:r>
              <w:rPr>
                <w:rFonts w:ascii="STSong-Light" w:hAnsi="STSong-Light" w:cs="STSong-Light"/>
                <w:b/>
                <w:bCs/>
                <w:color w:val="auto"/>
                <w:kern w:val="2"/>
                <w:sz w:val="20"/>
                <w:szCs w:val="20"/>
              </w:rPr>
              <w:t>)</w:t>
            </w:r>
            <w:r>
              <w:t xml:space="preserve"> </w:t>
            </w:r>
          </w:p>
        </w:tc>
      </w:tr>
    </w:tbl>
    <w:p w:rsidR="00224406" w:rsidRDefault="00224406">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224406">
        <w:tc>
          <w:tcPr>
            <w:tcW w:w="10467" w:type="dxa"/>
            <w:tcBorders>
              <w:top w:val="nil"/>
              <w:left w:val="nil"/>
              <w:bottom w:val="single" w:sz="18" w:space="0" w:color="404040"/>
              <w:right w:val="nil"/>
            </w:tcBorders>
            <w:shd w:val="clear" w:color="auto" w:fill="FFFFFF"/>
            <w:hideMark/>
          </w:tcPr>
          <w:p w:rsidR="00224406" w:rsidRDefault="003E315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自我评价</w:t>
            </w:r>
            <w:r>
              <w:t xml:space="preserve"> </w:t>
            </w:r>
          </w:p>
        </w:tc>
      </w:tr>
    </w:tbl>
    <w:p w:rsidR="00224406" w:rsidRDefault="00224406">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224406">
        <w:tc>
          <w:tcPr>
            <w:tcW w:w="10467"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30</w:t>
            </w:r>
            <w:r>
              <w:rPr>
                <w:rFonts w:ascii="STSong-Light" w:hAnsi="STSong-Light" w:cs="STSong-Light" w:hint="eastAsia"/>
                <w:color w:val="auto"/>
                <w:kern w:val="2"/>
                <w:sz w:val="20"/>
                <w:szCs w:val="20"/>
              </w:rPr>
              <w:t>岁是人生的黄金年龄，也是一个心智愈发成熟的年龄。这些年来，读书、工作、留学、成家，时光匆匆，这其中既有无数的掌声和肯定，也有学业的挫折和困惑；既有对未来家庭美好生活的笃定，也有对事业生活起伏的些许焦虑。家庭和事业究竟哪个更重要？生活和工作到底如何更好的平衡？在焦虑泛滥的时代，身为凡夫俗子的我，三十依旧尚难“不惑”，然而，对于“四十而立”我却满怀希望。在这一刻，带着对家庭沉甸甸的责任，对事业发展的激情和期许，继续前行，不禁扪心自问：我该如何将自己铸造成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在职业发展路径上，我先后在高校智库、银行、基金公司等工作，具有</w:t>
            </w:r>
            <w:r>
              <w:rPr>
                <w:rFonts w:ascii="STSong-Light" w:hAnsi="STSong-Light" w:cs="STSong-Light" w:hint="eastAsia"/>
                <w:color w:val="auto"/>
                <w:kern w:val="2"/>
                <w:sz w:val="20"/>
                <w:szCs w:val="20"/>
              </w:rPr>
              <w:t>6</w:t>
            </w:r>
            <w:r>
              <w:rPr>
                <w:rFonts w:ascii="STSong-Light" w:hAnsi="STSong-Light" w:cs="STSong-Light" w:hint="eastAsia"/>
                <w:color w:val="auto"/>
                <w:kern w:val="2"/>
                <w:sz w:val="20"/>
                <w:szCs w:val="20"/>
              </w:rPr>
              <w:t>年左右宏观经济和战略研究经验；承接过多项重大课题研究项目，在国内外期刊媒体上发表几十篇论文；组织过国际高端学术会议，与国内知名经济学家、监管部门建立了良好互动关系。我的理念是在年轻的时候甘愿受苦，通过积极主动的学习和努力做到“专业立身”，未来使自己成为国内行业研究专家和合格的团队管理者。</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我是在路上的学习者。我受过系统的法律和经济学专业教育，多次荣获国家奖学金和学术奖励，科研能力强，学术成果多；在加拿大、台湾、美国等地均进行过交流学习，视野开阔，精通英语。目前我在积极学习会计和财务知识。</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我是重视团队的参与者。从大学起，我在课余时间勤工助学和兼职，自己支付生活费和部分学费，并在足球、篮球和舞蹈等团队比赛中多次获奖，团队活动使我具有了极强的归属感。在多项项目的推进中，作为参与者我都能很好的融入到集体工作中，协调和配合项目推进。</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我是注重效率的领导者，我一直担任学生会干部，这让我具备做事干练、果断的品格，较好的沟通和协调能力。我重视进行项目管理的组织和实施，对一项工作会提前制定详细规划，听取团队成员的意见，形成方案后就会按照“任务分解”和“时间分解”的方式，快速有序的逐步推进。并在推进过程中及时进行节点把关和信息反馈。</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我是爱好自然的生活者。我兴趣爱好较为广泛，热爱写作，擅长篮球、羽毛球，多次代表公司出战并获奖，尤其是喜欢跑步、登山，这使我具有了良好的身体素质和坚定的意志品质。我热心公益，曾多次参加孤寡老人献爱心、社区垃圾分类回收等公益活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虽然我取得了一定的成绩，也获得了很多的肯定，但在成长的道路上，我依旧存在着很大的不足。“朝闻道夕死可矣”，我需要继续加强知识的迭代和更新，不断提高自己的团队管理能力和专业能力，争取将自己真正铸造成器。</w:t>
            </w:r>
            <w:r>
              <w:t xml:space="preserve"> </w:t>
            </w:r>
          </w:p>
        </w:tc>
      </w:tr>
    </w:tbl>
    <w:p w:rsidR="00224406" w:rsidRDefault="00224406">
      <w:pPr>
        <w:rPr>
          <w:rFonts w:ascii="STSong-Light" w:hAnsi="STSong-Light" w:cs="STSong-Light"/>
          <w:color w:val="auto"/>
          <w:sz w:val="20"/>
          <w:szCs w:val="20"/>
        </w:rPr>
      </w:pPr>
    </w:p>
    <w:tbl>
      <w:tblPr>
        <w:tblW w:w="1046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CellMar>
          <w:left w:w="0" w:type="dxa"/>
          <w:right w:w="0" w:type="dxa"/>
        </w:tblCellMar>
        <w:tblLook w:val="04A0" w:firstRow="1" w:lastRow="0" w:firstColumn="1" w:lastColumn="0" w:noHBand="0" w:noVBand="1"/>
      </w:tblPr>
      <w:tblGrid>
        <w:gridCol w:w="10467"/>
      </w:tblGrid>
      <w:tr w:rsidR="00224406">
        <w:tc>
          <w:tcPr>
            <w:tcW w:w="10467" w:type="dxa"/>
            <w:tcBorders>
              <w:top w:val="nil"/>
              <w:left w:val="nil"/>
              <w:bottom w:val="single" w:sz="18" w:space="0" w:color="404040"/>
              <w:right w:val="nil"/>
            </w:tcBorders>
            <w:shd w:val="clear" w:color="auto" w:fill="FFFFFF"/>
            <w:hideMark/>
          </w:tcPr>
          <w:p w:rsidR="00224406" w:rsidRDefault="003E3152">
            <w:pPr>
              <w:spacing w:line="300" w:lineRule="atLeast"/>
              <w:rPr>
                <w:rFonts w:ascii="STSong-Light" w:hAnsi="STSong-Light" w:cs="STSong-Light"/>
                <w:color w:val="404040"/>
                <w:kern w:val="2"/>
                <w:sz w:val="30"/>
                <w:szCs w:val="30"/>
              </w:rPr>
            </w:pPr>
            <w:r>
              <w:rPr>
                <w:rFonts w:ascii="STSong-Light" w:hAnsi="STSong-Light" w:cs="STSong-Light" w:hint="eastAsia"/>
                <w:b/>
                <w:bCs/>
                <w:color w:val="404040"/>
                <w:kern w:val="2"/>
                <w:sz w:val="30"/>
                <w:szCs w:val="30"/>
              </w:rPr>
              <w:t>附加信息</w:t>
            </w:r>
            <w:r>
              <w:t xml:space="preserve"> </w:t>
            </w:r>
          </w:p>
        </w:tc>
      </w:tr>
    </w:tbl>
    <w:p w:rsidR="00224406" w:rsidRDefault="00224406">
      <w:pPr>
        <w:rPr>
          <w:rFonts w:ascii="STSong-Light" w:hAnsi="STSong-Light" w:cs="STSong-Light"/>
          <w:color w:val="404040"/>
          <w:sz w:val="30"/>
          <w:szCs w:val="30"/>
        </w:rPr>
      </w:pPr>
    </w:p>
    <w:tbl>
      <w:tblPr>
        <w:tblW w:w="10467" w:type="dxa"/>
        <w:tblCellMar>
          <w:left w:w="0" w:type="dxa"/>
          <w:right w:w="0" w:type="dxa"/>
        </w:tblCellMar>
        <w:tblLook w:val="04A0" w:firstRow="1" w:lastRow="0" w:firstColumn="1" w:lastColumn="0" w:noHBand="0" w:noVBand="1"/>
      </w:tblPr>
      <w:tblGrid>
        <w:gridCol w:w="10467"/>
      </w:tblGrid>
      <w:tr w:rsidR="00224406">
        <w:tc>
          <w:tcPr>
            <w:tcW w:w="10467" w:type="dxa"/>
            <w:shd w:val="clear" w:color="auto" w:fill="FFFFFF"/>
            <w:hideMark/>
          </w:tcPr>
          <w:p w:rsidR="00224406" w:rsidRDefault="003E3152">
            <w:pPr>
              <w:rPr>
                <w:rFonts w:ascii="STSong-Light" w:hAnsi="STSong-Light" w:cs="STSong-Light"/>
                <w:color w:val="auto"/>
                <w:kern w:val="2"/>
                <w:sz w:val="20"/>
                <w:szCs w:val="20"/>
              </w:rPr>
            </w:pPr>
            <w:r>
              <w:rPr>
                <w:rFonts w:ascii="STSong-Light" w:hAnsi="STSong-Light" w:cs="STSong-Light" w:hint="eastAsia"/>
                <w:color w:val="auto"/>
                <w:kern w:val="2"/>
                <w:sz w:val="20"/>
                <w:szCs w:val="20"/>
              </w:rPr>
              <w:t>2018-2019</w:t>
            </w:r>
            <w:r>
              <w:rPr>
                <w:rFonts w:ascii="STSong-Light" w:hAnsi="STSong-Light" w:cs="STSong-Light" w:hint="eastAsia"/>
                <w:color w:val="auto"/>
                <w:kern w:val="2"/>
                <w:sz w:val="20"/>
                <w:szCs w:val="20"/>
              </w:rPr>
              <w:t>年获挖财基金</w:t>
            </w:r>
            <w:r>
              <w:rPr>
                <w:rFonts w:ascii="STSong-Light" w:hAnsi="STSong-Light" w:cs="STSong-Light" w:hint="eastAsia"/>
                <w:color w:val="auto"/>
                <w:kern w:val="2"/>
                <w:sz w:val="20"/>
                <w:szCs w:val="20"/>
              </w:rPr>
              <w:t>-</w:t>
            </w:r>
            <w:proofErr w:type="gramStart"/>
            <w:r>
              <w:rPr>
                <w:rFonts w:ascii="STSong-Light" w:hAnsi="STSong-Light" w:cs="STSong-Light" w:hint="eastAsia"/>
                <w:color w:val="auto"/>
                <w:kern w:val="2"/>
                <w:sz w:val="20"/>
                <w:szCs w:val="20"/>
              </w:rPr>
              <w:t>卓跃财富</w:t>
            </w:r>
            <w:proofErr w:type="gramEnd"/>
            <w:r>
              <w:rPr>
                <w:rFonts w:ascii="STSong-Light" w:hAnsi="STSong-Light" w:cs="STSong-Light" w:hint="eastAsia"/>
                <w:color w:val="auto"/>
                <w:kern w:val="2"/>
                <w:sz w:val="20"/>
                <w:szCs w:val="20"/>
              </w:rPr>
              <w:t>“</w:t>
            </w:r>
            <w:r>
              <w:rPr>
                <w:rFonts w:ascii="STSong-Light" w:hAnsi="STSong-Light" w:cs="STSong-Light" w:hint="eastAsia"/>
                <w:color w:val="auto"/>
                <w:kern w:val="2"/>
                <w:sz w:val="20"/>
                <w:szCs w:val="20"/>
              </w:rPr>
              <w:t>Q3</w:t>
            </w:r>
            <w:r>
              <w:rPr>
                <w:rFonts w:ascii="STSong-Light" w:hAnsi="STSong-Light" w:cs="STSong-Light" w:hint="eastAsia"/>
                <w:color w:val="auto"/>
                <w:kern w:val="2"/>
                <w:sz w:val="20"/>
                <w:szCs w:val="20"/>
              </w:rPr>
              <w:t>季度激情工作奖”，</w:t>
            </w:r>
            <w:r>
              <w:rPr>
                <w:rFonts w:ascii="STSong-Light" w:hAnsi="STSong-Light" w:cs="STSong-Light" w:hint="eastAsia"/>
                <w:color w:val="auto"/>
                <w:kern w:val="2"/>
                <w:sz w:val="20"/>
                <w:szCs w:val="20"/>
              </w:rPr>
              <w:t>2019</w:t>
            </w:r>
            <w:r>
              <w:rPr>
                <w:rFonts w:ascii="STSong-Light" w:hAnsi="STSong-Light" w:cs="STSong-Light" w:hint="eastAsia"/>
                <w:color w:val="auto"/>
                <w:kern w:val="2"/>
                <w:sz w:val="20"/>
                <w:szCs w:val="20"/>
              </w:rPr>
              <w:t>年集团公司“”挖财栋梁</w:t>
            </w:r>
            <w:proofErr w:type="gramStart"/>
            <w:r>
              <w:rPr>
                <w:rFonts w:ascii="STSong-Light" w:hAnsi="STSong-Light" w:cs="STSong-Light" w:hint="eastAsia"/>
                <w:color w:val="auto"/>
                <w:kern w:val="2"/>
                <w:sz w:val="20"/>
                <w:szCs w:val="20"/>
              </w:rPr>
              <w:t>”</w:t>
            </w:r>
            <w:proofErr w:type="gramEnd"/>
            <w:r>
              <w:rPr>
                <w:rFonts w:ascii="STSong-Light" w:hAnsi="STSong-Light" w:cs="STSong-Light" w:hint="eastAsia"/>
                <w:color w:val="auto"/>
                <w:kern w:val="2"/>
                <w:sz w:val="20"/>
                <w:szCs w:val="20"/>
              </w:rPr>
              <w:t>年度荣誉称号</w:t>
            </w:r>
            <w:r>
              <w:rPr>
                <w:rFonts w:ascii="STSong-Light" w:hAnsi="STSong-Light" w:cs="STSong-Light" w:hint="eastAsia"/>
                <w:color w:val="auto"/>
                <w:kern w:val="2"/>
                <w:sz w:val="20"/>
                <w:szCs w:val="20"/>
              </w:rPr>
              <w:br/>
              <w:t>2016</w:t>
            </w:r>
            <w:r>
              <w:rPr>
                <w:rFonts w:ascii="STSong-Light" w:hAnsi="STSong-Light" w:cs="STSong-Light" w:hint="eastAsia"/>
                <w:color w:val="auto"/>
                <w:kern w:val="2"/>
                <w:sz w:val="20"/>
                <w:szCs w:val="20"/>
              </w:rPr>
              <w:t>年获得兴业银行“青蓝飞扬”优秀学员</w:t>
            </w:r>
            <w:r>
              <w:rPr>
                <w:rFonts w:ascii="STSong-Light" w:hAnsi="STSong-Light" w:cs="STSong-Light" w:hint="eastAsia"/>
                <w:color w:val="auto"/>
                <w:kern w:val="2"/>
                <w:sz w:val="20"/>
                <w:szCs w:val="20"/>
              </w:rPr>
              <w:br/>
              <w:t>2013-2015</w:t>
            </w:r>
            <w:r>
              <w:rPr>
                <w:rFonts w:ascii="STSong-Light" w:hAnsi="STSong-Light" w:cs="STSong-Light" w:hint="eastAsia"/>
                <w:color w:val="auto"/>
                <w:kern w:val="2"/>
                <w:sz w:val="20"/>
                <w:szCs w:val="20"/>
              </w:rPr>
              <w:t>年连续两年获得教育部国家奖学金、连续三年获得上海财经大学优秀学生干部、</w:t>
            </w:r>
            <w:r>
              <w:rPr>
                <w:rFonts w:ascii="STSong-Light" w:hAnsi="STSong-Light" w:cs="STSong-Light" w:hint="eastAsia"/>
                <w:color w:val="auto"/>
                <w:kern w:val="2"/>
                <w:sz w:val="20"/>
                <w:szCs w:val="20"/>
              </w:rPr>
              <w:br/>
            </w:r>
            <w:r>
              <w:rPr>
                <w:rFonts w:ascii="STSong-Light" w:hAnsi="STSong-Light" w:cs="STSong-Light" w:hint="eastAsia"/>
                <w:color w:val="auto"/>
                <w:kern w:val="2"/>
                <w:sz w:val="20"/>
                <w:szCs w:val="20"/>
              </w:rPr>
              <w:t>上海财经大学一等国家奖学金；获得优秀先进个人</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次、优秀团干部</w:t>
            </w:r>
            <w:r>
              <w:rPr>
                <w:rFonts w:ascii="STSong-Light" w:hAnsi="STSong-Light" w:cs="STSong-Light" w:hint="eastAsia"/>
                <w:color w:val="auto"/>
                <w:kern w:val="2"/>
                <w:sz w:val="20"/>
                <w:szCs w:val="20"/>
              </w:rPr>
              <w:t>2</w:t>
            </w:r>
            <w:r>
              <w:rPr>
                <w:rFonts w:ascii="STSong-Light" w:hAnsi="STSong-Light" w:cs="STSong-Light" w:hint="eastAsia"/>
                <w:color w:val="auto"/>
                <w:kern w:val="2"/>
                <w:sz w:val="20"/>
                <w:szCs w:val="20"/>
              </w:rPr>
              <w:t>次；</w:t>
            </w:r>
            <w:r>
              <w:rPr>
                <w:rFonts w:ascii="STSong-Light" w:hAnsi="STSong-Light" w:cs="STSong-Light" w:hint="eastAsia"/>
                <w:color w:val="auto"/>
                <w:kern w:val="2"/>
                <w:sz w:val="20"/>
                <w:szCs w:val="20"/>
              </w:rPr>
              <w:br/>
              <w:t>2015</w:t>
            </w:r>
            <w:r>
              <w:rPr>
                <w:rFonts w:ascii="STSong-Light" w:hAnsi="STSong-Light" w:cs="STSong-Light" w:hint="eastAsia"/>
                <w:color w:val="auto"/>
                <w:kern w:val="2"/>
                <w:sz w:val="20"/>
                <w:szCs w:val="20"/>
              </w:rPr>
              <w:t>年获得上海财经大学“优秀毕业生”</w:t>
            </w:r>
            <w:r>
              <w:rPr>
                <w:rFonts w:ascii="STSong-Light" w:hAnsi="STSong-Light" w:cs="STSong-Light" w:hint="eastAsia"/>
                <w:color w:val="auto"/>
                <w:kern w:val="2"/>
                <w:sz w:val="20"/>
                <w:szCs w:val="20"/>
              </w:rPr>
              <w:br/>
              <w:t>2011-2012</w:t>
            </w:r>
            <w:r>
              <w:rPr>
                <w:rFonts w:ascii="STSong-Light" w:hAnsi="STSong-Light" w:cs="STSong-Light" w:hint="eastAsia"/>
                <w:color w:val="auto"/>
                <w:kern w:val="2"/>
                <w:sz w:val="20"/>
                <w:szCs w:val="20"/>
              </w:rPr>
              <w:t>年获得华中科技大学“优秀毕业生”“优秀研究生干部”“课程学习优秀奖”；获得华中科技大学“优秀研究生干部”“篮球联赛男子乙组第三名”；论文获得湖北省经济法学会优秀论文二等奖；第八届研究生“才艺十佳”季军</w:t>
            </w:r>
            <w:r>
              <w:rPr>
                <w:rFonts w:ascii="STSong-Light" w:hAnsi="STSong-Light" w:cs="STSong-Light" w:hint="eastAsia"/>
                <w:color w:val="auto"/>
                <w:kern w:val="2"/>
                <w:sz w:val="20"/>
                <w:szCs w:val="20"/>
              </w:rPr>
              <w:br/>
              <w:t>2009-2010</w:t>
            </w:r>
            <w:r>
              <w:rPr>
                <w:rFonts w:ascii="STSong-Light" w:hAnsi="STSong-Light" w:cs="STSong-Light" w:hint="eastAsia"/>
                <w:color w:val="auto"/>
                <w:kern w:val="2"/>
                <w:sz w:val="20"/>
                <w:szCs w:val="20"/>
              </w:rPr>
              <w:t>年获得华中科技大学“课程学习优秀奖”；论文获得湖北省经济法学会优秀论文二等奖；辩论赛优秀辩手。获得华中科技大学“课程学习优秀奖”；论文获得湖北省法律经济学年会优秀论文三等奖</w:t>
            </w:r>
          </w:p>
        </w:tc>
      </w:tr>
    </w:tbl>
    <w:p w:rsidR="003E3152" w:rsidRDefault="003E3152">
      <w:pPr>
        <w:rPr>
          <w:rFonts w:cs="Times New Roman"/>
        </w:rPr>
      </w:pPr>
    </w:p>
    <w:sectPr w:rsidR="003E3152">
      <w:pgSz w:w="11907" w:h="16840"/>
      <w:pgMar w:top="720" w:right="720" w:bottom="720" w:left="720" w:header="720" w:footer="720"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宋 体">
    <w:charset w:val="50"/>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Heiti SC Light">
    <w:charset w:val="50"/>
    <w:family w:val="auto"/>
    <w:pitch w:val="variable"/>
    <w:sig w:usb0="8000002F" w:usb1="080E004A" w:usb2="00000010" w:usb3="00000000" w:csb0="00040000" w:csb1="00000000"/>
  </w:font>
  <w:font w:name="STSong-Light">
    <w:altName w:val="Times New Roman"/>
    <w:panose1 w:val="00000000000000000000"/>
    <w:charset w:val="00"/>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0"/>
  <w:drawingGridVerticalSpacing w:val="0"/>
  <w:displayHorizontalDrawingGridEvery w:val="0"/>
  <w:displayVerticalDrawingGridEvery w:val="3"/>
  <w:doNotUseMarginsForDrawingGridOrigin/>
  <w:doNotShadeFormData/>
  <w:characterSpacingControl w:val="compressPunctuation"/>
  <w:noLineBreaksAfter w:lang="ja-JP" w:val="$([{￡￥・‘“〈《「『【〔〖〝﹙﹛﹝＄（．［｛￡￥"/>
  <w:noLineBreaksBefore w:lang="ja-JP" w:val="!%),.:;&gt;?]}￠¨°・ˇˉ―∥’”‰′″›℃∶、。〃〉》」』】〕〗〞?????﹚﹜﹞！＂％＇），．：；？］｀｜｝～￠             "/>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layoutRawTableWidth/>
    <w:layoutTableRowsApart/>
    <w:useWord97LineBreakRules/>
    <w:doNotSnapToGridInCell/>
    <w:selectFldWithFirstOrLastChar/>
    <w:doNotWrapTextWithPunct/>
    <w:doNotUseEastAsianBreakRules/>
    <w:useWord2002TableStyleRules/>
    <w:growAutofit/>
    <w:useFELayou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281C5E"/>
    <w:rsid w:val="00224406"/>
    <w:rsid w:val="00281C5E"/>
    <w:rsid w:val="003E3152"/>
    <w:rsid w:val="005E0DD7"/>
  </w:rsids>
  <m:mathPr>
    <m:mathFont m:val="Cambria Math"/>
    <m:brkBin m:val="before"/>
    <m:brkBinSub m:val="--"/>
    <m:smallFrac m:val="0"/>
    <m:dispDef/>
    <m:lMargin m:val="0"/>
    <m:rMargin m:val="0"/>
    <m:defJc m:val="centerGroup"/>
    <m:wrapIndent m:val="1440"/>
    <m:intLim m:val="subSup"/>
    <m:naryLim m:val="undOvr"/>
  </m:mathPr>
  <w:attachedSchema w:val="http://macVmlSchemaUri"/>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EastAsia" w:hAnsi="Calibri" w:cs="Calibri"/>
        <w:szCs w:val="21"/>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semiHidden="0" w:unhideWhenUsed="0" w:qFormat="1"/>
    <w:lsdException w:name="heading 3" w:semiHidden="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autoSpaceDE w:val="0"/>
      <w:autoSpaceDN w:val="0"/>
      <w:adjustRightInd w:val="0"/>
    </w:pPr>
    <w:rPr>
      <w:rFonts w:ascii="Arial" w:hAnsi="Arial" w:cstheme="minorBidi"/>
      <w:color w:val="000000"/>
      <w:sz w:val="24"/>
      <w:szCs w:val="24"/>
    </w:rPr>
  </w:style>
  <w:style w:type="paragraph" w:styleId="1">
    <w:name w:val="heading 1"/>
    <w:basedOn w:val="a"/>
    <w:link w:val="1Char"/>
    <w:uiPriority w:val="99"/>
    <w:qFormat/>
    <w:pPr>
      <w:outlineLvl w:val="0"/>
    </w:pPr>
    <w:rPr>
      <w:rFonts w:eastAsia="宋 体"/>
      <w:b/>
      <w:bCs/>
      <w:sz w:val="32"/>
      <w:szCs w:val="32"/>
    </w:rPr>
  </w:style>
  <w:style w:type="paragraph" w:styleId="2">
    <w:name w:val="heading 2"/>
    <w:basedOn w:val="a"/>
    <w:link w:val="2Char"/>
    <w:uiPriority w:val="99"/>
    <w:qFormat/>
    <w:pPr>
      <w:outlineLvl w:val="1"/>
    </w:pPr>
    <w:rPr>
      <w:rFonts w:eastAsia="宋 体"/>
      <w:b/>
      <w:bCs/>
      <w:i/>
      <w:iCs/>
      <w:sz w:val="28"/>
      <w:szCs w:val="28"/>
    </w:rPr>
  </w:style>
  <w:style w:type="paragraph" w:styleId="3">
    <w:name w:val="heading 3"/>
    <w:basedOn w:val="a"/>
    <w:link w:val="3Char"/>
    <w:uiPriority w:val="99"/>
    <w:qFormat/>
    <w:pPr>
      <w:outlineLvl w:val="2"/>
    </w:pPr>
    <w:rPr>
      <w:rFonts w:eastAsia="宋 体"/>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themeColor="hyperlink"/>
      <w:u w:val="single"/>
    </w:rPr>
  </w:style>
  <w:style w:type="character" w:styleId="a4">
    <w:name w:val="FollowedHyperlink"/>
    <w:basedOn w:val="a0"/>
    <w:uiPriority w:val="99"/>
    <w:semiHidden/>
    <w:unhideWhenUsed/>
    <w:rPr>
      <w:color w:val="800080" w:themeColor="followedHyperlink"/>
      <w:u w:val="single"/>
    </w:rPr>
  </w:style>
  <w:style w:type="character" w:customStyle="1" w:styleId="1Char">
    <w:name w:val="标题 1 Char"/>
    <w:basedOn w:val="a0"/>
    <w:link w:val="1"/>
    <w:uiPriority w:val="99"/>
    <w:rPr>
      <w:rFonts w:ascii="Arial" w:eastAsiaTheme="minorEastAsia" w:hAnsi="Arial" w:cstheme="minorBidi"/>
      <w:b/>
      <w:bCs/>
      <w:color w:val="000000"/>
      <w:kern w:val="44"/>
      <w:sz w:val="44"/>
      <w:szCs w:val="44"/>
    </w:rPr>
  </w:style>
  <w:style w:type="character" w:customStyle="1" w:styleId="2Char">
    <w:name w:val="标题 2 Char"/>
    <w:basedOn w:val="a0"/>
    <w:link w:val="2"/>
    <w:uiPriority w:val="99"/>
    <w:rPr>
      <w:rFonts w:asciiTheme="majorHAnsi" w:eastAsiaTheme="majorEastAsia" w:hAnsiTheme="majorHAnsi" w:cstheme="majorBidi"/>
      <w:b/>
      <w:bCs/>
      <w:color w:val="000000"/>
      <w:sz w:val="32"/>
      <w:szCs w:val="32"/>
    </w:rPr>
  </w:style>
  <w:style w:type="character" w:customStyle="1" w:styleId="3Char">
    <w:name w:val="标题 3 Char"/>
    <w:basedOn w:val="a0"/>
    <w:link w:val="3"/>
    <w:uiPriority w:val="99"/>
    <w:rPr>
      <w:rFonts w:ascii="Arial" w:eastAsiaTheme="minorEastAsia" w:hAnsi="Arial" w:cstheme="minorBidi"/>
      <w:b/>
      <w:bCs/>
      <w:color w:val="000000"/>
      <w:sz w:val="32"/>
      <w:szCs w:val="32"/>
    </w:rPr>
  </w:style>
  <w:style w:type="paragraph" w:styleId="a5">
    <w:name w:val="header"/>
    <w:basedOn w:val="a"/>
    <w:uiPriority w:val="99"/>
    <w:semiHidden/>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uiPriority w:val="99"/>
    <w:semiHidden/>
    <w:locked/>
    <w:rPr>
      <w:rFonts w:ascii="Arial" w:eastAsiaTheme="minorEastAsia" w:hAnsi="Arial" w:cstheme="minorBidi" w:hint="default"/>
      <w:color w:val="000000"/>
      <w:sz w:val="18"/>
      <w:szCs w:val="18"/>
    </w:rPr>
  </w:style>
  <w:style w:type="paragraph" w:styleId="a6">
    <w:name w:val="footer"/>
    <w:basedOn w:val="a"/>
    <w:uiPriority w:val="99"/>
    <w:semiHidden/>
    <w:unhideWhenUsed/>
    <w:pPr>
      <w:tabs>
        <w:tab w:val="center" w:pos="4153"/>
        <w:tab w:val="right" w:pos="8306"/>
      </w:tabs>
      <w:snapToGrid w:val="0"/>
    </w:pPr>
    <w:rPr>
      <w:sz w:val="18"/>
      <w:szCs w:val="18"/>
    </w:rPr>
  </w:style>
  <w:style w:type="character" w:customStyle="1" w:styleId="Char0">
    <w:name w:val="页脚 Char"/>
    <w:basedOn w:val="a0"/>
    <w:uiPriority w:val="99"/>
    <w:semiHidden/>
    <w:locked/>
    <w:rPr>
      <w:rFonts w:ascii="Arial" w:eastAsiaTheme="minorEastAsia" w:hAnsi="Arial" w:cstheme="minorBidi" w:hint="default"/>
      <w:color w:val="000000"/>
      <w:sz w:val="18"/>
      <w:szCs w:val="18"/>
    </w:rPr>
  </w:style>
  <w:style w:type="paragraph" w:styleId="a7">
    <w:name w:val="Balloon Text"/>
    <w:basedOn w:val="a"/>
    <w:link w:val="Char1"/>
    <w:uiPriority w:val="99"/>
    <w:semiHidden/>
    <w:unhideWhenUsed/>
    <w:rPr>
      <w:sz w:val="18"/>
      <w:szCs w:val="18"/>
    </w:rPr>
  </w:style>
  <w:style w:type="character" w:customStyle="1" w:styleId="Char1">
    <w:name w:val="批注框文本 Char"/>
    <w:basedOn w:val="a0"/>
    <w:link w:val="a7"/>
    <w:uiPriority w:val="99"/>
    <w:semiHidden/>
    <w:rPr>
      <w:rFonts w:ascii="Arial" w:eastAsiaTheme="minorEastAsia" w:hAnsi="Arial" w:cstheme="minorBidi"/>
      <w:color w:val="000000"/>
      <w:sz w:val="18"/>
      <w:szCs w:val="18"/>
    </w:rPr>
  </w:style>
  <w:style w:type="paragraph" w:customStyle="1" w:styleId="a8">
    <w:name w:val="a"/>
    <w:basedOn w:val="a"/>
  </w:style>
  <w:style w:type="paragraph" w:customStyle="1" w:styleId="10">
    <w:name w:val="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0">
    <w:name w:val="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0">
    <w:name w:val="3"/>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1">
    <w:name w:val="1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21">
    <w:name w:val="2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31">
    <w:name w:val="31"/>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00">
    <w:name w:val="10"/>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2">
    <w:name w:val="12"/>
    <w:basedOn w:val="a"/>
    <w:pPr>
      <w:widowControl/>
      <w:autoSpaceDE/>
      <w:autoSpaceDN/>
      <w:adjustRightInd/>
      <w:spacing w:before="100" w:beforeAutospacing="1" w:after="100" w:afterAutospacing="1"/>
    </w:pPr>
    <w:rPr>
      <w:rFonts w:ascii="宋体" w:eastAsia="宋体" w:hAnsi="宋体" w:cs="宋体"/>
      <w:color w:val="auto"/>
    </w:rPr>
  </w:style>
  <w:style w:type="paragraph" w:customStyle="1" w:styleId="13">
    <w:name w:val="13"/>
    <w:basedOn w:val="a"/>
    <w:pPr>
      <w:widowControl/>
      <w:autoSpaceDE/>
      <w:autoSpaceDN/>
      <w:adjustRightInd/>
      <w:spacing w:before="100" w:beforeAutospacing="1" w:after="100" w:afterAutospacing="1"/>
    </w:pPr>
    <w:rPr>
      <w:rFonts w:ascii="宋体" w:eastAsia="宋体" w:hAnsi="宋体" w:cs="宋体"/>
      <w:color w:val="auto"/>
    </w:rPr>
  </w:style>
  <w:style w:type="character" w:customStyle="1" w:styleId="a00">
    <w:name w:val="a0"/>
    <w:basedOn w:val="a0"/>
    <w:uiPriority w:val="99"/>
    <w:semiHidden/>
    <w:locked/>
    <w:rPr>
      <w:rFonts w:ascii="Arial" w:eastAsiaTheme="minorEastAsia" w:hAnsi="Arial" w:cstheme="minorBidi" w:hint="default"/>
      <w:color w:val="000000"/>
      <w:sz w:val="18"/>
      <w:szCs w:val="18"/>
    </w:rPr>
  </w:style>
  <w:style w:type="character" w:customStyle="1" w:styleId="a10">
    <w:name w:val="a1"/>
    <w:basedOn w:val="a0"/>
    <w:uiPriority w:val="99"/>
    <w:semiHidden/>
    <w:locked/>
    <w:rPr>
      <w:rFonts w:ascii="Arial" w:eastAsiaTheme="minorEastAsia" w:hAnsi="Arial" w:cstheme="minorBidi" w:hint="default"/>
      <w:color w:val="000000"/>
      <w:sz w:val="18"/>
      <w:szCs w:val="18"/>
    </w:rPr>
  </w:style>
  <w:style w:type="character" w:customStyle="1" w:styleId="a20">
    <w:name w:val="a2"/>
    <w:basedOn w:val="a0"/>
    <w:uiPriority w:val="99"/>
    <w:semiHidden/>
    <w:locked/>
    <w:rPr>
      <w:rFonts w:ascii="Heiti SC Light" w:eastAsia="Heiti SC Light" w:hAnsi="Arial" w:cstheme="minorBidi" w:hint="eastAsia"/>
      <w:color w:val="000000"/>
      <w:sz w:val="18"/>
      <w:szCs w:val="18"/>
    </w:rPr>
  </w:style>
  <w:style w:type="paragraph" w:customStyle="1" w:styleId="14">
    <w:name w:val="标题 1字符"/>
    <w:basedOn w:val="a"/>
    <w:uiPriority w:val="99"/>
    <w:locked/>
    <w:pPr>
      <w:widowControl/>
      <w:autoSpaceDE/>
      <w:autoSpaceDN/>
      <w:adjustRightInd/>
      <w:spacing w:before="100" w:beforeAutospacing="1" w:after="100" w:afterAutospacing="1"/>
    </w:pPr>
    <w:rPr>
      <w:b/>
      <w:bCs/>
      <w:kern w:val="44"/>
      <w:sz w:val="44"/>
      <w:szCs w:val="44"/>
    </w:rPr>
  </w:style>
  <w:style w:type="paragraph" w:customStyle="1" w:styleId="22">
    <w:name w:val="标题 2字符"/>
    <w:basedOn w:val="a"/>
    <w:uiPriority w:val="99"/>
    <w:locked/>
    <w:pPr>
      <w:widowControl/>
      <w:autoSpaceDE/>
      <w:autoSpaceDN/>
      <w:adjustRightInd/>
      <w:spacing w:before="100" w:beforeAutospacing="1" w:after="100" w:afterAutospacing="1"/>
    </w:pPr>
    <w:rPr>
      <w:rFonts w:asciiTheme="majorHAnsi" w:eastAsiaTheme="majorEastAsia" w:hAnsiTheme="majorHAnsi" w:cstheme="majorBidi"/>
      <w:b/>
      <w:bCs/>
      <w:sz w:val="32"/>
      <w:szCs w:val="32"/>
    </w:rPr>
  </w:style>
  <w:style w:type="paragraph" w:customStyle="1" w:styleId="32">
    <w:name w:val="标题 3字符"/>
    <w:basedOn w:val="a"/>
    <w:uiPriority w:val="99"/>
    <w:locked/>
    <w:pPr>
      <w:widowControl/>
      <w:autoSpaceDE/>
      <w:autoSpaceDN/>
      <w:adjustRightInd/>
      <w:spacing w:before="100" w:beforeAutospacing="1" w:after="100" w:afterAutospacing="1"/>
    </w:pPr>
    <w:rPr>
      <w:b/>
      <w:bCs/>
      <w:sz w:val="32"/>
      <w:szCs w:val="32"/>
    </w:rPr>
  </w:style>
  <w:style w:type="paragraph" w:customStyle="1" w:styleId="110">
    <w:name w:val="标题 1字符1"/>
    <w:basedOn w:val="a"/>
    <w:uiPriority w:val="9"/>
    <w:locked/>
    <w:pPr>
      <w:widowControl/>
      <w:autoSpaceDE/>
      <w:autoSpaceDN/>
      <w:adjustRightInd/>
      <w:spacing w:before="100" w:beforeAutospacing="1" w:after="100" w:afterAutospacing="1"/>
    </w:pPr>
    <w:rPr>
      <w:rFonts w:eastAsia="宋体" w:cs="Arial"/>
      <w:b/>
      <w:bCs/>
      <w:kern w:val="44"/>
      <w:sz w:val="44"/>
      <w:szCs w:val="44"/>
    </w:rPr>
  </w:style>
  <w:style w:type="paragraph" w:customStyle="1" w:styleId="210">
    <w:name w:val="标题 2字符1"/>
    <w:basedOn w:val="a"/>
    <w:uiPriority w:val="9"/>
    <w:semiHidden/>
    <w:locked/>
    <w:pPr>
      <w:widowControl/>
      <w:autoSpaceDE/>
      <w:autoSpaceDN/>
      <w:adjustRightInd/>
      <w:spacing w:before="100" w:beforeAutospacing="1" w:after="100" w:afterAutospacing="1"/>
    </w:pPr>
    <w:rPr>
      <w:rFonts w:asciiTheme="majorHAnsi" w:eastAsiaTheme="majorEastAsia" w:hAnsiTheme="majorHAnsi" w:cs="Times New Roman"/>
      <w:b/>
      <w:bCs/>
      <w:sz w:val="32"/>
      <w:szCs w:val="32"/>
    </w:rPr>
  </w:style>
  <w:style w:type="paragraph" w:customStyle="1" w:styleId="310">
    <w:name w:val="标题 3字符1"/>
    <w:basedOn w:val="a"/>
    <w:uiPriority w:val="9"/>
    <w:semiHidden/>
    <w:locked/>
    <w:pPr>
      <w:widowControl/>
      <w:autoSpaceDE/>
      <w:autoSpaceDN/>
      <w:adjustRightInd/>
      <w:spacing w:before="100" w:beforeAutospacing="1" w:after="100" w:afterAutospacing="1"/>
    </w:pPr>
    <w:rPr>
      <w:rFonts w:eastAsia="宋体" w:cs="Arial"/>
      <w:b/>
      <w:bCs/>
      <w:sz w:val="32"/>
      <w:szCs w:val="32"/>
    </w:rPr>
  </w:style>
  <w:style w:type="paragraph" w:customStyle="1" w:styleId="101">
    <w:name w:val="10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21">
    <w:name w:val="121"/>
    <w:basedOn w:val="a"/>
    <w:uiPriority w:val="99"/>
    <w:locked/>
    <w:pPr>
      <w:widowControl/>
      <w:autoSpaceDE/>
      <w:autoSpaceDN/>
      <w:adjustRightInd/>
      <w:spacing w:before="100" w:beforeAutospacing="1" w:after="100" w:afterAutospacing="1"/>
    </w:pPr>
    <w:rPr>
      <w:rFonts w:eastAsia="宋体" w:cs="Arial"/>
      <w:sz w:val="18"/>
      <w:szCs w:val="18"/>
    </w:rPr>
  </w:style>
  <w:style w:type="paragraph" w:customStyle="1" w:styleId="131">
    <w:name w:val="131"/>
    <w:basedOn w:val="a"/>
    <w:uiPriority w:val="99"/>
    <w:semiHidden/>
    <w:locked/>
    <w:pPr>
      <w:widowControl/>
      <w:autoSpaceDE/>
      <w:autoSpaceDN/>
      <w:adjustRightInd/>
      <w:spacing w:before="100" w:beforeAutospacing="1" w:after="100" w:afterAutospacing="1"/>
    </w:pPr>
    <w:rPr>
      <w:rFonts w:eastAsia="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nicod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https://image0.lietou-static.com/normal/5964cca9703287e466d489f605a.jpg"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1746</Words>
  <Characters>9958</Characters>
  <Application>Microsoft Office Word</Application>
  <DocSecurity>0</DocSecurity>
  <Lines>82</Lines>
  <Paragraphs>23</Paragraphs>
  <ScaleCrop>false</ScaleCrop>
  <Company>Microsoft</Company>
  <LinksUpToDate>false</LinksUpToDate>
  <CharactersWithSpaces>11681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jianfei.qu</dc:creator>
  <cp:lastModifiedBy>Thinkpad</cp:lastModifiedBy>
  <cp:revision>4</cp:revision>
  <dcterms:created xsi:type="dcterms:W3CDTF">2019-08-05T06:24:00Z</dcterms:created>
  <dcterms:modified xsi:type="dcterms:W3CDTF">2019-08-05T06:25:00Z</dcterms:modified>
</cp:coreProperties>
</file>