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8522" w:type="dxa"/>
        <w:tblInd w:w="0" w:type="dxa"/>
        <w:tblBorders>
          <w:top w:val="single" w:color="999999" w:sz="12" w:space="0"/>
          <w:left w:val="single" w:color="999999" w:sz="12" w:space="0"/>
          <w:bottom w:val="single" w:color="999999" w:sz="12" w:space="0"/>
          <w:right w:val="single" w:color="999999" w:sz="12" w:space="0"/>
          <w:insideH w:val="single" w:color="999999" w:sz="12" w:space="0"/>
          <w:insideV w:val="single" w:color="999999" w:sz="12" w:space="0"/>
        </w:tblBorders>
        <w:shd w:val="clear" w:color="auto" w:fill="E6E6E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999999" w:sz="12" w:space="0"/>
            <w:left w:val="single" w:color="999999" w:sz="12" w:space="0"/>
            <w:bottom w:val="single" w:color="999999" w:sz="12" w:space="0"/>
            <w:right w:val="single" w:color="999999" w:sz="12" w:space="0"/>
            <w:insideH w:val="single" w:color="999999" w:sz="12" w:space="0"/>
            <w:insideV w:val="single" w:color="999999" w:sz="12" w:space="0"/>
          </w:tblBorders>
          <w:shd w:val="clear" w:color="auto" w:fill="E6E6E6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3F3F3"/>
          </w:tcPr>
          <w:p>
            <w:pPr>
              <w:spacing w:line="288" w:lineRule="auto"/>
              <w:jc w:val="center"/>
              <w:rPr>
                <w:rFonts w:ascii="微软雅黑" w:hAnsi="微软雅黑" w:eastAsia="微软雅黑" w:cs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候选人推荐报告</w:t>
            </w:r>
          </w:p>
        </w:tc>
      </w:tr>
    </w:tbl>
    <w:p>
      <w:pPr>
        <w:spacing w:line="288" w:lineRule="auto"/>
        <w:outlineLvl w:val="0"/>
        <w:rPr>
          <w:rFonts w:ascii="微软雅黑" w:hAnsi="微软雅黑" w:eastAsia="微软雅黑" w:cs="微软雅黑"/>
          <w:b/>
          <w:sz w:val="18"/>
          <w:szCs w:val="18"/>
          <w:lang w:val="en-US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猎头公司：睿璞咨询</w:t>
      </w:r>
      <w:r>
        <w:rPr>
          <w:rFonts w:hint="eastAsia" w:ascii="微软雅黑" w:hAnsi="微软雅黑" w:eastAsia="微软雅黑" w:cs="微软雅黑"/>
          <w:b/>
          <w:sz w:val="18"/>
          <w:szCs w:val="18"/>
          <w:lang w:val="en-US" w:eastAsia="zh-CN"/>
        </w:rPr>
        <w:t xml:space="preserve"> Rupro Consulting                       推荐顾问：孙珮仪  13916573836</w:t>
      </w:r>
    </w:p>
    <w:p>
      <w:pPr>
        <w:spacing w:line="288" w:lineRule="auto"/>
        <w:rPr>
          <w:rFonts w:ascii="微软雅黑" w:hAnsi="微软雅黑" w:eastAsia="微软雅黑" w:cs="微软雅黑"/>
          <w:b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 xml:space="preserve">机密文件                        </w:t>
      </w:r>
    </w:p>
    <w:p>
      <w:pPr>
        <w:spacing w:line="288" w:lineRule="auto"/>
        <w:outlineLvl w:val="0"/>
        <w:rPr>
          <w:rFonts w:ascii="微软雅黑" w:hAnsi="微软雅黑" w:eastAsia="微软雅黑" w:cs="微软雅黑"/>
          <w:bCs/>
          <w:sz w:val="18"/>
          <w:szCs w:val="18"/>
        </w:rPr>
      </w:pPr>
    </w:p>
    <w:p>
      <w:pPr>
        <w:pStyle w:val="11"/>
        <w:spacing w:line="288" w:lineRule="auto"/>
        <w:rPr>
          <w:rFonts w:hint="default" w:ascii="微软雅黑" w:hAnsi="微软雅黑" w:eastAsia="微软雅黑" w:cs="微软雅黑"/>
          <w:b/>
          <w:color w:val="auto"/>
          <w:sz w:val="18"/>
          <w:szCs w:val="18"/>
          <w:lang w:val="en-GB"/>
        </w:rPr>
      </w:pPr>
      <w:bookmarkStart w:id="0" w:name="OLE_LINK7"/>
      <w:bookmarkStart w:id="1" w:name="OLE_LINK5"/>
      <w:bookmarkStart w:id="2" w:name="OLE_LINK2"/>
      <w:r>
        <w:rPr>
          <w:rFonts w:ascii="微软雅黑" w:hAnsi="微软雅黑" w:eastAsia="微软雅黑" w:cs="微软雅黑"/>
          <w:b/>
          <w:color w:val="auto"/>
          <w:sz w:val="18"/>
          <w:szCs w:val="18"/>
          <w:lang w:val="zh-CN"/>
        </w:rPr>
        <w:t>基本信息</w:t>
      </w:r>
      <w:r>
        <w:rPr>
          <w:rFonts w:ascii="微软雅黑" w:hAnsi="微软雅黑" w:eastAsia="微软雅黑" w:cs="微软雅黑"/>
          <w:b/>
          <w:color w:val="auto"/>
          <w:sz w:val="18"/>
          <w:szCs w:val="18"/>
          <w:lang w:val="en-GB"/>
        </w:rPr>
        <w:t>：</w:t>
      </w:r>
    </w:p>
    <w:p>
      <w:pPr>
        <w:pStyle w:val="11"/>
        <w:tabs>
          <w:tab w:val="left" w:pos="2940"/>
        </w:tabs>
        <w:spacing w:line="288" w:lineRule="auto"/>
        <w:rPr>
          <w:rFonts w:hint="eastAsia" w:ascii="微软雅黑" w:hAnsi="微软雅黑" w:eastAsia="微软雅黑" w:cs="微软雅黑"/>
          <w:bCs/>
          <w:color w:val="auto"/>
          <w:sz w:val="18"/>
          <w:szCs w:val="18"/>
          <w:lang w:eastAsia="zh-CN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姓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    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名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>：</w:t>
      </w:r>
      <w:r>
        <w:rPr>
          <w:rFonts w:hint="eastAsia" w:ascii="微软雅黑" w:hAnsi="微软雅黑" w:eastAsia="微软雅黑" w:cs="微软雅黑"/>
          <w:bCs/>
          <w:color w:val="auto"/>
          <w:sz w:val="18"/>
          <w:szCs w:val="18"/>
          <w:lang w:eastAsia="zh-CN"/>
        </w:rPr>
        <w:t>王逸格</w:t>
      </w:r>
    </w:p>
    <w:p>
      <w:pPr>
        <w:pStyle w:val="11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  <w:lang w:val="en-US" w:eastAsia="zh-CN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推荐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职位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>：</w:t>
      </w:r>
      <w:r>
        <w:rPr>
          <w:rFonts w:hint="eastAsia" w:ascii="微软雅黑" w:hAnsi="微软雅黑" w:eastAsia="微软雅黑" w:cs="微软雅黑"/>
          <w:bCs/>
          <w:color w:val="auto"/>
          <w:sz w:val="18"/>
          <w:szCs w:val="18"/>
          <w:lang w:val="en-US" w:eastAsia="zh-CN"/>
        </w:rPr>
        <w:t>CBU-数字营销部-新型大客户营销专家</w:t>
      </w:r>
    </w:p>
    <w:p>
      <w:pPr>
        <w:pStyle w:val="11"/>
        <w:spacing w:line="288" w:lineRule="auto"/>
        <w:rPr>
          <w:rFonts w:hint="eastAsia" w:ascii="微软雅黑" w:hAnsi="微软雅黑" w:eastAsia="微软雅黑" w:cs="微软雅黑"/>
          <w:bCs/>
          <w:color w:val="auto"/>
          <w:sz w:val="18"/>
          <w:szCs w:val="18"/>
          <w:lang w:val="en-US" w:eastAsia="zh-CN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目前所在地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>：</w:t>
      </w:r>
      <w:r>
        <w:rPr>
          <w:rFonts w:hint="eastAsia" w:ascii="微软雅黑" w:hAnsi="微软雅黑" w:eastAsia="微软雅黑" w:cs="微软雅黑"/>
          <w:bCs/>
          <w:color w:val="auto"/>
          <w:sz w:val="18"/>
          <w:szCs w:val="18"/>
          <w:lang w:eastAsia="zh-CN"/>
        </w:rPr>
        <w:t>北京</w:t>
      </w:r>
    </w:p>
    <w:p>
      <w:pPr>
        <w:pStyle w:val="11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>联系  方式： 13718829299</w:t>
      </w:r>
    </w:p>
    <w:p>
      <w:pPr>
        <w:pStyle w:val="11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>邮箱  地址：gloriali123@outlook.com</w:t>
      </w:r>
    </w:p>
    <w:p>
      <w:pPr>
        <w:pStyle w:val="11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</w:p>
    <w:p>
      <w:pPr>
        <w:pStyle w:val="5"/>
        <w:keepNext w:val="0"/>
        <w:keepLines w:val="0"/>
        <w:widowControl/>
        <w:suppressLineNumbers w:val="0"/>
        <w:rPr>
          <w:rFonts w:ascii="微软雅黑" w:hAnsi="微软雅黑" w:eastAsia="微软雅黑" w:cs="微软雅黑"/>
          <w:bCs/>
          <w:color w:val="auto"/>
          <w:sz w:val="18"/>
          <w:szCs w:val="18"/>
        </w:rPr>
      </w:pPr>
    </w:p>
    <w:p>
      <w:pPr>
        <w:spacing w:line="288" w:lineRule="auto"/>
        <w:rPr>
          <w:rFonts w:ascii="微软雅黑" w:hAnsi="微软雅黑" w:eastAsia="微软雅黑" w:cs="微软雅黑"/>
          <w:b/>
          <w:bCs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/>
        </w:rPr>
        <w:t xml:space="preserve">工作经历： </w:t>
      </w:r>
    </w:p>
    <w:bookmarkEnd w:id="0"/>
    <w:bookmarkEnd w:id="1"/>
    <w:bookmarkEnd w:id="2"/>
    <w:p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</w:pPr>
      <w:r>
        <w:rPr>
          <w:rFonts w:ascii="微软雅黑" w:hAnsi="微软雅黑" w:eastAsia="微软雅黑" w:cs="微软雅黑"/>
          <w:b/>
          <w:bCs/>
          <w:sz w:val="18"/>
          <w:szCs w:val="18"/>
          <w:lang w:eastAsia="zh-CN" w:bidi="ar"/>
        </w:rPr>
        <w:t>201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6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>.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12</w:t>
      </w:r>
      <w:r>
        <w:rPr>
          <w:rFonts w:ascii="微软雅黑" w:hAnsi="微软雅黑" w:eastAsia="微软雅黑" w:cs="微软雅黑"/>
          <w:b/>
          <w:bCs/>
          <w:sz w:val="18"/>
          <w:szCs w:val="18"/>
          <w:lang w:eastAsia="zh-CN" w:bidi="ar"/>
        </w:rPr>
        <w:t>-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>至今</w:t>
      </w:r>
      <w:r>
        <w:rPr>
          <w:rFonts w:ascii="微软雅黑" w:hAnsi="微软雅黑" w:eastAsia="微软雅黑" w:cs="微软雅黑"/>
          <w:b/>
          <w:bCs/>
          <w:sz w:val="18"/>
          <w:szCs w:val="18"/>
          <w:lang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 xml:space="preserve"> 拜耳作物科学有限公司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 xml:space="preserve">  数字营销</w:t>
      </w:r>
    </w:p>
    <w:p>
      <w:pPr>
        <w:pStyle w:val="11"/>
        <w:spacing w:line="288" w:lineRule="auto"/>
        <w:rPr>
          <w:rFonts w:hint="eastAsia" w:ascii="微软雅黑" w:hAnsi="微软雅黑" w:eastAsia="微软雅黑" w:cs="微软雅黑"/>
          <w:bCs/>
          <w:color w:val="auto"/>
          <w:kern w:val="0"/>
          <w:sz w:val="18"/>
          <w:szCs w:val="18"/>
          <w:lang w:eastAsia="zh-CN" w:bidi="ar"/>
        </w:rPr>
      </w:pPr>
      <w:r>
        <w:rPr>
          <w:rFonts w:hint="eastAsia" w:ascii="微软雅黑" w:hAnsi="微软雅黑" w:eastAsia="微软雅黑" w:cs="微软雅黑"/>
          <w:bCs/>
          <w:color w:val="auto"/>
          <w:kern w:val="0"/>
          <w:sz w:val="18"/>
          <w:szCs w:val="18"/>
          <w:lang w:eastAsia="zh-CN" w:bidi="ar"/>
        </w:rPr>
        <w:t>社交营销&amp;内容营销；</w:t>
      </w:r>
    </w:p>
    <w:p>
      <w:pPr>
        <w:pStyle w:val="11"/>
        <w:spacing w:line="288" w:lineRule="auto"/>
        <w:rPr>
          <w:rFonts w:hint="eastAsia" w:ascii="微软雅黑" w:hAnsi="微软雅黑" w:eastAsia="微软雅黑" w:cs="微软雅黑"/>
          <w:bCs/>
          <w:color w:val="auto"/>
          <w:kern w:val="0"/>
          <w:sz w:val="18"/>
          <w:szCs w:val="18"/>
          <w:lang w:eastAsia="zh-CN" w:bidi="ar"/>
        </w:rPr>
      </w:pPr>
      <w:r>
        <w:rPr>
          <w:rFonts w:hint="eastAsia" w:ascii="微软雅黑" w:hAnsi="微软雅黑" w:eastAsia="微软雅黑" w:cs="微软雅黑"/>
          <w:bCs/>
          <w:color w:val="auto"/>
          <w:kern w:val="0"/>
          <w:sz w:val="18"/>
          <w:szCs w:val="18"/>
          <w:lang w:eastAsia="zh-CN" w:bidi="ar"/>
        </w:rPr>
        <w:t>线下到线上的B2B商业模式转型：1.提出传统经销模式转型概念、2.细化以微信为主入口的B2B商业模型、3.制定并执行B2B电商平台的推广引流策略、4.制定B2B电商平台长期发展的定位和运营策略，打造一站式服务平台；</w:t>
      </w:r>
    </w:p>
    <w:p>
      <w:pPr>
        <w:pStyle w:val="11"/>
        <w:spacing w:line="288" w:lineRule="auto"/>
        <w:rPr>
          <w:rFonts w:hint="eastAsia" w:ascii="微软雅黑" w:hAnsi="微软雅黑" w:eastAsia="微软雅黑" w:cs="微软雅黑"/>
          <w:bCs/>
          <w:color w:val="auto"/>
          <w:kern w:val="0"/>
          <w:sz w:val="18"/>
          <w:szCs w:val="18"/>
          <w:lang w:eastAsia="zh-CN" w:bidi="ar"/>
        </w:rPr>
      </w:pPr>
      <w:r>
        <w:rPr>
          <w:rFonts w:hint="eastAsia" w:ascii="微软雅黑" w:hAnsi="微软雅黑" w:eastAsia="微软雅黑" w:cs="微软雅黑"/>
          <w:bCs/>
          <w:color w:val="auto"/>
          <w:kern w:val="0"/>
          <w:sz w:val="18"/>
          <w:szCs w:val="18"/>
          <w:lang w:eastAsia="zh-CN" w:bidi="ar"/>
        </w:rPr>
        <w:t>产品管理：管理业务单元全线产品；负责产品商标和标签管理；</w:t>
      </w:r>
    </w:p>
    <w:p>
      <w:pPr>
        <w:pStyle w:val="11"/>
        <w:spacing w:line="288" w:lineRule="auto"/>
        <w:rPr>
          <w:rFonts w:hint="eastAsia" w:ascii="微软雅黑" w:hAnsi="微软雅黑" w:eastAsia="微软雅黑" w:cs="微软雅黑"/>
          <w:bCs/>
          <w:color w:val="auto"/>
          <w:kern w:val="0"/>
          <w:sz w:val="18"/>
          <w:szCs w:val="18"/>
          <w:lang w:eastAsia="zh-CN" w:bidi="ar"/>
        </w:rPr>
      </w:pPr>
      <w:r>
        <w:rPr>
          <w:rFonts w:hint="eastAsia" w:ascii="微软雅黑" w:hAnsi="微软雅黑" w:eastAsia="微软雅黑" w:cs="微软雅黑"/>
          <w:bCs/>
          <w:color w:val="auto"/>
          <w:kern w:val="0"/>
          <w:sz w:val="18"/>
          <w:szCs w:val="18"/>
          <w:lang w:eastAsia="zh-CN" w:bidi="ar"/>
        </w:rPr>
        <w:t>新品上新项目会展管理：负责制定全年市场活动计划、策划并落地执行每年四场国际、全国大型展会</w:t>
      </w:r>
    </w:p>
    <w:p>
      <w:pPr>
        <w:pStyle w:val="11"/>
        <w:spacing w:line="288" w:lineRule="auto"/>
        <w:rPr>
          <w:rFonts w:hint="eastAsia" w:ascii="微软雅黑" w:hAnsi="微软雅黑" w:eastAsia="微软雅黑" w:cs="微软雅黑"/>
          <w:bCs/>
          <w:color w:val="auto"/>
          <w:kern w:val="0"/>
          <w:sz w:val="18"/>
          <w:szCs w:val="18"/>
          <w:lang w:eastAsia="zh-CN" w:bidi="ar"/>
        </w:rPr>
      </w:pPr>
      <w:r>
        <w:rPr>
          <w:rFonts w:hint="eastAsia" w:ascii="微软雅黑" w:hAnsi="微软雅黑" w:eastAsia="微软雅黑" w:cs="微软雅黑"/>
          <w:bCs/>
          <w:color w:val="auto"/>
          <w:kern w:val="0"/>
          <w:sz w:val="18"/>
          <w:szCs w:val="18"/>
          <w:lang w:eastAsia="zh-CN" w:bidi="ar"/>
        </w:rPr>
        <w:t>品牌管理；</w:t>
      </w:r>
      <w:bookmarkStart w:id="3" w:name="_GoBack"/>
      <w:bookmarkEnd w:id="3"/>
    </w:p>
    <w:p>
      <w:pPr>
        <w:pStyle w:val="11"/>
        <w:spacing w:line="288" w:lineRule="auto"/>
        <w:rPr>
          <w:rFonts w:hint="eastAsia" w:ascii="微软雅黑" w:hAnsi="微软雅黑" w:eastAsia="微软雅黑" w:cs="微软雅黑"/>
          <w:bCs/>
          <w:color w:val="auto"/>
          <w:kern w:val="0"/>
          <w:sz w:val="18"/>
          <w:szCs w:val="18"/>
          <w:lang w:eastAsia="zh-CN" w:bidi="ar"/>
        </w:rPr>
      </w:pPr>
      <w:r>
        <w:rPr>
          <w:rFonts w:hint="eastAsia" w:ascii="微软雅黑" w:hAnsi="微软雅黑" w:eastAsia="微软雅黑" w:cs="微软雅黑"/>
          <w:bCs/>
          <w:color w:val="auto"/>
          <w:kern w:val="0"/>
          <w:sz w:val="18"/>
          <w:szCs w:val="18"/>
          <w:lang w:eastAsia="zh-CN" w:bidi="ar"/>
        </w:rPr>
        <w:t>客户关系管理；</w:t>
      </w:r>
    </w:p>
    <w:p>
      <w:pPr>
        <w:pStyle w:val="11"/>
        <w:spacing w:line="288" w:lineRule="auto"/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</w:pPr>
      <w:r>
        <w:rPr>
          <w:rFonts w:hint="eastAsia" w:ascii="微软雅黑" w:hAnsi="微软雅黑" w:eastAsia="微软雅黑" w:cs="微软雅黑"/>
          <w:bCs/>
          <w:color w:val="auto"/>
          <w:kern w:val="0"/>
          <w:sz w:val="18"/>
          <w:szCs w:val="18"/>
          <w:lang w:eastAsia="zh-CN" w:bidi="ar"/>
        </w:rPr>
        <w:t>外部主要利益关系管理</w:t>
      </w:r>
    </w:p>
    <w:p>
      <w:pPr>
        <w:pStyle w:val="11"/>
        <w:spacing w:line="288" w:lineRule="auto"/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</w:pPr>
    </w:p>
    <w:p>
      <w:pPr>
        <w:pStyle w:val="14"/>
        <w:ind w:firstLine="360"/>
        <w:rPr>
          <w:rFonts w:ascii="微软雅黑" w:hAnsi="微软雅黑" w:eastAsia="微软雅黑" w:cs="微软雅黑"/>
          <w:bCs/>
          <w:sz w:val="18"/>
          <w:szCs w:val="18"/>
          <w:lang w:val="en-US" w:eastAsia="zh-CN" w:bidi="ar"/>
        </w:rPr>
      </w:pPr>
    </w:p>
    <w:sectPr>
      <w:headerReference r:id="rId3" w:type="default"/>
      <w:footerReference r:id="rId4" w:type="default"/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auto" w:sz="4" w:space="0"/>
      </w:pBdr>
      <w:tabs>
        <w:tab w:val="right" w:pos="3686"/>
        <w:tab w:val="left" w:pos="4820"/>
      </w:tabs>
      <w:spacing w:line="276" w:lineRule="auto"/>
      <w:ind w:left="2538" w:hanging="2538" w:hangingChars="1950"/>
      <w:jc w:val="center"/>
      <w:rPr>
        <w:rFonts w:ascii="Arial" w:hAnsi="Arial" w:eastAsia="华文细黑" w:cs="Arial"/>
        <w:b/>
        <w:bCs/>
        <w:sz w:val="13"/>
        <w:szCs w:val="13"/>
        <w:lang w:eastAsia="zh-CN"/>
      </w:rPr>
    </w:pPr>
  </w:p>
  <w:p>
    <w:pPr>
      <w:pBdr>
        <w:top w:val="single" w:color="auto" w:sz="4" w:space="0"/>
      </w:pBdr>
      <w:tabs>
        <w:tab w:val="right" w:pos="3686"/>
        <w:tab w:val="left" w:pos="4820"/>
      </w:tabs>
      <w:wordWrap w:val="0"/>
      <w:spacing w:line="276" w:lineRule="auto"/>
      <w:jc w:val="right"/>
      <w:rPr>
        <w:rFonts w:ascii="Arial" w:hAnsi="Arial" w:eastAsia="华文细黑" w:cs="Arial"/>
        <w:bCs/>
        <w:sz w:val="13"/>
        <w:szCs w:val="13"/>
        <w:lang w:eastAsia="zh-CN"/>
      </w:rPr>
    </w:pPr>
    <w:r>
      <w:rPr>
        <w:lang w:val="en-US" w:eastAsia="zh-CN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1353820</wp:posOffset>
          </wp:positionH>
          <wp:positionV relativeFrom="paragraph">
            <wp:posOffset>17780</wp:posOffset>
          </wp:positionV>
          <wp:extent cx="505460" cy="508000"/>
          <wp:effectExtent l="0" t="0" r="8890" b="6350"/>
          <wp:wrapNone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5460" cy="5080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Arial" w:hAnsi="Arial" w:eastAsia="华文细黑" w:cs="Arial"/>
        <w:bCs/>
        <w:sz w:val="13"/>
        <w:szCs w:val="13"/>
        <w:lang w:eastAsia="zh-CN"/>
      </w:rPr>
      <w:t>上海睿璞企业管理咨询有限公司（</w:t>
    </w:r>
    <w:r>
      <w:rPr>
        <w:rFonts w:ascii="Arial" w:hAnsi="Arial" w:eastAsia="华文细黑" w:cs="Arial"/>
        <w:bCs/>
        <w:sz w:val="13"/>
        <w:szCs w:val="13"/>
        <w:lang w:eastAsia="zh-CN"/>
      </w:rPr>
      <w:t>Rurpo Consulting</w:t>
    </w:r>
    <w:r>
      <w:rPr>
        <w:rFonts w:hint="eastAsia" w:ascii="Arial" w:hAnsi="Arial" w:eastAsia="华文细黑" w:cs="Arial"/>
        <w:bCs/>
        <w:sz w:val="13"/>
        <w:szCs w:val="13"/>
        <w:lang w:eastAsia="zh-CN"/>
      </w:rPr>
      <w:t xml:space="preserve">）                              </w:t>
    </w:r>
  </w:p>
  <w:p>
    <w:pPr>
      <w:pBdr>
        <w:top w:val="single" w:color="auto" w:sz="4" w:space="0"/>
      </w:pBdr>
      <w:tabs>
        <w:tab w:val="right" w:pos="3686"/>
        <w:tab w:val="left" w:pos="4820"/>
      </w:tabs>
      <w:wordWrap w:val="0"/>
      <w:spacing w:line="276" w:lineRule="auto"/>
      <w:jc w:val="right"/>
      <w:rPr>
        <w:rFonts w:ascii="Arial" w:hAnsi="Arial" w:eastAsia="华文细黑" w:cs="Arial"/>
        <w:bCs/>
        <w:sz w:val="13"/>
        <w:szCs w:val="13"/>
        <w:lang w:eastAsia="zh-CN"/>
      </w:rPr>
    </w:pPr>
    <w:r>
      <w:rPr>
        <w:rFonts w:hint="eastAsia" w:ascii="Arial" w:hAnsi="Arial" w:eastAsia="华文细黑" w:cs="Arial"/>
        <w:bCs/>
        <w:sz w:val="13"/>
        <w:szCs w:val="13"/>
        <w:lang w:eastAsia="zh-CN"/>
      </w:rPr>
      <w:t>电话：</w:t>
    </w:r>
    <w:r>
      <w:rPr>
        <w:rFonts w:ascii="Arial" w:hAnsi="Arial" w:eastAsia="华文细黑" w:cs="Arial"/>
        <w:bCs/>
        <w:sz w:val="13"/>
        <w:szCs w:val="13"/>
        <w:lang w:eastAsia="zh-CN"/>
      </w:rPr>
      <w:t>021-31379410</w:t>
    </w:r>
    <w:r>
      <w:rPr>
        <w:rFonts w:hint="eastAsia" w:ascii="Arial" w:hAnsi="Arial" w:eastAsia="华文细黑" w:cs="Arial"/>
        <w:bCs/>
        <w:sz w:val="13"/>
        <w:szCs w:val="13"/>
        <w:lang w:eastAsia="zh-CN"/>
      </w:rPr>
      <w:t xml:space="preserve">                                                           </w:t>
    </w:r>
    <w:r>
      <w:rPr>
        <w:rFonts w:ascii="Arial" w:hAnsi="Arial" w:eastAsia="华文细黑" w:cs="Arial"/>
        <w:bCs/>
        <w:sz w:val="13"/>
        <w:szCs w:val="13"/>
        <w:lang w:eastAsia="zh-CN"/>
      </w:rPr>
      <w:cr/>
    </w:r>
    <w:r>
      <w:rPr>
        <w:rFonts w:hint="eastAsia" w:ascii="Arial" w:hAnsi="Arial" w:eastAsia="华文细黑" w:cs="Arial"/>
        <w:bCs/>
        <w:sz w:val="13"/>
        <w:szCs w:val="13"/>
        <w:lang w:eastAsia="zh-CN"/>
      </w:rPr>
      <w:t>地址：中国（上海）张江路</w:t>
    </w:r>
    <w:r>
      <w:rPr>
        <w:rFonts w:ascii="Arial" w:hAnsi="Arial" w:eastAsia="华文细黑" w:cs="Arial"/>
        <w:bCs/>
        <w:sz w:val="13"/>
        <w:szCs w:val="13"/>
        <w:lang w:eastAsia="zh-CN"/>
      </w:rPr>
      <w:t>368</w:t>
    </w:r>
    <w:r>
      <w:rPr>
        <w:rFonts w:hint="eastAsia" w:ascii="Arial" w:hAnsi="Arial" w:eastAsia="华文细黑" w:cs="Arial"/>
        <w:bCs/>
        <w:sz w:val="13"/>
        <w:szCs w:val="13"/>
        <w:lang w:eastAsia="zh-CN"/>
      </w:rPr>
      <w:t>号</w:t>
    </w:r>
    <w:r>
      <w:rPr>
        <w:rFonts w:ascii="Arial" w:hAnsi="Arial" w:eastAsia="华文细黑" w:cs="Arial"/>
        <w:bCs/>
        <w:sz w:val="13"/>
        <w:szCs w:val="13"/>
        <w:lang w:eastAsia="zh-CN"/>
      </w:rPr>
      <w:t>29</w:t>
    </w:r>
    <w:r>
      <w:rPr>
        <w:rFonts w:hint="eastAsia" w:ascii="Arial" w:hAnsi="Arial" w:eastAsia="华文细黑" w:cs="Arial"/>
        <w:bCs/>
        <w:sz w:val="13"/>
        <w:szCs w:val="13"/>
        <w:lang w:eastAsia="zh-CN"/>
      </w:rPr>
      <w:t>号楼</w:t>
    </w:r>
    <w:r>
      <w:rPr>
        <w:rFonts w:ascii="Arial" w:hAnsi="Arial" w:eastAsia="华文细黑" w:cs="Arial"/>
        <w:bCs/>
        <w:sz w:val="13"/>
        <w:szCs w:val="13"/>
        <w:lang w:eastAsia="zh-CN"/>
      </w:rPr>
      <w:t>812</w:t>
    </w:r>
    <w:r>
      <w:rPr>
        <w:rFonts w:hint="eastAsia" w:ascii="Arial" w:hAnsi="Arial" w:eastAsia="华文细黑" w:cs="Arial"/>
        <w:bCs/>
        <w:sz w:val="13"/>
        <w:szCs w:val="13"/>
        <w:lang w:eastAsia="zh-CN"/>
      </w:rPr>
      <w:t xml:space="preserve">室                                  </w:t>
    </w:r>
  </w:p>
  <w:p>
    <w:pPr>
      <w:pBdr>
        <w:top w:val="single" w:color="auto" w:sz="4" w:space="0"/>
      </w:pBdr>
      <w:tabs>
        <w:tab w:val="right" w:pos="3686"/>
        <w:tab w:val="left" w:pos="4820"/>
      </w:tabs>
      <w:wordWrap w:val="0"/>
      <w:spacing w:line="276" w:lineRule="auto"/>
      <w:jc w:val="right"/>
      <w:rPr>
        <w:lang w:eastAsia="zh-CN"/>
      </w:rPr>
    </w:pPr>
    <w:r>
      <w:rPr>
        <w:rFonts w:hint="eastAsia" w:ascii="Arial" w:hAnsi="Arial" w:eastAsia="华文细黑" w:cs="Arial"/>
        <w:b/>
        <w:bCs/>
        <w:sz w:val="13"/>
        <w:szCs w:val="13"/>
        <w:lang w:eastAsia="zh-CN"/>
      </w:rPr>
      <w:t xml:space="preserve">机密资料，敬请妥善保管          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eastAsiaTheme="minorEastAsia"/>
        <w:lang w:eastAsia="zh-CN"/>
      </w:rPr>
    </w:pPr>
    <w:r>
      <w:rPr>
        <w:rFonts w:hint="eastAsia" w:eastAsia="宋体"/>
        <w:lang w:val="en-US" w:eastAsia="zh-CN"/>
      </w:rPr>
      <w:drawing>
        <wp:inline distT="0" distB="0" distL="0" distR="0">
          <wp:extent cx="2195195" cy="446405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95806" cy="4469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4"/>
      <w:rPr>
        <w:rFonts w:eastAsiaTheme="minorEastAsia"/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EE0A4A"/>
    <w:rsid w:val="00037CA9"/>
    <w:rsid w:val="000466FB"/>
    <w:rsid w:val="000F791F"/>
    <w:rsid w:val="00167B3B"/>
    <w:rsid w:val="001A466A"/>
    <w:rsid w:val="00205880"/>
    <w:rsid w:val="00263AC0"/>
    <w:rsid w:val="00265A62"/>
    <w:rsid w:val="002E2079"/>
    <w:rsid w:val="00352A62"/>
    <w:rsid w:val="00374945"/>
    <w:rsid w:val="004355C0"/>
    <w:rsid w:val="00502928"/>
    <w:rsid w:val="005A766C"/>
    <w:rsid w:val="005F475F"/>
    <w:rsid w:val="00623DD9"/>
    <w:rsid w:val="00660DFE"/>
    <w:rsid w:val="0066403A"/>
    <w:rsid w:val="006B1DEA"/>
    <w:rsid w:val="006C6672"/>
    <w:rsid w:val="00725DE9"/>
    <w:rsid w:val="00732674"/>
    <w:rsid w:val="007C3886"/>
    <w:rsid w:val="0082081D"/>
    <w:rsid w:val="008A39A4"/>
    <w:rsid w:val="008C4201"/>
    <w:rsid w:val="00933CA8"/>
    <w:rsid w:val="00935449"/>
    <w:rsid w:val="00951076"/>
    <w:rsid w:val="009B06B4"/>
    <w:rsid w:val="009C5CB3"/>
    <w:rsid w:val="009E7205"/>
    <w:rsid w:val="00AD66A8"/>
    <w:rsid w:val="00B7545C"/>
    <w:rsid w:val="00B81DAB"/>
    <w:rsid w:val="00BA4A73"/>
    <w:rsid w:val="00C103E1"/>
    <w:rsid w:val="00C1411D"/>
    <w:rsid w:val="00C45EC8"/>
    <w:rsid w:val="00CF6DA2"/>
    <w:rsid w:val="00D07F1E"/>
    <w:rsid w:val="00D35008"/>
    <w:rsid w:val="00DF7CF0"/>
    <w:rsid w:val="00E141D0"/>
    <w:rsid w:val="00E37D5B"/>
    <w:rsid w:val="00E54661"/>
    <w:rsid w:val="00FC03AB"/>
    <w:rsid w:val="01053C14"/>
    <w:rsid w:val="01B804C1"/>
    <w:rsid w:val="04FC1B1F"/>
    <w:rsid w:val="05AB6DA7"/>
    <w:rsid w:val="05AC32EE"/>
    <w:rsid w:val="078C18F4"/>
    <w:rsid w:val="084F36A7"/>
    <w:rsid w:val="08753B58"/>
    <w:rsid w:val="08D26281"/>
    <w:rsid w:val="099418F7"/>
    <w:rsid w:val="0A3E03E6"/>
    <w:rsid w:val="0A7933C9"/>
    <w:rsid w:val="0A8A3A0B"/>
    <w:rsid w:val="0AD949D7"/>
    <w:rsid w:val="0B4847A8"/>
    <w:rsid w:val="0BC17005"/>
    <w:rsid w:val="0D363424"/>
    <w:rsid w:val="0D511C8E"/>
    <w:rsid w:val="0D7D4775"/>
    <w:rsid w:val="0F340C2C"/>
    <w:rsid w:val="0FA20A26"/>
    <w:rsid w:val="0FE43C94"/>
    <w:rsid w:val="1021402D"/>
    <w:rsid w:val="10890282"/>
    <w:rsid w:val="113221FD"/>
    <w:rsid w:val="12246C11"/>
    <w:rsid w:val="12852F20"/>
    <w:rsid w:val="143234B6"/>
    <w:rsid w:val="14491C20"/>
    <w:rsid w:val="15913F38"/>
    <w:rsid w:val="161F67C1"/>
    <w:rsid w:val="162734B2"/>
    <w:rsid w:val="166472B0"/>
    <w:rsid w:val="1676345C"/>
    <w:rsid w:val="17C14E49"/>
    <w:rsid w:val="17D31146"/>
    <w:rsid w:val="19716420"/>
    <w:rsid w:val="19D55563"/>
    <w:rsid w:val="19E43898"/>
    <w:rsid w:val="1AEC6B94"/>
    <w:rsid w:val="1B044586"/>
    <w:rsid w:val="1B137191"/>
    <w:rsid w:val="1B156124"/>
    <w:rsid w:val="1BF54957"/>
    <w:rsid w:val="1C2F79A7"/>
    <w:rsid w:val="1C450131"/>
    <w:rsid w:val="1D3C4F98"/>
    <w:rsid w:val="1E1606DF"/>
    <w:rsid w:val="1E4C2A52"/>
    <w:rsid w:val="1F8075CB"/>
    <w:rsid w:val="1FEE4199"/>
    <w:rsid w:val="1FFC2D63"/>
    <w:rsid w:val="21323752"/>
    <w:rsid w:val="225648E5"/>
    <w:rsid w:val="237F5D6E"/>
    <w:rsid w:val="23D3236D"/>
    <w:rsid w:val="248837C4"/>
    <w:rsid w:val="256422EB"/>
    <w:rsid w:val="256F1F7D"/>
    <w:rsid w:val="266B7C56"/>
    <w:rsid w:val="26907A21"/>
    <w:rsid w:val="272B6F98"/>
    <w:rsid w:val="273508B5"/>
    <w:rsid w:val="28A0150A"/>
    <w:rsid w:val="290430EF"/>
    <w:rsid w:val="29741C2C"/>
    <w:rsid w:val="29DC2266"/>
    <w:rsid w:val="2A2B57AB"/>
    <w:rsid w:val="2A9F1DFF"/>
    <w:rsid w:val="2BE7157A"/>
    <w:rsid w:val="2C091423"/>
    <w:rsid w:val="2D8A12F0"/>
    <w:rsid w:val="2DFA1D41"/>
    <w:rsid w:val="2EAC0AE4"/>
    <w:rsid w:val="30A6297F"/>
    <w:rsid w:val="30F64B3C"/>
    <w:rsid w:val="31781FC0"/>
    <w:rsid w:val="31EE0A4A"/>
    <w:rsid w:val="31FC064D"/>
    <w:rsid w:val="32447663"/>
    <w:rsid w:val="334311C5"/>
    <w:rsid w:val="33CD19BF"/>
    <w:rsid w:val="34097A1B"/>
    <w:rsid w:val="342B250D"/>
    <w:rsid w:val="35450F27"/>
    <w:rsid w:val="363A1872"/>
    <w:rsid w:val="37666C2B"/>
    <w:rsid w:val="37DC6BF8"/>
    <w:rsid w:val="37F63F4E"/>
    <w:rsid w:val="3C0D73AE"/>
    <w:rsid w:val="3CC352A1"/>
    <w:rsid w:val="3CD023FA"/>
    <w:rsid w:val="3EB44D63"/>
    <w:rsid w:val="3EE6648E"/>
    <w:rsid w:val="407A65F4"/>
    <w:rsid w:val="40E60D73"/>
    <w:rsid w:val="411008ED"/>
    <w:rsid w:val="4193523E"/>
    <w:rsid w:val="42252D32"/>
    <w:rsid w:val="4287358A"/>
    <w:rsid w:val="434A662D"/>
    <w:rsid w:val="43522750"/>
    <w:rsid w:val="437353E0"/>
    <w:rsid w:val="43DE6767"/>
    <w:rsid w:val="44A72874"/>
    <w:rsid w:val="454C28E2"/>
    <w:rsid w:val="458461E3"/>
    <w:rsid w:val="461A27B9"/>
    <w:rsid w:val="463A6D10"/>
    <w:rsid w:val="47833DBA"/>
    <w:rsid w:val="488755C8"/>
    <w:rsid w:val="491537DB"/>
    <w:rsid w:val="491A0DEF"/>
    <w:rsid w:val="492D5972"/>
    <w:rsid w:val="4A0347E8"/>
    <w:rsid w:val="4A7161C9"/>
    <w:rsid w:val="4AE8729A"/>
    <w:rsid w:val="4AFF4696"/>
    <w:rsid w:val="4B302FC5"/>
    <w:rsid w:val="4C453F9D"/>
    <w:rsid w:val="4D3C3AF1"/>
    <w:rsid w:val="4D973B87"/>
    <w:rsid w:val="4DA80AFB"/>
    <w:rsid w:val="4EC542A1"/>
    <w:rsid w:val="50887010"/>
    <w:rsid w:val="510A1C5F"/>
    <w:rsid w:val="51A752F9"/>
    <w:rsid w:val="51AF7FD8"/>
    <w:rsid w:val="51D21887"/>
    <w:rsid w:val="51F3242D"/>
    <w:rsid w:val="53FD3992"/>
    <w:rsid w:val="5465300D"/>
    <w:rsid w:val="554D5010"/>
    <w:rsid w:val="558041EB"/>
    <w:rsid w:val="573110E5"/>
    <w:rsid w:val="57FF4353"/>
    <w:rsid w:val="58337A0C"/>
    <w:rsid w:val="586C697E"/>
    <w:rsid w:val="58EB1BC0"/>
    <w:rsid w:val="592747A9"/>
    <w:rsid w:val="598935EE"/>
    <w:rsid w:val="5A6A1E62"/>
    <w:rsid w:val="5AB41394"/>
    <w:rsid w:val="5B813458"/>
    <w:rsid w:val="5C577B00"/>
    <w:rsid w:val="5CDC0278"/>
    <w:rsid w:val="5CE60D5C"/>
    <w:rsid w:val="5D330E33"/>
    <w:rsid w:val="5D6A16FB"/>
    <w:rsid w:val="5D810CFE"/>
    <w:rsid w:val="5DB57227"/>
    <w:rsid w:val="5E296173"/>
    <w:rsid w:val="5EF07037"/>
    <w:rsid w:val="5FA51B37"/>
    <w:rsid w:val="5FE540DE"/>
    <w:rsid w:val="6036436F"/>
    <w:rsid w:val="61453B11"/>
    <w:rsid w:val="632970A5"/>
    <w:rsid w:val="63861E97"/>
    <w:rsid w:val="63DF4914"/>
    <w:rsid w:val="64E75B0B"/>
    <w:rsid w:val="65B83F9C"/>
    <w:rsid w:val="67537664"/>
    <w:rsid w:val="67E92CE5"/>
    <w:rsid w:val="69F17399"/>
    <w:rsid w:val="6A8270B9"/>
    <w:rsid w:val="6BD85B66"/>
    <w:rsid w:val="6BEC049A"/>
    <w:rsid w:val="6D3A7CEE"/>
    <w:rsid w:val="6D531C20"/>
    <w:rsid w:val="6D8F274E"/>
    <w:rsid w:val="6E8B7026"/>
    <w:rsid w:val="6EDA2AE3"/>
    <w:rsid w:val="6EDA2C3D"/>
    <w:rsid w:val="6EDD49D5"/>
    <w:rsid w:val="70144107"/>
    <w:rsid w:val="70FF08DB"/>
    <w:rsid w:val="710B1331"/>
    <w:rsid w:val="71705E9A"/>
    <w:rsid w:val="7330765F"/>
    <w:rsid w:val="734F11D0"/>
    <w:rsid w:val="75E2058C"/>
    <w:rsid w:val="75EA0905"/>
    <w:rsid w:val="766827A5"/>
    <w:rsid w:val="77890B51"/>
    <w:rsid w:val="77E01CB0"/>
    <w:rsid w:val="78975126"/>
    <w:rsid w:val="78C4365A"/>
    <w:rsid w:val="78CE4FC6"/>
    <w:rsid w:val="795B6BE2"/>
    <w:rsid w:val="798E6577"/>
    <w:rsid w:val="7A376404"/>
    <w:rsid w:val="7A9D3857"/>
    <w:rsid w:val="7C0842C2"/>
    <w:rsid w:val="7DBB0656"/>
    <w:rsid w:val="7DD9029C"/>
    <w:rsid w:val="7EC2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PMingLiU" w:cs="Times New Roman"/>
      <w:sz w:val="21"/>
      <w:szCs w:val="22"/>
      <w:lang w:val="en-GB" w:eastAsia="en-US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5">
    <w:name w:val="Normal (Web)"/>
    <w:basedOn w:val="1"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  <w:bCs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yperlink"/>
    <w:basedOn w:val="7"/>
    <w:qFormat/>
    <w:uiPriority w:val="0"/>
    <w:rPr>
      <w:color w:val="0000FF"/>
      <w:u w:val="single"/>
    </w:rPr>
  </w:style>
  <w:style w:type="paragraph" w:customStyle="1" w:styleId="11">
    <w:name w:val="正文 A"/>
    <w:qFormat/>
    <w:uiPriority w:val="0"/>
    <w:pPr>
      <w:suppressAutoHyphens/>
    </w:pPr>
    <w:rPr>
      <w:rFonts w:hint="eastAsia" w:ascii="Arial Unicode MS" w:hAnsi="Arial Unicode MS" w:eastAsia="Times New Roman" w:cs="Arial Unicode MS"/>
      <w:color w:val="000000"/>
      <w:kern w:val="1"/>
      <w:sz w:val="24"/>
      <w:szCs w:val="24"/>
      <w:lang w:val="en-US" w:eastAsia="zh-CN" w:bidi="ar-SA"/>
    </w:rPr>
  </w:style>
  <w:style w:type="character" w:customStyle="1" w:styleId="12">
    <w:name w:val="批注框文本 Char"/>
    <w:basedOn w:val="7"/>
    <w:link w:val="2"/>
    <w:qFormat/>
    <w:uiPriority w:val="0"/>
    <w:rPr>
      <w:rFonts w:eastAsia="PMingLiU"/>
      <w:sz w:val="18"/>
      <w:szCs w:val="18"/>
      <w:lang w:val="en-GB" w:eastAsia="en-US"/>
    </w:rPr>
  </w:style>
  <w:style w:type="character" w:customStyle="1" w:styleId="13">
    <w:name w:val="apple-converted-space"/>
    <w:basedOn w:val="7"/>
    <w:qFormat/>
    <w:uiPriority w:val="0"/>
  </w:style>
  <w:style w:type="paragraph" w:styleId="14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F1ADEB0-59CB-4406-9FB4-FA7CBF578C2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137</Words>
  <Characters>786</Characters>
  <Lines>6</Lines>
  <Paragraphs>1</Paragraphs>
  <TotalTime>115</TotalTime>
  <ScaleCrop>false</ScaleCrop>
  <LinksUpToDate>false</LinksUpToDate>
  <CharactersWithSpaces>922</CharactersWithSpaces>
  <Application>WPS Office_11.1.0.8563_F1E327BC-269C-435d-A152-05C5408002CA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2018-06-21T09:52:00Z</dcterms:created>
  <dc:creator>ThinkPad User</dc:creator>
  <cp:lastModifiedBy>Spy</cp:lastModifiedBy>
  <cp:lastPrinted>2017-04-28T02:43:00Z</cp:lastPrinted>
  <dcterms:modified xsi:type="dcterms:W3CDTF">2019-06-20T05:28:08Z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2052-11.1.0.8563</vt:lpwstr>
  </property>
</Properties>
</file>