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720" w:firstLine="720"/>
        <w:rPr>
          <w:b/>
          <w:sz w:val="44"/>
        </w:rPr>
      </w:pPr>
      <w:bookmarkStart w:id="0" w:name="_GoBack"/>
      <w:bookmarkEnd w:id="0"/>
      <w:r>
        <w:rPr>
          <w:b/>
          <w:sz w:val="44"/>
          <w:lang w:val="en-GB" w:eastAsia="zh-CN"/>
        </w:rPr>
        <w:drawing>
          <wp:anchor distT="0" distB="0" distL="114300" distR="114300" simplePos="0" relativeHeight="251658240" behindDoc="0" locked="0" layoutInCell="1" allowOverlap="1">
            <wp:simplePos x="0" y="0"/>
            <wp:positionH relativeFrom="margin">
              <wp:posOffset>5899150</wp:posOffset>
            </wp:positionH>
            <wp:positionV relativeFrom="margin">
              <wp:posOffset>-170815</wp:posOffset>
            </wp:positionV>
            <wp:extent cx="826135" cy="1089025"/>
            <wp:effectExtent l="0" t="0" r="0" b="0"/>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826135" cy="1089025"/>
                    </a:xfrm>
                    <a:prstGeom prst="rect">
                      <a:avLst/>
                    </a:prstGeom>
                  </pic:spPr>
                </pic:pic>
              </a:graphicData>
            </a:graphic>
          </wp:anchor>
        </w:drawing>
      </w:r>
      <w:r>
        <w:rPr>
          <w:rFonts w:asciiTheme="minorEastAsia" w:hAnsiTheme="minorEastAsia" w:eastAsiaTheme="minorEastAsia"/>
          <w:b/>
          <w:sz w:val="44"/>
        </w:rPr>
        <w:t>卢宇婷</w:t>
      </w:r>
      <w:r>
        <w:rPr>
          <w:b/>
          <w:sz w:val="44"/>
        </w:rPr>
        <w:t xml:space="preserve"> </w:t>
      </w:r>
      <w:r>
        <w:rPr>
          <w:rFonts w:hint="eastAsia" w:asciiTheme="minorEastAsia" w:hAnsiTheme="minorEastAsia" w:eastAsiaTheme="minorEastAsia"/>
          <w:b/>
          <w:sz w:val="44"/>
          <w:lang w:eastAsia="zh-CN"/>
        </w:rPr>
        <w:t>|</w:t>
      </w:r>
      <w:r>
        <w:rPr>
          <w:b/>
          <w:sz w:val="44"/>
        </w:rPr>
        <w:t xml:space="preserve"> Windy Lu</w:t>
      </w:r>
      <w:r>
        <w:rPr>
          <w:b/>
          <w:sz w:val="44"/>
        </w:rPr>
        <w:tab/>
      </w:r>
      <w:r>
        <w:rPr>
          <w:b/>
          <w:sz w:val="44"/>
        </w:rPr>
        <w:tab/>
      </w:r>
      <w:r>
        <w:rPr>
          <w:b/>
          <w:sz w:val="44"/>
        </w:rPr>
        <w:tab/>
      </w:r>
    </w:p>
    <w:p>
      <w:pPr>
        <w:ind w:left="720" w:firstLine="720"/>
      </w:pPr>
      <w:r>
        <w:fldChar w:fldCharType="begin"/>
      </w:r>
      <w:r>
        <w:instrText xml:space="preserve"> HYPERLINK "mailto:Luyuting1990@aliyun.com" </w:instrText>
      </w:r>
      <w:r>
        <w:fldChar w:fldCharType="separate"/>
      </w:r>
      <w:r>
        <w:rPr>
          <w:rStyle w:val="7"/>
          <w:rFonts w:ascii="Arial Narrow" w:hAnsi="Arial Narrow"/>
          <w:sz w:val="21"/>
        </w:rPr>
        <w:t>Luyuting1990@aliyun.com</w:t>
      </w:r>
      <w:r>
        <w:rPr>
          <w:rStyle w:val="7"/>
          <w:rFonts w:ascii="Arial Narrow" w:hAnsi="Arial Narrow"/>
          <w:sz w:val="21"/>
        </w:rPr>
        <w:fldChar w:fldCharType="end"/>
      </w:r>
      <w:r>
        <w:t xml:space="preserve">      </w:t>
      </w:r>
      <w:r>
        <w:rPr>
          <w:rFonts w:ascii="Arial Narrow" w:hAnsi="Arial Narrow"/>
          <w:spacing w:val="-4"/>
          <w:sz w:val="21"/>
        </w:rPr>
        <w:t xml:space="preserve"> </w:t>
      </w:r>
      <w:r>
        <w:rPr>
          <w:rFonts w:ascii="Wingdings" w:hAnsi="Wingdings"/>
          <w:sz w:val="21"/>
        </w:rPr>
        <w:t></w:t>
      </w:r>
      <w:r>
        <w:rPr>
          <w:sz w:val="21"/>
        </w:rPr>
        <w:tab/>
      </w:r>
      <w:r>
        <w:rPr>
          <w:rFonts w:ascii="Arial Narrow" w:hAnsi="Arial Narrow"/>
          <w:sz w:val="21"/>
        </w:rPr>
        <w:t>+86</w:t>
      </w:r>
      <w:r>
        <w:rPr>
          <w:rFonts w:ascii="Arial Narrow" w:hAnsi="Arial Narrow"/>
          <w:spacing w:val="-9"/>
          <w:sz w:val="21"/>
        </w:rPr>
        <w:t xml:space="preserve"> </w:t>
      </w:r>
      <w:r>
        <w:rPr>
          <w:rFonts w:ascii="Arial Narrow" w:hAnsi="Arial Narrow"/>
          <w:sz w:val="21"/>
        </w:rPr>
        <w:t>151-2101-9748</w:t>
      </w:r>
    </w:p>
    <w:p/>
    <w:p/>
    <w:tbl>
      <w:tblPr>
        <w:tblStyle w:val="8"/>
        <w:tblW w:w="11029" w:type="dxa"/>
        <w:tblInd w:w="119" w:type="dxa"/>
        <w:tblLayout w:type="fixed"/>
        <w:tblCellMar>
          <w:top w:w="0" w:type="dxa"/>
          <w:left w:w="0" w:type="dxa"/>
          <w:bottom w:w="0" w:type="dxa"/>
          <w:right w:w="0" w:type="dxa"/>
        </w:tblCellMar>
      </w:tblPr>
      <w:tblGrid>
        <w:gridCol w:w="1512"/>
        <w:gridCol w:w="1982"/>
        <w:gridCol w:w="1133"/>
        <w:gridCol w:w="2031"/>
        <w:gridCol w:w="1901"/>
        <w:gridCol w:w="317"/>
        <w:gridCol w:w="2147"/>
        <w:gridCol w:w="6"/>
      </w:tblGrid>
      <w:tr>
        <w:tblPrEx>
          <w:tblLayout w:type="fixed"/>
          <w:tblCellMar>
            <w:top w:w="0" w:type="dxa"/>
            <w:left w:w="0" w:type="dxa"/>
            <w:bottom w:w="0" w:type="dxa"/>
            <w:right w:w="0" w:type="dxa"/>
          </w:tblCellMar>
        </w:tblPrEx>
        <w:trPr>
          <w:gridAfter w:val="1"/>
          <w:wAfter w:w="6" w:type="dxa"/>
          <w:trHeight w:val="432" w:hRule="exact"/>
        </w:trPr>
        <w:tc>
          <w:tcPr>
            <w:tcW w:w="3494" w:type="dxa"/>
            <w:gridSpan w:val="2"/>
          </w:tcPr>
          <w:p>
            <w:pPr>
              <w:pStyle w:val="10"/>
              <w:spacing w:before="0"/>
              <w:ind w:left="202"/>
              <w:rPr>
                <w:b/>
                <w:sz w:val="28"/>
              </w:rPr>
            </w:pPr>
            <w:r>
              <w:rPr>
                <w:rFonts w:hint="eastAsia" w:asciiTheme="minorEastAsia" w:hAnsiTheme="minorEastAsia" w:eastAsiaTheme="minorEastAsia"/>
                <w:b/>
                <w:sz w:val="28"/>
                <w:lang w:eastAsia="zh-CN"/>
              </w:rPr>
              <w:t>教育</w:t>
            </w:r>
            <w:r>
              <w:rPr>
                <w:b/>
                <w:sz w:val="28"/>
              </w:rPr>
              <w:t>/</w:t>
            </w:r>
            <w:r>
              <w:rPr>
                <w:rFonts w:asciiTheme="minorEastAsia" w:hAnsiTheme="minorEastAsia" w:eastAsiaTheme="minorEastAsia"/>
                <w:b/>
                <w:sz w:val="28"/>
                <w:lang w:eastAsia="zh-CN"/>
              </w:rPr>
              <w:t>培训</w:t>
            </w:r>
          </w:p>
        </w:tc>
        <w:tc>
          <w:tcPr>
            <w:tcW w:w="5382" w:type="dxa"/>
            <w:gridSpan w:val="4"/>
          </w:tcPr>
          <w:p/>
        </w:tc>
        <w:tc>
          <w:tcPr>
            <w:tcW w:w="2147" w:type="dxa"/>
          </w:tcPr>
          <w:p/>
        </w:tc>
      </w:tr>
      <w:tr>
        <w:tblPrEx>
          <w:tblLayout w:type="fixed"/>
          <w:tblCellMar>
            <w:top w:w="0" w:type="dxa"/>
            <w:left w:w="0" w:type="dxa"/>
            <w:bottom w:w="0" w:type="dxa"/>
            <w:right w:w="0" w:type="dxa"/>
          </w:tblCellMar>
        </w:tblPrEx>
        <w:trPr>
          <w:gridAfter w:val="1"/>
          <w:wAfter w:w="6" w:type="dxa"/>
          <w:trHeight w:val="377" w:hRule="exact"/>
        </w:trPr>
        <w:tc>
          <w:tcPr>
            <w:tcW w:w="3494" w:type="dxa"/>
            <w:gridSpan w:val="2"/>
          </w:tcPr>
          <w:p>
            <w:pPr>
              <w:pStyle w:val="10"/>
              <w:spacing w:before="72"/>
              <w:rPr>
                <w:b/>
                <w:sz w:val="24"/>
              </w:rPr>
            </w:pPr>
            <w:r>
              <w:rPr>
                <w:rFonts w:hint="eastAsia" w:asciiTheme="minorEastAsia" w:hAnsiTheme="minorEastAsia" w:eastAsiaTheme="minorEastAsia"/>
                <w:b/>
                <w:sz w:val="24"/>
                <w:lang w:eastAsia="zh-CN"/>
              </w:rPr>
              <w:t>上海</w:t>
            </w:r>
            <w:r>
              <w:rPr>
                <w:b/>
                <w:sz w:val="24"/>
              </w:rPr>
              <w:t xml:space="preserve">, </w:t>
            </w:r>
            <w:r>
              <w:rPr>
                <w:rFonts w:asciiTheme="minorEastAsia" w:hAnsiTheme="minorEastAsia" w:eastAsiaTheme="minorEastAsia"/>
                <w:b/>
                <w:sz w:val="24"/>
                <w:lang w:eastAsia="zh-CN"/>
              </w:rPr>
              <w:t>复旦大学</w:t>
            </w:r>
          </w:p>
        </w:tc>
        <w:tc>
          <w:tcPr>
            <w:tcW w:w="5382" w:type="dxa"/>
            <w:gridSpan w:val="4"/>
          </w:tcPr>
          <w:p>
            <w:pPr>
              <w:pStyle w:val="10"/>
              <w:spacing w:before="67"/>
              <w:ind w:left="422"/>
              <w:rPr>
                <w:rFonts w:asciiTheme="minorEastAsia" w:hAnsiTheme="minorEastAsia" w:eastAsiaTheme="minorEastAsia"/>
                <w:sz w:val="24"/>
                <w:lang w:eastAsia="zh-CN"/>
              </w:rPr>
            </w:pPr>
            <w:r>
              <w:rPr>
                <w:rFonts w:asciiTheme="minorEastAsia" w:hAnsiTheme="minorEastAsia" w:eastAsiaTheme="minorEastAsia"/>
                <w:sz w:val="24"/>
                <w:lang w:eastAsia="zh-CN"/>
              </w:rPr>
              <w:t>本科</w:t>
            </w:r>
            <w:r>
              <w:rPr>
                <w:rFonts w:hint="eastAsia" w:asciiTheme="minorEastAsia" w:hAnsiTheme="minorEastAsia" w:eastAsiaTheme="minorEastAsia"/>
                <w:sz w:val="24"/>
                <w:lang w:eastAsia="zh-CN"/>
              </w:rPr>
              <w:t>，</w:t>
            </w:r>
            <w:r>
              <w:rPr>
                <w:rFonts w:asciiTheme="minorEastAsia" w:hAnsiTheme="minorEastAsia" w:eastAsiaTheme="minorEastAsia"/>
                <w:sz w:val="24"/>
                <w:lang w:eastAsia="zh-CN"/>
              </w:rPr>
              <w:t>光信息科学与技术</w:t>
            </w:r>
          </w:p>
        </w:tc>
        <w:tc>
          <w:tcPr>
            <w:tcW w:w="2147" w:type="dxa"/>
          </w:tcPr>
          <w:p>
            <w:pPr>
              <w:pStyle w:val="10"/>
              <w:spacing w:before="67"/>
              <w:ind w:left="0" w:right="198"/>
              <w:jc w:val="right"/>
              <w:rPr>
                <w:sz w:val="24"/>
              </w:rPr>
            </w:pPr>
            <w:r>
              <w:rPr>
                <w:sz w:val="24"/>
              </w:rPr>
              <w:t>2008.08 – 2012.</w:t>
            </w:r>
            <w:r>
              <w:rPr>
                <w:rFonts w:hint="eastAsia" w:asciiTheme="minorEastAsia" w:hAnsiTheme="minorEastAsia" w:eastAsiaTheme="minorEastAsia"/>
                <w:sz w:val="24"/>
                <w:lang w:eastAsia="zh-CN"/>
              </w:rPr>
              <w:t>06</w:t>
            </w:r>
          </w:p>
        </w:tc>
      </w:tr>
      <w:tr>
        <w:tblPrEx>
          <w:tblLayout w:type="fixed"/>
          <w:tblCellMar>
            <w:top w:w="0" w:type="dxa"/>
            <w:left w:w="0" w:type="dxa"/>
            <w:bottom w:w="0" w:type="dxa"/>
            <w:right w:w="0" w:type="dxa"/>
          </w:tblCellMar>
        </w:tblPrEx>
        <w:trPr>
          <w:gridAfter w:val="1"/>
          <w:wAfter w:w="6" w:type="dxa"/>
          <w:trHeight w:val="419" w:hRule="exact"/>
        </w:trPr>
        <w:tc>
          <w:tcPr>
            <w:tcW w:w="11023" w:type="dxa"/>
            <w:gridSpan w:val="7"/>
          </w:tcPr>
          <w:p>
            <w:pPr>
              <w:pStyle w:val="10"/>
              <w:numPr>
                <w:ilvl w:val="0"/>
                <w:numId w:val="1"/>
              </w:numPr>
              <w:tabs>
                <w:tab w:val="left" w:pos="617"/>
                <w:tab w:val="left" w:pos="618"/>
              </w:tabs>
              <w:spacing w:before="1" w:line="271" w:lineRule="auto"/>
              <w:ind w:right="754" w:hanging="417"/>
              <w:rPr>
                <w:sz w:val="24"/>
                <w:lang w:eastAsia="zh-CN"/>
              </w:rPr>
            </w:pPr>
            <w:r>
              <w:rPr>
                <w:sz w:val="24"/>
                <w:lang w:eastAsia="zh-CN"/>
              </w:rPr>
              <w:t>GPA</w:t>
            </w:r>
            <w:r>
              <w:rPr>
                <w:rFonts w:hint="eastAsia" w:ascii="宋体" w:hAnsi="宋体" w:eastAsia="宋体" w:cs="宋体"/>
                <w:sz w:val="24"/>
                <w:lang w:eastAsia="zh-CN"/>
              </w:rPr>
              <w:t>前</w:t>
            </w:r>
            <w:r>
              <w:rPr>
                <w:rFonts w:asciiTheme="minorEastAsia" w:hAnsiTheme="minorEastAsia" w:eastAsiaTheme="minorEastAsia"/>
                <w:sz w:val="24"/>
                <w:lang w:eastAsia="zh-CN"/>
              </w:rPr>
              <w:t>10</w:t>
            </w:r>
            <w:r>
              <w:rPr>
                <w:rFonts w:hint="eastAsia" w:asciiTheme="minorEastAsia" w:hAnsiTheme="minorEastAsia" w:eastAsiaTheme="minorEastAsia"/>
                <w:sz w:val="24"/>
                <w:lang w:eastAsia="zh-CN"/>
              </w:rPr>
              <w:t>%</w:t>
            </w:r>
            <w:r>
              <w:rPr>
                <w:rFonts w:hint="eastAsia" w:cs="宋体" w:asciiTheme="minorEastAsia" w:hAnsiTheme="minorEastAsia" w:eastAsiaTheme="minorEastAsia"/>
                <w:sz w:val="24"/>
                <w:lang w:eastAsia="zh-CN"/>
              </w:rPr>
              <w:t>，主要课程包含理论物理、量子力学、实验物理、光学、电子电路等。</w:t>
            </w:r>
          </w:p>
        </w:tc>
      </w:tr>
      <w:tr>
        <w:tblPrEx>
          <w:tblLayout w:type="fixed"/>
          <w:tblCellMar>
            <w:top w:w="0" w:type="dxa"/>
            <w:left w:w="0" w:type="dxa"/>
            <w:bottom w:w="0" w:type="dxa"/>
            <w:right w:w="0" w:type="dxa"/>
          </w:tblCellMar>
        </w:tblPrEx>
        <w:trPr>
          <w:gridAfter w:val="1"/>
          <w:wAfter w:w="6" w:type="dxa"/>
          <w:trHeight w:val="464" w:hRule="exact"/>
        </w:trPr>
        <w:tc>
          <w:tcPr>
            <w:tcW w:w="3494" w:type="dxa"/>
            <w:gridSpan w:val="2"/>
          </w:tcPr>
          <w:p>
            <w:pPr>
              <w:pStyle w:val="10"/>
              <w:spacing w:before="68"/>
              <w:rPr>
                <w:b/>
                <w:sz w:val="24"/>
              </w:rPr>
            </w:pPr>
            <w:r>
              <w:rPr>
                <w:rFonts w:hint="eastAsia" w:asciiTheme="minorEastAsia" w:hAnsiTheme="minorEastAsia" w:eastAsiaTheme="minorEastAsia"/>
                <w:b/>
                <w:sz w:val="24"/>
                <w:lang w:eastAsia="zh-CN"/>
              </w:rPr>
              <w:t>上海，</w:t>
            </w:r>
            <w:r>
              <w:rPr>
                <w:rFonts w:asciiTheme="minorEastAsia" w:hAnsiTheme="minorEastAsia" w:eastAsiaTheme="minorEastAsia"/>
                <w:b/>
                <w:sz w:val="24"/>
                <w:lang w:eastAsia="zh-CN"/>
              </w:rPr>
              <w:t>同济大学</w:t>
            </w:r>
          </w:p>
        </w:tc>
        <w:tc>
          <w:tcPr>
            <w:tcW w:w="5382" w:type="dxa"/>
            <w:gridSpan w:val="4"/>
          </w:tcPr>
          <w:p>
            <w:pPr>
              <w:pStyle w:val="10"/>
              <w:spacing w:before="63" w:line="271" w:lineRule="auto"/>
              <w:ind w:left="422" w:right="442"/>
              <w:rPr>
                <w:sz w:val="24"/>
              </w:rPr>
            </w:pPr>
            <w:r>
              <w:rPr>
                <w:rFonts w:hint="eastAsia" w:asciiTheme="minorEastAsia" w:hAnsiTheme="minorEastAsia" w:eastAsiaTheme="minorEastAsia"/>
                <w:sz w:val="24"/>
                <w:lang w:eastAsia="zh-CN"/>
              </w:rPr>
              <w:t>德语</w:t>
            </w:r>
          </w:p>
        </w:tc>
        <w:tc>
          <w:tcPr>
            <w:tcW w:w="2147" w:type="dxa"/>
          </w:tcPr>
          <w:p>
            <w:pPr>
              <w:pStyle w:val="10"/>
              <w:spacing w:before="63"/>
              <w:ind w:left="0" w:right="200"/>
              <w:jc w:val="right"/>
              <w:rPr>
                <w:sz w:val="24"/>
              </w:rPr>
            </w:pPr>
            <w:r>
              <w:rPr>
                <w:sz w:val="24"/>
              </w:rPr>
              <w:t xml:space="preserve">2010.09 </w:t>
            </w:r>
            <w:r>
              <w:rPr>
                <w:rFonts w:hint="eastAsia" w:asciiTheme="minorEastAsia" w:hAnsiTheme="minorEastAsia" w:eastAsiaTheme="minorEastAsia"/>
                <w:sz w:val="24"/>
                <w:lang w:eastAsia="zh-CN"/>
              </w:rPr>
              <w:t>-</w:t>
            </w:r>
            <w:r>
              <w:rPr>
                <w:rFonts w:asciiTheme="minorEastAsia" w:hAnsiTheme="minorEastAsia" w:eastAsiaTheme="minorEastAsia"/>
                <w:sz w:val="24"/>
                <w:lang w:eastAsia="zh-CN"/>
              </w:rPr>
              <w:t xml:space="preserve"> </w:t>
            </w:r>
            <w:r>
              <w:rPr>
                <w:sz w:val="24"/>
              </w:rPr>
              <w:t>2012.06</w:t>
            </w:r>
          </w:p>
        </w:tc>
      </w:tr>
      <w:tr>
        <w:tblPrEx>
          <w:tblLayout w:type="fixed"/>
          <w:tblCellMar>
            <w:top w:w="0" w:type="dxa"/>
            <w:left w:w="0" w:type="dxa"/>
            <w:bottom w:w="0" w:type="dxa"/>
            <w:right w:w="0" w:type="dxa"/>
          </w:tblCellMar>
        </w:tblPrEx>
        <w:trPr>
          <w:gridAfter w:val="1"/>
          <w:wAfter w:w="6" w:type="dxa"/>
          <w:trHeight w:val="2592" w:hRule="exact"/>
        </w:trPr>
        <w:tc>
          <w:tcPr>
            <w:tcW w:w="11023" w:type="dxa"/>
            <w:gridSpan w:val="7"/>
          </w:tcPr>
          <w:p>
            <w:pPr>
              <w:pStyle w:val="10"/>
              <w:spacing w:before="80"/>
              <w:rPr>
                <w:b/>
                <w:sz w:val="28"/>
              </w:rPr>
            </w:pPr>
            <w:r>
              <w:rPr>
                <w:rFonts w:hint="eastAsia" w:asciiTheme="minorEastAsia" w:hAnsiTheme="minorEastAsia" w:eastAsiaTheme="minorEastAsia"/>
                <w:b/>
                <w:sz w:val="28"/>
                <w:lang w:eastAsia="zh-CN"/>
              </w:rPr>
              <w:t>自我</w:t>
            </w:r>
            <w:r>
              <w:rPr>
                <w:rFonts w:asciiTheme="minorEastAsia" w:hAnsiTheme="minorEastAsia" w:eastAsiaTheme="minorEastAsia"/>
                <w:b/>
                <w:sz w:val="28"/>
                <w:lang w:eastAsia="zh-CN"/>
              </w:rPr>
              <w:t>评价</w:t>
            </w:r>
          </w:p>
          <w:p>
            <w:pPr>
              <w:pStyle w:val="10"/>
              <w:numPr>
                <w:ilvl w:val="0"/>
                <w:numId w:val="2"/>
              </w:numPr>
              <w:tabs>
                <w:tab w:val="left" w:pos="619"/>
                <w:tab w:val="left" w:pos="620"/>
              </w:tabs>
              <w:spacing w:before="120"/>
              <w:ind w:hanging="418"/>
              <w:rPr>
                <w:rFonts w:ascii="宋体" w:hAnsi="宋体" w:eastAsia="宋体" w:cs="宋体"/>
                <w:i/>
                <w:sz w:val="21"/>
                <w:lang w:eastAsia="zh-CN"/>
              </w:rPr>
            </w:pPr>
            <w:r>
              <w:rPr>
                <w:rFonts w:ascii="宋体" w:hAnsi="宋体" w:eastAsia="宋体" w:cs="宋体"/>
                <w:i/>
                <w:sz w:val="21"/>
                <w:lang w:eastAsia="zh-CN"/>
              </w:rPr>
              <w:t>人力资源管理全套咨询经验</w:t>
            </w:r>
            <w:r>
              <w:rPr>
                <w:rFonts w:hint="eastAsia" w:ascii="宋体" w:hAnsi="宋体" w:eastAsia="宋体" w:cs="宋体"/>
                <w:i/>
                <w:sz w:val="21"/>
                <w:lang w:eastAsia="zh-CN"/>
              </w:rPr>
              <w:t>。涉及行业包括：机械、贸易、医疗、金融、电商等。对战略澄清、组织调整、岗位管理、绩效管理、薪酬实践、变革管理都有较丰富的经验。</w:t>
            </w:r>
          </w:p>
          <w:p>
            <w:pPr>
              <w:pStyle w:val="10"/>
              <w:numPr>
                <w:ilvl w:val="0"/>
                <w:numId w:val="2"/>
              </w:numPr>
              <w:tabs>
                <w:tab w:val="left" w:pos="619"/>
                <w:tab w:val="left" w:pos="620"/>
              </w:tabs>
              <w:spacing w:before="120"/>
              <w:ind w:hanging="418"/>
              <w:rPr>
                <w:i/>
                <w:sz w:val="21"/>
                <w:lang w:eastAsia="zh-CN"/>
              </w:rPr>
            </w:pPr>
            <w:r>
              <w:rPr>
                <w:rFonts w:hint="eastAsia" w:ascii="宋体" w:hAnsi="宋体" w:eastAsia="宋体" w:cs="宋体"/>
                <w:i/>
                <w:sz w:val="21"/>
                <w:lang w:eastAsia="zh-CN"/>
              </w:rPr>
              <w:t>多个项目涉及战略澄清与战略执行辅导，曾有</w:t>
            </w:r>
            <w:r>
              <w:rPr>
                <w:rFonts w:ascii="宋体" w:hAnsi="宋体" w:eastAsia="宋体" w:cs="宋体"/>
                <w:i/>
                <w:sz w:val="21"/>
                <w:lang w:eastAsia="zh-CN"/>
              </w:rPr>
              <w:t>1</w:t>
            </w:r>
            <w:r>
              <w:rPr>
                <w:rFonts w:hint="eastAsia" w:ascii="宋体" w:hAnsi="宋体" w:eastAsia="宋体" w:cs="宋体"/>
                <w:i/>
                <w:sz w:val="21"/>
                <w:lang w:eastAsia="zh-CN"/>
              </w:rPr>
              <w:t>年战略管理部门及战略咨询实习经验。能</w:t>
            </w:r>
            <w:r>
              <w:rPr>
                <w:rFonts w:hint="eastAsia" w:asciiTheme="minorEastAsia" w:hAnsiTheme="minorEastAsia" w:eastAsiaTheme="minorEastAsia"/>
                <w:i/>
                <w:sz w:val="21"/>
                <w:lang w:eastAsia="zh-CN"/>
              </w:rPr>
              <w:t>从驱动业务、落地战略的角度思考管理体系的设计和运作。具有丰富的落地项目经验，对绩效、权责设置等板块对前台业务的推动作用有深入理解。</w:t>
            </w:r>
          </w:p>
          <w:p>
            <w:pPr>
              <w:pStyle w:val="10"/>
              <w:numPr>
                <w:ilvl w:val="0"/>
                <w:numId w:val="2"/>
              </w:numPr>
              <w:tabs>
                <w:tab w:val="left" w:pos="619"/>
                <w:tab w:val="left" w:pos="620"/>
              </w:tabs>
              <w:spacing w:before="120"/>
              <w:ind w:hanging="418"/>
              <w:rPr>
                <w:rFonts w:asciiTheme="minorEastAsia" w:hAnsiTheme="minorEastAsia" w:eastAsiaTheme="minorEastAsia"/>
                <w:b/>
                <w:sz w:val="28"/>
                <w:lang w:eastAsia="zh-CN"/>
              </w:rPr>
            </w:pPr>
            <w:r>
              <w:rPr>
                <w:rFonts w:hint="eastAsia" w:asciiTheme="minorEastAsia" w:hAnsiTheme="minorEastAsia" w:eastAsiaTheme="minorEastAsia"/>
                <w:i/>
                <w:sz w:val="21"/>
                <w:lang w:eastAsia="zh-CN"/>
              </w:rPr>
              <w:t>对互联网行业、智能商业充满兴趣，希望加入快速成长、充满活力的业务团队，“登上火箭”。</w:t>
            </w:r>
          </w:p>
        </w:tc>
      </w:tr>
      <w:tr>
        <w:tblPrEx>
          <w:tblLayout w:type="fixed"/>
          <w:tblCellMar>
            <w:top w:w="0" w:type="dxa"/>
            <w:left w:w="0" w:type="dxa"/>
            <w:bottom w:w="0" w:type="dxa"/>
            <w:right w:w="0" w:type="dxa"/>
          </w:tblCellMar>
        </w:tblPrEx>
        <w:trPr>
          <w:gridAfter w:val="1"/>
          <w:wAfter w:w="6" w:type="dxa"/>
          <w:trHeight w:val="556" w:hRule="exact"/>
        </w:trPr>
        <w:tc>
          <w:tcPr>
            <w:tcW w:w="11023" w:type="dxa"/>
            <w:gridSpan w:val="7"/>
          </w:tcPr>
          <w:p>
            <w:pPr>
              <w:pStyle w:val="10"/>
              <w:spacing w:before="131"/>
              <w:rPr>
                <w:rFonts w:asciiTheme="minorEastAsia" w:hAnsiTheme="minorEastAsia" w:eastAsiaTheme="minorEastAsia"/>
                <w:b/>
                <w:sz w:val="28"/>
              </w:rPr>
            </w:pPr>
            <w:r>
              <w:rPr>
                <w:rFonts w:hint="eastAsia" w:asciiTheme="minorEastAsia" w:hAnsiTheme="minorEastAsia" w:eastAsiaTheme="minorEastAsia"/>
                <w:b/>
                <w:sz w:val="28"/>
                <w:lang w:eastAsia="zh-CN"/>
              </w:rPr>
              <w:t>职业</w:t>
            </w:r>
            <w:r>
              <w:rPr>
                <w:rFonts w:asciiTheme="minorEastAsia" w:hAnsiTheme="minorEastAsia" w:eastAsiaTheme="minorEastAsia"/>
                <w:b/>
                <w:sz w:val="28"/>
              </w:rPr>
              <w:t>经历</w:t>
            </w:r>
          </w:p>
        </w:tc>
      </w:tr>
      <w:tr>
        <w:tblPrEx>
          <w:tblLayout w:type="fixed"/>
          <w:tblCellMar>
            <w:top w:w="0" w:type="dxa"/>
            <w:left w:w="0" w:type="dxa"/>
            <w:bottom w:w="0" w:type="dxa"/>
            <w:right w:w="0" w:type="dxa"/>
          </w:tblCellMar>
        </w:tblPrEx>
        <w:trPr>
          <w:gridAfter w:val="1"/>
          <w:wAfter w:w="6" w:type="dxa"/>
          <w:trHeight w:val="720" w:hRule="exact"/>
        </w:trPr>
        <w:tc>
          <w:tcPr>
            <w:tcW w:w="8876" w:type="dxa"/>
            <w:gridSpan w:val="6"/>
          </w:tcPr>
          <w:p>
            <w:pPr>
              <w:pStyle w:val="10"/>
              <w:spacing w:before="78"/>
              <w:rPr>
                <w:b/>
                <w:lang w:eastAsia="zh-CN"/>
              </w:rPr>
            </w:pPr>
            <w:r>
              <w:rPr>
                <w:rFonts w:asciiTheme="minorEastAsia" w:hAnsiTheme="minorEastAsia" w:eastAsiaTheme="minorEastAsia"/>
                <w:b/>
                <w:lang w:eastAsia="zh-CN"/>
              </w:rPr>
              <w:t xml:space="preserve">毕马威企业咨询 </w:t>
            </w:r>
            <w:r>
              <w:rPr>
                <w:rFonts w:hint="eastAsia" w:asciiTheme="minorEastAsia" w:hAnsiTheme="minorEastAsia" w:eastAsiaTheme="minorEastAsia"/>
                <w:b/>
                <w:lang w:eastAsia="zh-CN"/>
              </w:rPr>
              <w:t>|</w:t>
            </w:r>
            <w:r>
              <w:rPr>
                <w:b/>
                <w:lang w:eastAsia="zh-CN"/>
              </w:rPr>
              <w:t xml:space="preserve"> KPMG Advisory China</w:t>
            </w:r>
          </w:p>
          <w:p>
            <w:pPr>
              <w:pStyle w:val="10"/>
              <w:spacing w:before="78"/>
              <w:rPr>
                <w:b/>
                <w:lang w:eastAsia="zh-CN"/>
              </w:rPr>
            </w:pPr>
            <w:r>
              <w:rPr>
                <w:rFonts w:hint="eastAsia" w:asciiTheme="minorEastAsia" w:hAnsiTheme="minorEastAsia" w:eastAsiaTheme="minorEastAsia"/>
                <w:lang w:eastAsia="zh-CN"/>
              </w:rPr>
              <w:t>（领先外资企业咨询公司，业务涉及从战略到执行、收并购管理、风险咨询等咨询业务）</w:t>
            </w:r>
          </w:p>
        </w:tc>
        <w:tc>
          <w:tcPr>
            <w:tcW w:w="2147" w:type="dxa"/>
          </w:tcPr>
          <w:p>
            <w:pPr>
              <w:pStyle w:val="10"/>
              <w:spacing w:before="73"/>
              <w:ind w:left="0" w:right="199"/>
              <w:jc w:val="right"/>
              <w:rPr>
                <w:lang w:eastAsia="zh-CN"/>
              </w:rPr>
            </w:pPr>
            <w:r>
              <w:rPr>
                <w:lang w:eastAsia="zh-CN"/>
              </w:rPr>
              <w:t xml:space="preserve">2016.06 </w:t>
            </w:r>
            <w:r>
              <w:rPr>
                <w:rFonts w:asciiTheme="minorEastAsia" w:hAnsiTheme="minorEastAsia" w:eastAsiaTheme="minorEastAsia"/>
                <w:lang w:eastAsia="zh-CN"/>
              </w:rPr>
              <w:t>–</w:t>
            </w:r>
            <w:r>
              <w:rPr>
                <w:lang w:eastAsia="zh-CN"/>
              </w:rPr>
              <w:t xml:space="preserve"> </w:t>
            </w:r>
            <w:r>
              <w:rPr>
                <w:rFonts w:asciiTheme="minorEastAsia" w:hAnsiTheme="minorEastAsia" w:eastAsiaTheme="minorEastAsia"/>
                <w:lang w:eastAsia="zh-CN"/>
              </w:rPr>
              <w:t>至今</w:t>
            </w:r>
          </w:p>
        </w:tc>
      </w:tr>
      <w:tr>
        <w:tblPrEx>
          <w:tblLayout w:type="fixed"/>
          <w:tblCellMar>
            <w:top w:w="0" w:type="dxa"/>
            <w:left w:w="0" w:type="dxa"/>
            <w:bottom w:w="0" w:type="dxa"/>
            <w:right w:w="0" w:type="dxa"/>
          </w:tblCellMar>
        </w:tblPrEx>
        <w:trPr>
          <w:gridAfter w:val="1"/>
          <w:wAfter w:w="6" w:type="dxa"/>
          <w:trHeight w:val="720" w:hRule="exact"/>
        </w:trPr>
        <w:tc>
          <w:tcPr>
            <w:tcW w:w="8876" w:type="dxa"/>
            <w:gridSpan w:val="6"/>
            <w:vAlign w:val="center"/>
          </w:tcPr>
          <w:p>
            <w:pPr>
              <w:pStyle w:val="10"/>
              <w:spacing w:before="13"/>
              <w:rPr>
                <w:b/>
                <w:lang w:eastAsia="zh-CN"/>
              </w:rPr>
            </w:pPr>
            <w:r>
              <w:rPr>
                <w:rFonts w:hint="eastAsia" w:asciiTheme="minorEastAsia" w:hAnsiTheme="minorEastAsia" w:eastAsiaTheme="minorEastAsia"/>
                <w:i/>
                <w:sz w:val="24"/>
                <w:lang w:eastAsia="zh-CN"/>
              </w:rPr>
              <w:t>经理（</w:t>
            </w:r>
            <w:r>
              <w:rPr>
                <w:rFonts w:asciiTheme="minorEastAsia" w:hAnsiTheme="minorEastAsia" w:eastAsiaTheme="minorEastAsia"/>
                <w:i/>
                <w:sz w:val="24"/>
                <w:lang w:eastAsia="zh-CN"/>
              </w:rPr>
              <w:t>2</w:t>
            </w:r>
            <w:r>
              <w:rPr>
                <w:rFonts w:hint="eastAsia" w:asciiTheme="minorEastAsia" w:hAnsiTheme="minorEastAsia" w:eastAsiaTheme="minorEastAsia"/>
                <w:i/>
                <w:sz w:val="24"/>
                <w:lang w:eastAsia="zh-CN"/>
              </w:rPr>
              <w:t>年高级顾问经验，由于表现优异，得到前</w:t>
            </w:r>
            <w:r>
              <w:rPr>
                <w:rFonts w:asciiTheme="minorEastAsia" w:hAnsiTheme="minorEastAsia" w:eastAsiaTheme="minorEastAsia"/>
                <w:i/>
                <w:sz w:val="24"/>
                <w:lang w:eastAsia="zh-CN"/>
              </w:rPr>
              <w:t>5%</w:t>
            </w:r>
            <w:r>
              <w:rPr>
                <w:rFonts w:hint="eastAsia" w:asciiTheme="minorEastAsia" w:hAnsiTheme="minorEastAsia" w:eastAsiaTheme="minorEastAsia"/>
                <w:i/>
                <w:sz w:val="24"/>
                <w:lang w:eastAsia="zh-CN"/>
              </w:rPr>
              <w:t>绩效得分，快速晋升到经理，比平均晋升年限少用</w:t>
            </w:r>
            <w:r>
              <w:rPr>
                <w:rFonts w:asciiTheme="minorEastAsia" w:hAnsiTheme="minorEastAsia" w:eastAsiaTheme="minorEastAsia"/>
                <w:i/>
                <w:sz w:val="24"/>
                <w:lang w:eastAsia="zh-CN"/>
              </w:rPr>
              <w:t>1</w:t>
            </w:r>
            <w:r>
              <w:rPr>
                <w:rFonts w:hint="eastAsia" w:asciiTheme="minorEastAsia" w:hAnsiTheme="minorEastAsia" w:eastAsiaTheme="minorEastAsia"/>
                <w:i/>
                <w:sz w:val="24"/>
                <w:lang w:eastAsia="zh-CN"/>
              </w:rPr>
              <w:t>年时间）</w:t>
            </w:r>
          </w:p>
        </w:tc>
        <w:tc>
          <w:tcPr>
            <w:tcW w:w="2147" w:type="dxa"/>
          </w:tcPr>
          <w:p>
            <w:pPr>
              <w:pStyle w:val="10"/>
              <w:spacing w:before="73"/>
              <w:ind w:left="0" w:right="199"/>
              <w:jc w:val="right"/>
              <w:rPr>
                <w:lang w:eastAsia="zh-CN"/>
              </w:rPr>
            </w:pPr>
          </w:p>
        </w:tc>
      </w:tr>
      <w:tr>
        <w:tblPrEx>
          <w:tblLayout w:type="fixed"/>
          <w:tblCellMar>
            <w:top w:w="0" w:type="dxa"/>
            <w:left w:w="0" w:type="dxa"/>
            <w:bottom w:w="0" w:type="dxa"/>
            <w:right w:w="0" w:type="dxa"/>
          </w:tblCellMar>
        </w:tblPrEx>
        <w:trPr>
          <w:gridAfter w:val="1"/>
          <w:wAfter w:w="6" w:type="dxa"/>
          <w:trHeight w:val="7488" w:hRule="exact"/>
        </w:trPr>
        <w:tc>
          <w:tcPr>
            <w:tcW w:w="11023" w:type="dxa"/>
            <w:gridSpan w:val="7"/>
          </w:tcPr>
          <w:p>
            <w:pPr>
              <w:pStyle w:val="10"/>
              <w:tabs>
                <w:tab w:val="left" w:pos="1894"/>
                <w:tab w:val="left" w:pos="1895"/>
              </w:tabs>
              <w:spacing w:before="16" w:line="295" w:lineRule="auto"/>
              <w:ind w:left="720" w:right="238"/>
              <w:rPr>
                <w:rFonts w:asciiTheme="minorEastAsia" w:hAnsiTheme="minorEastAsia" w:eastAsiaTheme="minorEastAsia"/>
                <w:b/>
                <w:lang w:eastAsia="zh-CN"/>
              </w:rPr>
            </w:pPr>
            <w:r>
              <w:rPr>
                <w:rFonts w:asciiTheme="minorEastAsia" w:hAnsiTheme="minorEastAsia" w:eastAsiaTheme="minorEastAsia"/>
                <w:b/>
                <w:lang w:eastAsia="zh-CN"/>
              </w:rPr>
              <w:t>关键成就</w:t>
            </w:r>
          </w:p>
          <w:p>
            <w:pPr>
              <w:pStyle w:val="10"/>
              <w:numPr>
                <w:ilvl w:val="0"/>
                <w:numId w:val="3"/>
              </w:numPr>
              <w:tabs>
                <w:tab w:val="left" w:pos="1894"/>
                <w:tab w:val="left" w:pos="1895"/>
              </w:tabs>
              <w:spacing w:before="16" w:line="295" w:lineRule="auto"/>
              <w:ind w:right="238" w:hanging="417"/>
              <w:rPr>
                <w:b/>
                <w:lang w:eastAsia="zh-CN"/>
              </w:rPr>
            </w:pPr>
            <w:r>
              <w:rPr>
                <w:rFonts w:asciiTheme="minorEastAsia" w:hAnsiTheme="minorEastAsia" w:eastAsiaTheme="minorEastAsia"/>
                <w:lang w:eastAsia="zh-CN"/>
              </w:rPr>
              <w:t>作为首批开拓新咨询服务模式的先锋</w:t>
            </w:r>
            <w:r>
              <w:rPr>
                <w:rFonts w:hint="eastAsia" w:asciiTheme="minorEastAsia" w:hAnsiTheme="minorEastAsia" w:eastAsiaTheme="minorEastAsia"/>
                <w:lang w:eastAsia="zh-CN"/>
              </w:rPr>
              <w:t>，</w:t>
            </w:r>
            <w:r>
              <w:rPr>
                <w:rFonts w:asciiTheme="minorEastAsia" w:hAnsiTheme="minorEastAsia" w:eastAsiaTheme="minorEastAsia"/>
                <w:lang w:eastAsia="zh-CN"/>
              </w:rPr>
              <w:t>成功探索和交付</w:t>
            </w:r>
            <w:r>
              <w:rPr>
                <w:rFonts w:hint="eastAsia" w:asciiTheme="minorEastAsia" w:hAnsiTheme="minorEastAsia" w:eastAsiaTheme="minorEastAsia"/>
                <w:lang w:eastAsia="zh-CN"/>
              </w:rPr>
              <w:t>3个类型的新咨询服务套餐的第一个成功案例，这些模式现场成功变成团队内可规模化、复制性强的服务模式：1）从战略到架构岗位再到薪酬绩效的全套重咨询；2）长期顾问辅导模式；3）顾问提供方法论、工作坊和长期辅导，客户自主完成模式1）中内容的设计和落地。</w:t>
            </w:r>
          </w:p>
          <w:p>
            <w:pPr>
              <w:pStyle w:val="10"/>
              <w:numPr>
                <w:ilvl w:val="0"/>
                <w:numId w:val="3"/>
              </w:numPr>
              <w:tabs>
                <w:tab w:val="left" w:pos="1894"/>
                <w:tab w:val="left" w:pos="1895"/>
              </w:tabs>
              <w:spacing w:before="16" w:line="295" w:lineRule="auto"/>
              <w:ind w:right="238" w:hanging="417"/>
              <w:rPr>
                <w:b/>
                <w:lang w:eastAsia="zh-CN"/>
              </w:rPr>
            </w:pPr>
            <w:r>
              <w:rPr>
                <w:rFonts w:asciiTheme="minorEastAsia" w:hAnsiTheme="minorEastAsia" w:eastAsiaTheme="minorEastAsia"/>
                <w:lang w:eastAsia="zh-CN"/>
              </w:rPr>
              <w:t>作为现场项目经理</w:t>
            </w:r>
            <w:r>
              <w:rPr>
                <w:rFonts w:hint="eastAsia" w:asciiTheme="minorEastAsia" w:hAnsiTheme="minorEastAsia" w:eastAsiaTheme="minorEastAsia"/>
                <w:lang w:eastAsia="zh-CN"/>
              </w:rPr>
              <w:t>，驻场</w:t>
            </w:r>
            <w:r>
              <w:rPr>
                <w:rFonts w:asciiTheme="minorEastAsia" w:hAnsiTheme="minorEastAsia" w:eastAsiaTheme="minorEastAsia"/>
                <w:lang w:eastAsia="zh-CN"/>
              </w:rPr>
              <w:t>带领</w:t>
            </w:r>
            <w:r>
              <w:rPr>
                <w:rFonts w:hint="eastAsia" w:asciiTheme="minorEastAsia" w:hAnsiTheme="minorEastAsia" w:eastAsiaTheme="minorEastAsia"/>
                <w:lang w:eastAsia="zh-CN"/>
              </w:rPr>
              <w:t>2-</w:t>
            </w:r>
            <w:r>
              <w:rPr>
                <w:rFonts w:asciiTheme="minorEastAsia" w:hAnsiTheme="minorEastAsia" w:eastAsiaTheme="minorEastAsia"/>
                <w:lang w:eastAsia="zh-CN"/>
              </w:rPr>
              <w:t>3名项目成员</w:t>
            </w:r>
            <w:r>
              <w:rPr>
                <w:rFonts w:hint="eastAsia" w:asciiTheme="minorEastAsia" w:hAnsiTheme="minorEastAsia" w:eastAsiaTheme="minorEastAsia"/>
                <w:lang w:eastAsia="zh-CN"/>
              </w:rPr>
              <w:t>，</w:t>
            </w:r>
            <w:r>
              <w:rPr>
                <w:rFonts w:asciiTheme="minorEastAsia" w:hAnsiTheme="minorEastAsia" w:eastAsiaTheme="minorEastAsia"/>
                <w:lang w:eastAsia="zh-CN"/>
              </w:rPr>
              <w:t>对现场项目计划</w:t>
            </w:r>
            <w:r>
              <w:rPr>
                <w:rFonts w:hint="eastAsia" w:asciiTheme="minorEastAsia" w:hAnsiTheme="minorEastAsia" w:eastAsiaTheme="minorEastAsia"/>
                <w:lang w:eastAsia="zh-CN"/>
              </w:rPr>
              <w:t>、</w:t>
            </w:r>
            <w:r>
              <w:rPr>
                <w:rFonts w:asciiTheme="minorEastAsia" w:hAnsiTheme="minorEastAsia" w:eastAsiaTheme="minorEastAsia"/>
                <w:lang w:eastAsia="zh-CN"/>
              </w:rPr>
              <w:t>客户关键相关者关系维护</w:t>
            </w:r>
            <w:r>
              <w:rPr>
                <w:rFonts w:hint="eastAsia" w:asciiTheme="minorEastAsia" w:hAnsiTheme="minorEastAsia" w:eastAsiaTheme="minorEastAsia"/>
                <w:lang w:eastAsia="zh-CN"/>
              </w:rPr>
              <w:t>、</w:t>
            </w:r>
            <w:r>
              <w:rPr>
                <w:rFonts w:asciiTheme="minorEastAsia" w:hAnsiTheme="minorEastAsia" w:eastAsiaTheme="minorEastAsia"/>
                <w:lang w:eastAsia="zh-CN"/>
              </w:rPr>
              <w:t>关键工作坊和汇报会主持</w:t>
            </w:r>
            <w:r>
              <w:rPr>
                <w:rFonts w:hint="eastAsia" w:asciiTheme="minorEastAsia" w:hAnsiTheme="minorEastAsia" w:eastAsiaTheme="minorEastAsia"/>
                <w:lang w:eastAsia="zh-CN"/>
              </w:rPr>
              <w:t>、</w:t>
            </w:r>
            <w:r>
              <w:rPr>
                <w:rFonts w:asciiTheme="minorEastAsia" w:hAnsiTheme="minorEastAsia" w:eastAsiaTheme="minorEastAsia"/>
                <w:lang w:eastAsia="zh-CN"/>
              </w:rPr>
              <w:t>交付件质量等负责</w:t>
            </w:r>
            <w:r>
              <w:rPr>
                <w:rFonts w:hint="eastAsia" w:asciiTheme="minorEastAsia" w:hAnsiTheme="minorEastAsia" w:eastAsiaTheme="minorEastAsia"/>
                <w:lang w:eastAsia="zh-CN"/>
              </w:rPr>
              <w:t>。</w:t>
            </w:r>
            <w:r>
              <w:rPr>
                <w:rFonts w:asciiTheme="minorEastAsia" w:hAnsiTheme="minorEastAsia" w:eastAsiaTheme="minorEastAsia"/>
                <w:lang w:eastAsia="zh-CN"/>
              </w:rPr>
              <w:t>所服务的客户中</w:t>
            </w:r>
            <w:r>
              <w:rPr>
                <w:rFonts w:hint="eastAsia" w:asciiTheme="minorEastAsia" w:hAnsiTheme="minorEastAsia" w:eastAsiaTheme="minorEastAsia"/>
                <w:lang w:eastAsia="zh-CN"/>
              </w:rPr>
              <w:t>过半数都有二期项目，客户的反馈是：用心对待客户，认真负责，放心。</w:t>
            </w:r>
          </w:p>
          <w:p>
            <w:pPr>
              <w:pStyle w:val="10"/>
              <w:numPr>
                <w:ilvl w:val="0"/>
                <w:numId w:val="3"/>
              </w:numPr>
              <w:tabs>
                <w:tab w:val="left" w:pos="1894"/>
                <w:tab w:val="left" w:pos="1895"/>
              </w:tabs>
              <w:spacing w:before="16" w:line="295" w:lineRule="auto"/>
              <w:ind w:right="238" w:hanging="417"/>
              <w:rPr>
                <w:rFonts w:asciiTheme="minorEastAsia" w:hAnsiTheme="minorEastAsia" w:eastAsiaTheme="minorEastAsia"/>
                <w:lang w:eastAsia="zh-CN"/>
              </w:rPr>
            </w:pPr>
            <w:r>
              <w:rPr>
                <w:rFonts w:asciiTheme="minorEastAsia" w:hAnsiTheme="minorEastAsia" w:eastAsiaTheme="minorEastAsia"/>
                <w:lang w:eastAsia="zh-CN"/>
              </w:rPr>
              <w:t>负责过近</w:t>
            </w:r>
            <w:r>
              <w:rPr>
                <w:rFonts w:hint="eastAsia" w:asciiTheme="minorEastAsia" w:hAnsiTheme="minorEastAsia" w:eastAsiaTheme="minorEastAsia"/>
                <w:lang w:eastAsia="zh-CN"/>
              </w:rPr>
              <w:t>10个项目，涉及战略澄清、架构设计、岗位体系优化、能力提升、绩效体系优化、薪酬体系优化、流程梳理和变革管理。同时在项目中成功进行CEO辅导，转变管理者的管理理念，提高管理手段。</w:t>
            </w:r>
          </w:p>
          <w:p>
            <w:pPr>
              <w:pStyle w:val="10"/>
              <w:tabs>
                <w:tab w:val="left" w:pos="1894"/>
                <w:tab w:val="left" w:pos="1895"/>
              </w:tabs>
              <w:spacing w:before="16" w:line="295" w:lineRule="auto"/>
              <w:ind w:left="720" w:right="238"/>
              <w:rPr>
                <w:rFonts w:asciiTheme="minorEastAsia" w:hAnsiTheme="minorEastAsia" w:eastAsiaTheme="minorEastAsia"/>
                <w:b/>
                <w:lang w:val="en-GB"/>
              </w:rPr>
            </w:pPr>
            <w:r>
              <w:rPr>
                <w:rFonts w:asciiTheme="minorEastAsia" w:hAnsiTheme="minorEastAsia" w:eastAsiaTheme="minorEastAsia"/>
                <w:b/>
                <w:lang w:eastAsia="zh-CN"/>
              </w:rPr>
              <w:t>典型项目经验</w:t>
            </w:r>
            <w:r>
              <w:rPr>
                <w:rFonts w:hint="eastAsia" w:asciiTheme="minorEastAsia" w:hAnsiTheme="minorEastAsia" w:eastAsiaTheme="minorEastAsia"/>
                <w:b/>
                <w:lang w:eastAsia="zh-CN"/>
              </w:rPr>
              <w:t>：</w:t>
            </w:r>
          </w:p>
          <w:p>
            <w:pPr>
              <w:pStyle w:val="9"/>
              <w:numPr>
                <w:ilvl w:val="0"/>
                <w:numId w:val="3"/>
              </w:numPr>
              <w:tabs>
                <w:tab w:val="left" w:pos="1894"/>
                <w:tab w:val="left" w:pos="1895"/>
              </w:tabs>
              <w:spacing w:line="295" w:lineRule="auto"/>
              <w:ind w:right="238" w:hanging="417"/>
              <w:rPr>
                <w:rFonts w:asciiTheme="minorEastAsia" w:hAnsiTheme="minorEastAsia" w:eastAsiaTheme="minorEastAsia"/>
                <w:lang w:val="en-GB" w:eastAsia="zh-CN"/>
              </w:rPr>
            </w:pPr>
            <w:r>
              <w:rPr>
                <w:rFonts w:hint="eastAsia" w:asciiTheme="minorEastAsia" w:hAnsiTheme="minorEastAsia" w:eastAsiaTheme="minorEastAsia"/>
                <w:b/>
                <w:lang w:val="en-GB" w:eastAsia="zh-CN"/>
              </w:rPr>
              <w:t>中国领先精密制造企业：组织和人力资源全套转型项目</w:t>
            </w:r>
            <w:r>
              <w:rPr>
                <w:rFonts w:hint="eastAsia" w:asciiTheme="minorEastAsia" w:hAnsiTheme="minorEastAsia" w:eastAsiaTheme="minorEastAsia"/>
                <w:lang w:val="en-GB" w:eastAsia="zh-CN"/>
              </w:rPr>
              <w:t>（该项目赢得二期项目）</w:t>
            </w:r>
          </w:p>
          <w:p>
            <w:pPr>
              <w:pStyle w:val="10"/>
              <w:numPr>
                <w:ilvl w:val="1"/>
                <w:numId w:val="3"/>
              </w:numPr>
              <w:tabs>
                <w:tab w:val="left" w:pos="1894"/>
                <w:tab w:val="left" w:pos="1895"/>
              </w:tabs>
              <w:spacing w:before="0" w:line="288" w:lineRule="auto"/>
              <w:ind w:left="2319" w:right="245" w:hanging="418"/>
              <w:rPr>
                <w:rFonts w:asciiTheme="minorEastAsia" w:hAnsiTheme="minorEastAsia" w:eastAsiaTheme="minorEastAsia"/>
                <w:lang w:val="en-GB" w:eastAsia="zh-CN"/>
              </w:rPr>
            </w:pPr>
            <w:r>
              <w:rPr>
                <w:rFonts w:hint="eastAsia" w:asciiTheme="minorEastAsia" w:hAnsiTheme="minorEastAsia" w:eastAsiaTheme="minorEastAsia"/>
                <w:lang w:val="en-GB" w:eastAsia="zh-CN"/>
              </w:rPr>
              <w:t>利用“五只苹果”、“平衡计分卡BSC”进行战略澄清，包括中长期战略和短期目标及</w:t>
            </w:r>
            <w:r>
              <w:rPr>
                <w:rFonts w:hint="eastAsia" w:asciiTheme="minorEastAsia" w:hAnsiTheme="minorEastAsia" w:eastAsiaTheme="minorEastAsia"/>
                <w:b/>
                <w:lang w:val="en-GB" w:eastAsia="zh-CN"/>
              </w:rPr>
              <w:t>公司级指标</w:t>
            </w:r>
          </w:p>
          <w:p>
            <w:pPr>
              <w:pStyle w:val="10"/>
              <w:numPr>
                <w:ilvl w:val="1"/>
                <w:numId w:val="3"/>
              </w:numPr>
              <w:tabs>
                <w:tab w:val="left" w:pos="1894"/>
                <w:tab w:val="left" w:pos="1895"/>
              </w:tabs>
              <w:spacing w:before="0" w:line="288" w:lineRule="auto"/>
              <w:ind w:left="2319" w:right="245" w:hanging="418"/>
              <w:rPr>
                <w:rFonts w:asciiTheme="minorEastAsia" w:hAnsiTheme="minorEastAsia" w:eastAsiaTheme="minorEastAsia"/>
                <w:lang w:val="en-GB" w:eastAsia="zh-CN"/>
              </w:rPr>
            </w:pPr>
            <w:r>
              <w:rPr>
                <w:rFonts w:hint="eastAsia" w:asciiTheme="minorEastAsia" w:hAnsiTheme="minorEastAsia" w:eastAsiaTheme="minorEastAsia"/>
                <w:lang w:val="en-GB" w:eastAsia="zh-CN"/>
              </w:rPr>
              <w:t>组织设计：运营模式与流程框架梳理、组织架构设计</w:t>
            </w:r>
          </w:p>
          <w:p>
            <w:pPr>
              <w:pStyle w:val="10"/>
              <w:numPr>
                <w:ilvl w:val="1"/>
                <w:numId w:val="3"/>
              </w:numPr>
              <w:tabs>
                <w:tab w:val="left" w:pos="1894"/>
                <w:tab w:val="left" w:pos="1895"/>
              </w:tabs>
              <w:spacing w:before="0" w:line="288" w:lineRule="auto"/>
              <w:ind w:left="2319" w:right="245" w:hanging="418"/>
              <w:rPr>
                <w:rFonts w:asciiTheme="minorEastAsia" w:hAnsiTheme="minorEastAsia" w:eastAsiaTheme="minorEastAsia"/>
                <w:lang w:val="en-GB" w:eastAsia="zh-CN"/>
              </w:rPr>
            </w:pPr>
            <w:r>
              <w:rPr>
                <w:rFonts w:hint="eastAsia" w:asciiTheme="minorEastAsia" w:hAnsiTheme="minorEastAsia" w:eastAsiaTheme="minorEastAsia"/>
                <w:lang w:val="en-GB" w:eastAsia="zh-CN"/>
              </w:rPr>
              <w:t>岗位体系：基于岗位价值评估搭建职级体系、撰写岗位评级标准，辅导人岗匹配</w:t>
            </w:r>
          </w:p>
          <w:p>
            <w:pPr>
              <w:pStyle w:val="10"/>
              <w:numPr>
                <w:ilvl w:val="1"/>
                <w:numId w:val="3"/>
              </w:numPr>
              <w:tabs>
                <w:tab w:val="left" w:pos="1894"/>
                <w:tab w:val="left" w:pos="1895"/>
              </w:tabs>
              <w:spacing w:before="0" w:line="288" w:lineRule="auto"/>
              <w:ind w:left="2319" w:right="245" w:hanging="418"/>
              <w:rPr>
                <w:rFonts w:asciiTheme="minorEastAsia" w:hAnsiTheme="minorEastAsia" w:eastAsiaTheme="minorEastAsia"/>
                <w:lang w:val="en-GB" w:eastAsia="zh-CN"/>
              </w:rPr>
            </w:pPr>
            <w:r>
              <w:rPr>
                <w:rFonts w:hint="eastAsia" w:asciiTheme="minorEastAsia" w:hAnsiTheme="minorEastAsia" w:eastAsiaTheme="minorEastAsia"/>
                <w:b/>
                <w:lang w:val="en-GB" w:eastAsia="zh-CN"/>
              </w:rPr>
              <w:t>绩效体系</w:t>
            </w:r>
            <w:r>
              <w:rPr>
                <w:rFonts w:hint="eastAsia" w:asciiTheme="minorEastAsia" w:hAnsiTheme="minorEastAsia" w:eastAsiaTheme="minorEastAsia"/>
                <w:lang w:val="en-GB" w:eastAsia="zh-CN"/>
              </w:rPr>
              <w:t>：基于BSC，从公司级指标向下分解至中心、部门与个人，并进行跨部门绩效指标的协同</w:t>
            </w:r>
          </w:p>
          <w:p>
            <w:pPr>
              <w:pStyle w:val="10"/>
              <w:numPr>
                <w:ilvl w:val="1"/>
                <w:numId w:val="3"/>
              </w:numPr>
              <w:tabs>
                <w:tab w:val="left" w:pos="1894"/>
                <w:tab w:val="left" w:pos="1895"/>
              </w:tabs>
              <w:spacing w:before="0" w:line="288" w:lineRule="auto"/>
              <w:ind w:left="2319" w:right="245" w:hanging="418"/>
              <w:rPr>
                <w:rFonts w:asciiTheme="minorEastAsia" w:hAnsiTheme="minorEastAsia" w:eastAsiaTheme="minorEastAsia"/>
                <w:lang w:val="en-GB" w:eastAsia="zh-CN"/>
              </w:rPr>
            </w:pPr>
            <w:r>
              <w:rPr>
                <w:rFonts w:hint="eastAsia" w:asciiTheme="minorEastAsia" w:hAnsiTheme="minorEastAsia" w:eastAsiaTheme="minorEastAsia"/>
                <w:lang w:val="en-GB" w:eastAsia="zh-CN"/>
              </w:rPr>
              <w:t>薪酬体系设计：进行行业对标、内部薪酬公平性诊断，衔接岗位体系、绩效体系，进行薪酬设计与测算，设计薪酬套改原则及沟通策略。同时进行薪酬与绩效体系宣贯。</w:t>
            </w:r>
          </w:p>
        </w:tc>
      </w:tr>
      <w:tr>
        <w:tblPrEx>
          <w:tblLayout w:type="fixed"/>
          <w:tblCellMar>
            <w:top w:w="0" w:type="dxa"/>
            <w:left w:w="0" w:type="dxa"/>
            <w:bottom w:w="0" w:type="dxa"/>
            <w:right w:w="0" w:type="dxa"/>
          </w:tblCellMar>
        </w:tblPrEx>
        <w:trPr>
          <w:gridAfter w:val="1"/>
          <w:wAfter w:w="6" w:type="dxa"/>
          <w:trHeight w:val="3885" w:hRule="atLeast"/>
        </w:trPr>
        <w:tc>
          <w:tcPr>
            <w:tcW w:w="11023" w:type="dxa"/>
            <w:gridSpan w:val="7"/>
          </w:tcPr>
          <w:p>
            <w:pPr>
              <w:pStyle w:val="10"/>
              <w:numPr>
                <w:ilvl w:val="0"/>
                <w:numId w:val="3"/>
              </w:numPr>
              <w:tabs>
                <w:tab w:val="left" w:pos="1894"/>
                <w:tab w:val="left" w:pos="1895"/>
              </w:tabs>
              <w:spacing w:before="0" w:line="295" w:lineRule="auto"/>
              <w:ind w:right="238"/>
              <w:rPr>
                <w:b/>
                <w:lang w:eastAsia="zh-CN"/>
              </w:rPr>
            </w:pPr>
            <w:r>
              <w:rPr>
                <w:rFonts w:hint="eastAsia" w:ascii="宋体" w:hAnsi="宋体" w:eastAsia="宋体" w:cs="宋体"/>
                <w:b/>
                <w:lang w:eastAsia="zh-CN"/>
              </w:rPr>
              <w:t>精密制造企业项目二期：绩效落地、公司级会议体系辅导与流程梳理</w:t>
            </w:r>
          </w:p>
          <w:p>
            <w:pPr>
              <w:pStyle w:val="10"/>
              <w:numPr>
                <w:ilvl w:val="1"/>
                <w:numId w:val="3"/>
              </w:numPr>
              <w:tabs>
                <w:tab w:val="left" w:pos="1894"/>
                <w:tab w:val="left" w:pos="1895"/>
              </w:tabs>
              <w:spacing w:before="0" w:line="295" w:lineRule="auto"/>
              <w:ind w:right="238"/>
              <w:rPr>
                <w:lang w:eastAsia="zh-CN"/>
              </w:rPr>
            </w:pPr>
            <w:r>
              <w:rPr>
                <w:rFonts w:hint="eastAsia" w:asciiTheme="minorEastAsia" w:hAnsiTheme="minorEastAsia" w:eastAsiaTheme="minorEastAsia"/>
                <w:b/>
                <w:lang w:eastAsia="zh-CN"/>
              </w:rPr>
              <w:t>绩效体系落地</w:t>
            </w:r>
            <w:r>
              <w:rPr>
                <w:rFonts w:hint="eastAsia" w:asciiTheme="minorEastAsia" w:hAnsiTheme="minorEastAsia" w:eastAsiaTheme="minorEastAsia"/>
                <w:lang w:eastAsia="zh-CN"/>
              </w:rPr>
              <w:t>：指标数据收集与验证、绩效流程试运行、奖金测算、绩效主管培训</w:t>
            </w:r>
          </w:p>
          <w:p>
            <w:pPr>
              <w:pStyle w:val="10"/>
              <w:numPr>
                <w:ilvl w:val="1"/>
                <w:numId w:val="3"/>
              </w:numPr>
              <w:tabs>
                <w:tab w:val="left" w:pos="1894"/>
                <w:tab w:val="left" w:pos="1895"/>
              </w:tabs>
              <w:spacing w:before="0" w:line="295" w:lineRule="auto"/>
              <w:ind w:right="238"/>
              <w:rPr>
                <w:b/>
                <w:lang w:eastAsia="zh-CN"/>
              </w:rPr>
            </w:pPr>
            <w:r>
              <w:rPr>
                <w:rFonts w:hint="eastAsia" w:ascii="宋体" w:hAnsi="宋体" w:eastAsia="宋体" w:cs="宋体"/>
                <w:lang w:eastAsia="zh-CN"/>
              </w:rPr>
              <w:t>公司级管理会议辅导：组织召开季度战略回顾会、月度经营会、产供销协同会、年度绩效总结和目标分解会</w:t>
            </w:r>
          </w:p>
          <w:p>
            <w:pPr>
              <w:pStyle w:val="10"/>
              <w:numPr>
                <w:ilvl w:val="1"/>
                <w:numId w:val="3"/>
              </w:numPr>
              <w:tabs>
                <w:tab w:val="left" w:pos="1894"/>
                <w:tab w:val="left" w:pos="1895"/>
              </w:tabs>
              <w:spacing w:before="0" w:line="295" w:lineRule="auto"/>
              <w:ind w:right="238"/>
              <w:rPr>
                <w:b/>
                <w:lang w:eastAsia="zh-CN"/>
              </w:rPr>
            </w:pPr>
            <w:r>
              <w:rPr>
                <w:rFonts w:hint="eastAsia" w:ascii="宋体" w:hAnsi="宋体" w:eastAsia="宋体" w:cs="宋体"/>
                <w:lang w:eastAsia="zh-CN"/>
              </w:rPr>
              <w:t>流程梳理：基于“流程快速改善”方法论完成10项业务流程的梳理和督导落实，组织流程改善研讨会、流程试运行汇报会、设计流程试运行考核指标、成立内部流程监督小组</w:t>
            </w:r>
          </w:p>
          <w:p>
            <w:pPr>
              <w:pStyle w:val="10"/>
              <w:numPr>
                <w:ilvl w:val="0"/>
                <w:numId w:val="3"/>
              </w:numPr>
              <w:tabs>
                <w:tab w:val="left" w:pos="1894"/>
                <w:tab w:val="left" w:pos="1895"/>
              </w:tabs>
              <w:spacing w:before="0" w:line="295" w:lineRule="auto"/>
              <w:ind w:right="238"/>
              <w:rPr>
                <w:b/>
                <w:lang w:eastAsia="zh-CN"/>
              </w:rPr>
            </w:pPr>
            <w:r>
              <w:rPr>
                <w:rFonts w:hint="eastAsia" w:asciiTheme="minorEastAsia" w:hAnsiTheme="minorEastAsia" w:eastAsiaTheme="minorEastAsia"/>
                <w:b/>
                <w:lang w:val="en-GB" w:eastAsia="zh-CN"/>
              </w:rPr>
              <w:t>矿山服务企业（二期）：为CEO提供战略执行辅导</w:t>
            </w:r>
          </w:p>
          <w:p>
            <w:pPr>
              <w:pStyle w:val="10"/>
              <w:numPr>
                <w:ilvl w:val="1"/>
                <w:numId w:val="3"/>
              </w:numPr>
              <w:tabs>
                <w:tab w:val="left" w:pos="1894"/>
                <w:tab w:val="left" w:pos="1895"/>
              </w:tabs>
              <w:spacing w:before="0" w:line="295" w:lineRule="auto"/>
              <w:ind w:right="238"/>
              <w:rPr>
                <w:lang w:eastAsia="zh-CN"/>
              </w:rPr>
            </w:pPr>
            <w:r>
              <w:rPr>
                <w:rFonts w:hint="eastAsia" w:asciiTheme="minorEastAsia" w:hAnsiTheme="minorEastAsia" w:eastAsiaTheme="minorEastAsia"/>
                <w:b/>
                <w:lang w:eastAsia="zh-CN"/>
              </w:rPr>
              <w:t>高管中期绩效辅导与沟通</w:t>
            </w:r>
            <w:r>
              <w:rPr>
                <w:rFonts w:hint="eastAsia" w:asciiTheme="minorEastAsia" w:hAnsiTheme="minorEastAsia" w:eastAsiaTheme="minorEastAsia"/>
                <w:lang w:eastAsia="zh-CN"/>
              </w:rPr>
              <w:t>，协助CEO制定沟通策略、绩效中期调整策略，参与共同沟通</w:t>
            </w:r>
          </w:p>
          <w:p>
            <w:pPr>
              <w:pStyle w:val="10"/>
              <w:numPr>
                <w:ilvl w:val="1"/>
                <w:numId w:val="3"/>
              </w:numPr>
              <w:tabs>
                <w:tab w:val="left" w:pos="1894"/>
                <w:tab w:val="left" w:pos="1895"/>
              </w:tabs>
              <w:spacing w:before="0" w:line="295" w:lineRule="auto"/>
              <w:ind w:right="238"/>
              <w:rPr>
                <w:lang w:eastAsia="zh-CN"/>
              </w:rPr>
            </w:pPr>
            <w:r>
              <w:rPr>
                <w:rFonts w:asciiTheme="minorEastAsia" w:hAnsiTheme="minorEastAsia" w:eastAsiaTheme="minorEastAsia"/>
                <w:lang w:val="en-GB" w:eastAsia="zh-CN"/>
              </w:rPr>
              <w:t>辅导新高管</w:t>
            </w:r>
            <w:r>
              <w:rPr>
                <w:rFonts w:ascii="宋体" w:hAnsi="宋体" w:eastAsia="宋体" w:cs="宋体"/>
                <w:lang w:eastAsia="zh-CN"/>
              </w:rPr>
              <w:t>融入</w:t>
            </w:r>
            <w:r>
              <w:rPr>
                <w:rFonts w:asciiTheme="minorEastAsia" w:hAnsiTheme="minorEastAsia" w:eastAsiaTheme="minorEastAsia"/>
                <w:lang w:val="en-GB" w:eastAsia="zh-CN"/>
              </w:rPr>
              <w:t>公司</w:t>
            </w:r>
            <w:r>
              <w:rPr>
                <w:rFonts w:hint="eastAsia" w:asciiTheme="minorEastAsia" w:hAnsiTheme="minorEastAsia" w:eastAsiaTheme="minorEastAsia"/>
                <w:lang w:val="en-GB" w:eastAsia="zh-CN"/>
              </w:rPr>
              <w:t>，辅导进行部门关键流程梳理，监督流程执行</w:t>
            </w:r>
          </w:p>
          <w:p>
            <w:pPr>
              <w:pStyle w:val="10"/>
              <w:numPr>
                <w:ilvl w:val="1"/>
                <w:numId w:val="3"/>
              </w:numPr>
              <w:tabs>
                <w:tab w:val="left" w:pos="1894"/>
                <w:tab w:val="left" w:pos="1895"/>
              </w:tabs>
              <w:spacing w:before="0" w:line="295" w:lineRule="auto"/>
              <w:ind w:right="238"/>
              <w:rPr>
                <w:lang w:eastAsia="zh-CN"/>
              </w:rPr>
            </w:pPr>
            <w:r>
              <w:rPr>
                <w:rFonts w:hint="eastAsia" w:asciiTheme="minorEastAsia" w:hAnsiTheme="minorEastAsia" w:eastAsiaTheme="minorEastAsia"/>
                <w:b/>
                <w:lang w:val="en-GB" w:eastAsia="zh-CN"/>
              </w:rPr>
              <w:t>绩效强制分布体系的实施辅导和优化。2018年度绩效评级、结果应用</w:t>
            </w:r>
            <w:r>
              <w:rPr>
                <w:rFonts w:hint="eastAsia" w:asciiTheme="minorEastAsia" w:hAnsiTheme="minorEastAsia" w:eastAsiaTheme="minorEastAsia"/>
                <w:lang w:val="en-GB" w:eastAsia="zh-CN"/>
              </w:rPr>
              <w:t>（年终奖发放、年度调薪、晋升等）的辅导，2019年事业部级与中心级业务目标设定辅导</w:t>
            </w:r>
          </w:p>
          <w:p>
            <w:pPr>
              <w:pStyle w:val="10"/>
              <w:numPr>
                <w:ilvl w:val="1"/>
                <w:numId w:val="3"/>
              </w:numPr>
              <w:tabs>
                <w:tab w:val="left" w:pos="1894"/>
                <w:tab w:val="left" w:pos="1895"/>
              </w:tabs>
              <w:spacing w:before="0" w:line="295" w:lineRule="auto"/>
              <w:ind w:right="238"/>
              <w:rPr>
                <w:rFonts w:asciiTheme="minorEastAsia" w:hAnsiTheme="minorEastAsia" w:eastAsiaTheme="minorEastAsia"/>
                <w:b/>
                <w:lang w:eastAsia="zh-CN"/>
              </w:rPr>
            </w:pPr>
            <w:r>
              <w:rPr>
                <w:rFonts w:hint="eastAsia" w:asciiTheme="minorEastAsia" w:hAnsiTheme="minorEastAsia" w:eastAsiaTheme="minorEastAsia"/>
                <w:lang w:eastAsia="zh-CN"/>
              </w:rPr>
              <w:t>为解决产供销平衡问题，设立项目制运作机制（类阿米巴），从架构与权责切换、岗位角色、会议体系与管控汇报机制、关键流程运作与考核、</w:t>
            </w:r>
            <w:r>
              <w:rPr>
                <w:rFonts w:hint="eastAsia" w:asciiTheme="minorEastAsia" w:hAnsiTheme="minorEastAsia" w:eastAsiaTheme="minorEastAsia"/>
                <w:b/>
                <w:lang w:eastAsia="zh-CN"/>
              </w:rPr>
              <w:t>人员激励约束机制（考评与薪酬）</w:t>
            </w:r>
            <w:r>
              <w:rPr>
                <w:rFonts w:hint="eastAsia" w:asciiTheme="minorEastAsia" w:hAnsiTheme="minorEastAsia" w:eastAsiaTheme="minorEastAsia"/>
                <w:lang w:eastAsia="zh-CN"/>
              </w:rPr>
              <w:t>等全方位设计新机制的运作方式，并辅导人员调整，保障落地</w:t>
            </w:r>
          </w:p>
          <w:p>
            <w:pPr>
              <w:pStyle w:val="10"/>
              <w:numPr>
                <w:ilvl w:val="0"/>
                <w:numId w:val="3"/>
              </w:numPr>
              <w:tabs>
                <w:tab w:val="left" w:pos="1894"/>
                <w:tab w:val="left" w:pos="1895"/>
              </w:tabs>
              <w:spacing w:before="0" w:line="295" w:lineRule="auto"/>
              <w:ind w:right="238"/>
              <w:rPr>
                <w:rFonts w:asciiTheme="minorEastAsia" w:hAnsiTheme="minorEastAsia" w:eastAsiaTheme="minorEastAsia"/>
                <w:b/>
                <w:lang w:eastAsia="zh-CN"/>
              </w:rPr>
            </w:pPr>
            <w:r>
              <w:rPr>
                <w:rFonts w:hint="eastAsia" w:asciiTheme="minorEastAsia" w:hAnsiTheme="minorEastAsia" w:eastAsiaTheme="minorEastAsia"/>
                <w:b/>
                <w:lang w:eastAsia="zh-CN"/>
              </w:rPr>
              <w:t>其他</w:t>
            </w:r>
            <w:r>
              <w:rPr>
                <w:rFonts w:hint="eastAsia" w:ascii="宋体" w:hAnsi="宋体" w:eastAsia="宋体" w:cs="宋体"/>
                <w:b/>
                <w:lang w:eastAsia="zh-CN"/>
              </w:rPr>
              <w:t>项目</w:t>
            </w:r>
            <w:r>
              <w:rPr>
                <w:rFonts w:hint="eastAsia" w:asciiTheme="minorEastAsia" w:hAnsiTheme="minorEastAsia" w:eastAsiaTheme="minorEastAsia"/>
                <w:b/>
                <w:lang w:eastAsia="zh-CN"/>
              </w:rPr>
              <w:t>核心方法论：</w:t>
            </w:r>
          </w:p>
          <w:p>
            <w:pPr>
              <w:pStyle w:val="10"/>
              <w:numPr>
                <w:ilvl w:val="1"/>
                <w:numId w:val="3"/>
              </w:numPr>
              <w:tabs>
                <w:tab w:val="left" w:pos="1894"/>
                <w:tab w:val="left" w:pos="1895"/>
              </w:tabs>
              <w:spacing w:before="0" w:line="295" w:lineRule="auto"/>
              <w:ind w:right="238"/>
              <w:rPr>
                <w:rFonts w:asciiTheme="minorEastAsia" w:hAnsiTheme="minorEastAsia" w:eastAsiaTheme="minorEastAsia"/>
                <w:b/>
                <w:lang w:eastAsia="zh-CN"/>
              </w:rPr>
            </w:pPr>
            <w:r>
              <w:rPr>
                <w:rFonts w:hint="eastAsia" w:asciiTheme="minorEastAsia" w:hAnsiTheme="minorEastAsia" w:eastAsiaTheme="minorEastAsia"/>
                <w:lang w:eastAsia="zh-CN"/>
              </w:rPr>
              <w:t>战略制定与执行：</w:t>
            </w:r>
            <w:r>
              <w:rPr>
                <w:rFonts w:hint="eastAsia" w:asciiTheme="minorEastAsia" w:hAnsiTheme="minorEastAsia" w:eastAsiaTheme="minorEastAsia"/>
                <w:lang w:val="en-GB" w:eastAsia="zh-CN"/>
              </w:rPr>
              <w:t>“业务领先模型”、“毕马威九大杠杆”、“战略执行管理体系”</w:t>
            </w:r>
          </w:p>
          <w:p>
            <w:pPr>
              <w:pStyle w:val="10"/>
              <w:numPr>
                <w:ilvl w:val="1"/>
                <w:numId w:val="3"/>
              </w:numPr>
              <w:tabs>
                <w:tab w:val="left" w:pos="1894"/>
                <w:tab w:val="left" w:pos="1895"/>
              </w:tabs>
              <w:spacing w:before="0" w:line="295" w:lineRule="auto"/>
              <w:ind w:right="238"/>
              <w:rPr>
                <w:rFonts w:asciiTheme="minorEastAsia" w:hAnsiTheme="minorEastAsia" w:eastAsiaTheme="minorEastAsia"/>
                <w:b/>
                <w:lang w:eastAsia="zh-CN"/>
              </w:rPr>
            </w:pPr>
            <w:r>
              <w:rPr>
                <w:rFonts w:hint="eastAsia" w:asciiTheme="minorEastAsia" w:hAnsiTheme="minorEastAsia" w:eastAsiaTheme="minorEastAsia"/>
                <w:lang w:val="en-GB" w:eastAsia="zh-CN"/>
              </w:rPr>
              <w:t>领导力和能力模型：“6大领导力风格”“MBTI性格分析模型”“冰山模型”</w:t>
            </w:r>
          </w:p>
          <w:p>
            <w:pPr>
              <w:pStyle w:val="10"/>
              <w:numPr>
                <w:ilvl w:val="1"/>
                <w:numId w:val="3"/>
              </w:numPr>
              <w:tabs>
                <w:tab w:val="left" w:pos="1894"/>
                <w:tab w:val="left" w:pos="1895"/>
              </w:tabs>
              <w:spacing w:before="0" w:line="295" w:lineRule="auto"/>
              <w:ind w:right="238"/>
              <w:rPr>
                <w:lang w:eastAsia="zh-CN"/>
              </w:rPr>
            </w:pPr>
            <w:r>
              <w:rPr>
                <w:rFonts w:hint="eastAsia" w:asciiTheme="minorEastAsia" w:hAnsiTheme="minorEastAsia" w:eastAsiaTheme="minorEastAsia"/>
                <w:lang w:eastAsia="zh-CN"/>
              </w:rPr>
              <w:t>变革管理：毕马威变革管理方法论（BCM</w:t>
            </w:r>
            <w:r>
              <w:rPr>
                <w:rFonts w:asciiTheme="minorEastAsia" w:hAnsiTheme="minorEastAsia" w:eastAsiaTheme="minorEastAsia"/>
                <w:lang w:eastAsia="zh-CN"/>
              </w:rPr>
              <w:t>）</w:t>
            </w:r>
          </w:p>
        </w:tc>
      </w:tr>
      <w:tr>
        <w:tblPrEx>
          <w:tblLayout w:type="fixed"/>
          <w:tblCellMar>
            <w:top w:w="0" w:type="dxa"/>
            <w:left w:w="0" w:type="dxa"/>
            <w:bottom w:w="0" w:type="dxa"/>
            <w:right w:w="0" w:type="dxa"/>
          </w:tblCellMar>
        </w:tblPrEx>
        <w:trPr>
          <w:trHeight w:val="590" w:hRule="exact"/>
        </w:trPr>
        <w:tc>
          <w:tcPr>
            <w:tcW w:w="6658" w:type="dxa"/>
            <w:gridSpan w:val="4"/>
          </w:tcPr>
          <w:p>
            <w:pPr>
              <w:pStyle w:val="10"/>
              <w:spacing w:before="0" w:line="249" w:lineRule="exact"/>
              <w:rPr>
                <w:b/>
              </w:rPr>
            </w:pPr>
            <w:r>
              <w:rPr>
                <w:b/>
              </w:rPr>
              <w:t>Ward-Howell International</w:t>
            </w:r>
          </w:p>
          <w:p>
            <w:pPr>
              <w:pStyle w:val="10"/>
              <w:spacing w:before="54"/>
              <w:rPr>
                <w:lang w:eastAsia="zh-CN"/>
              </w:rPr>
            </w:pPr>
            <w:r>
              <w:rPr>
                <w:lang w:eastAsia="zh-CN"/>
              </w:rPr>
              <w:t>(</w:t>
            </w:r>
            <w:r>
              <w:rPr>
                <w:rFonts w:hint="eastAsia" w:ascii="宋体" w:hAnsi="宋体" w:eastAsia="宋体" w:cs="宋体"/>
                <w:lang w:eastAsia="zh-CN"/>
              </w:rPr>
              <w:t>领先外资高管猎头公司</w:t>
            </w:r>
            <w:r>
              <w:rPr>
                <w:lang w:eastAsia="zh-CN"/>
              </w:rPr>
              <w:t>, http://www.ward-howell.com)</w:t>
            </w:r>
          </w:p>
        </w:tc>
        <w:tc>
          <w:tcPr>
            <w:tcW w:w="1901" w:type="dxa"/>
          </w:tcPr>
          <w:p>
            <w:pPr>
              <w:rPr>
                <w:lang w:eastAsia="zh-CN"/>
              </w:rPr>
            </w:pPr>
          </w:p>
        </w:tc>
        <w:tc>
          <w:tcPr>
            <w:tcW w:w="2470" w:type="dxa"/>
            <w:gridSpan w:val="3"/>
          </w:tcPr>
          <w:p>
            <w:pPr>
              <w:pStyle w:val="10"/>
              <w:spacing w:before="0" w:line="244" w:lineRule="exact"/>
              <w:ind w:left="0" w:right="198"/>
              <w:jc w:val="right"/>
            </w:pPr>
            <w:r>
              <w:t>2012.07 – 2016.06</w:t>
            </w:r>
          </w:p>
        </w:tc>
      </w:tr>
      <w:tr>
        <w:tblPrEx>
          <w:tblLayout w:type="fixed"/>
          <w:tblCellMar>
            <w:top w:w="0" w:type="dxa"/>
            <w:left w:w="0" w:type="dxa"/>
            <w:bottom w:w="0" w:type="dxa"/>
            <w:right w:w="0" w:type="dxa"/>
          </w:tblCellMar>
        </w:tblPrEx>
        <w:trPr>
          <w:trHeight w:val="463" w:hRule="exact"/>
        </w:trPr>
        <w:tc>
          <w:tcPr>
            <w:tcW w:w="11029" w:type="dxa"/>
            <w:gridSpan w:val="8"/>
            <w:vAlign w:val="center"/>
          </w:tcPr>
          <w:p>
            <w:pPr>
              <w:pStyle w:val="10"/>
              <w:spacing w:before="13"/>
              <w:rPr>
                <w:rFonts w:asciiTheme="minorEastAsia" w:hAnsiTheme="minorEastAsia" w:eastAsiaTheme="minorEastAsia"/>
                <w:i/>
              </w:rPr>
            </w:pPr>
            <w:r>
              <w:rPr>
                <w:rFonts w:hint="eastAsia" w:asciiTheme="minorEastAsia" w:hAnsiTheme="minorEastAsia" w:eastAsiaTheme="minorEastAsia"/>
                <w:i/>
                <w:sz w:val="24"/>
                <w:lang w:eastAsia="zh-CN"/>
              </w:rPr>
              <w:t>资深猎头</w:t>
            </w:r>
            <w:r>
              <w:rPr>
                <w:rFonts w:asciiTheme="minorEastAsia" w:hAnsiTheme="minorEastAsia" w:eastAsiaTheme="minorEastAsia"/>
                <w:i/>
                <w:sz w:val="24"/>
                <w:lang w:eastAsia="zh-CN"/>
              </w:rPr>
              <w:t>顾问</w:t>
            </w:r>
          </w:p>
        </w:tc>
      </w:tr>
      <w:tr>
        <w:tblPrEx>
          <w:tblLayout w:type="fixed"/>
          <w:tblCellMar>
            <w:top w:w="0" w:type="dxa"/>
            <w:left w:w="0" w:type="dxa"/>
            <w:bottom w:w="0" w:type="dxa"/>
            <w:right w:w="0" w:type="dxa"/>
          </w:tblCellMar>
        </w:tblPrEx>
        <w:trPr>
          <w:trHeight w:val="5396" w:hRule="exact"/>
        </w:trPr>
        <w:tc>
          <w:tcPr>
            <w:tcW w:w="11029" w:type="dxa"/>
            <w:gridSpan w:val="8"/>
          </w:tcPr>
          <w:p>
            <w:pPr>
              <w:pStyle w:val="10"/>
              <w:numPr>
                <w:ilvl w:val="0"/>
                <w:numId w:val="4"/>
              </w:numPr>
              <w:tabs>
                <w:tab w:val="left" w:pos="1894"/>
                <w:tab w:val="left" w:pos="1895"/>
              </w:tabs>
              <w:spacing w:before="26" w:line="295" w:lineRule="auto"/>
              <w:ind w:right="728" w:hanging="417"/>
              <w:rPr>
                <w:lang w:eastAsia="zh-CN"/>
              </w:rPr>
            </w:pPr>
            <w:r>
              <w:rPr>
                <w:rFonts w:asciiTheme="minorEastAsia" w:hAnsiTheme="minorEastAsia" w:eastAsiaTheme="minorEastAsia"/>
                <w:lang w:eastAsia="zh-CN"/>
              </w:rPr>
              <w:t>每年平均完成10个以上的高管猎聘项目</w:t>
            </w:r>
            <w:r>
              <w:rPr>
                <w:rFonts w:hint="eastAsia" w:asciiTheme="minorEastAsia" w:hAnsiTheme="minorEastAsia" w:eastAsiaTheme="minorEastAsia"/>
                <w:lang w:eastAsia="zh-CN"/>
              </w:rPr>
              <w:t>，</w:t>
            </w:r>
            <w:r>
              <w:rPr>
                <w:rFonts w:asciiTheme="minorEastAsia" w:hAnsiTheme="minorEastAsia" w:eastAsiaTheme="minorEastAsia"/>
                <w:lang w:eastAsia="zh-CN"/>
              </w:rPr>
              <w:t>平均结项时间再</w:t>
            </w:r>
            <w:r>
              <w:rPr>
                <w:rFonts w:hint="eastAsia" w:asciiTheme="minorEastAsia" w:hAnsiTheme="minorEastAsia" w:eastAsiaTheme="minorEastAsia"/>
                <w:lang w:eastAsia="zh-CN"/>
              </w:rPr>
              <w:t>16周左右。同时运作7个左右的项目，候选人筛选成功率高，通过客户一面的几率超过70%。</w:t>
            </w:r>
          </w:p>
          <w:p>
            <w:pPr>
              <w:pStyle w:val="10"/>
              <w:numPr>
                <w:ilvl w:val="0"/>
                <w:numId w:val="4"/>
              </w:numPr>
              <w:tabs>
                <w:tab w:val="left" w:pos="1894"/>
                <w:tab w:val="left" w:pos="1895"/>
              </w:tabs>
              <w:spacing w:line="295" w:lineRule="auto"/>
              <w:ind w:right="431" w:hanging="417"/>
              <w:rPr>
                <w:lang w:eastAsia="zh-CN"/>
              </w:rPr>
            </w:pPr>
            <w:r>
              <w:rPr>
                <w:rFonts w:asciiTheme="minorEastAsia" w:hAnsiTheme="minorEastAsia" w:eastAsiaTheme="minorEastAsia"/>
                <w:lang w:eastAsia="zh-CN"/>
              </w:rPr>
              <w:t>擅长细分擅长内的高管猎聘服务</w:t>
            </w:r>
            <w:r>
              <w:rPr>
                <w:rFonts w:hint="eastAsia" w:asciiTheme="minorEastAsia" w:hAnsiTheme="minorEastAsia" w:eastAsiaTheme="minorEastAsia"/>
                <w:lang w:eastAsia="zh-CN"/>
              </w:rPr>
              <w:t>，</w:t>
            </w:r>
            <w:r>
              <w:rPr>
                <w:rFonts w:asciiTheme="minorEastAsia" w:hAnsiTheme="minorEastAsia" w:eastAsiaTheme="minorEastAsia"/>
                <w:lang w:eastAsia="zh-CN"/>
              </w:rPr>
              <w:t>能搜寻出该细分市场的所有从业公司及其组织架构</w:t>
            </w:r>
            <w:r>
              <w:rPr>
                <w:rFonts w:hint="eastAsia" w:asciiTheme="minorEastAsia" w:hAnsiTheme="minorEastAsia" w:eastAsiaTheme="minorEastAsia"/>
                <w:lang w:eastAsia="zh-CN"/>
              </w:rPr>
              <w:t>、上下游价值链及关键从业公司。能联系上其他猎头公司很难联络上的隐形高价值候选人，从而给客户提供多样化选择。</w:t>
            </w:r>
          </w:p>
          <w:p>
            <w:pPr>
              <w:pStyle w:val="10"/>
              <w:numPr>
                <w:ilvl w:val="0"/>
                <w:numId w:val="4"/>
              </w:numPr>
              <w:tabs>
                <w:tab w:val="left" w:pos="1894"/>
                <w:tab w:val="left" w:pos="1895"/>
              </w:tabs>
              <w:spacing w:before="103" w:line="295" w:lineRule="auto"/>
              <w:ind w:right="429" w:hanging="417"/>
              <w:rPr>
                <w:lang w:eastAsia="zh-CN"/>
              </w:rPr>
            </w:pPr>
            <w:r>
              <w:rPr>
                <w:rFonts w:asciiTheme="minorEastAsia" w:hAnsiTheme="minorEastAsia" w:eastAsiaTheme="minorEastAsia"/>
                <w:lang w:eastAsia="zh-CN"/>
              </w:rPr>
              <w:t>通过和市场先入者</w:t>
            </w:r>
            <w:r>
              <w:rPr>
                <w:rFonts w:hint="eastAsia" w:asciiTheme="minorEastAsia" w:hAnsiTheme="minorEastAsia" w:eastAsiaTheme="minorEastAsia"/>
                <w:lang w:eastAsia="zh-CN"/>
              </w:rPr>
              <w:t>（</w:t>
            </w:r>
            <w:r>
              <w:rPr>
                <w:rFonts w:asciiTheme="minorEastAsia" w:hAnsiTheme="minorEastAsia" w:eastAsiaTheme="minorEastAsia"/>
                <w:lang w:eastAsia="zh-CN"/>
              </w:rPr>
              <w:t>标杆公司</w:t>
            </w:r>
            <w:r>
              <w:rPr>
                <w:rFonts w:hint="eastAsia" w:asciiTheme="minorEastAsia" w:hAnsiTheme="minorEastAsia" w:eastAsiaTheme="minorEastAsia"/>
                <w:lang w:eastAsia="zh-CN"/>
              </w:rPr>
              <w:t>）</w:t>
            </w:r>
            <w:r>
              <w:rPr>
                <w:rFonts w:asciiTheme="minorEastAsia" w:hAnsiTheme="minorEastAsia" w:eastAsiaTheme="minorEastAsia"/>
                <w:lang w:eastAsia="zh-CN"/>
              </w:rPr>
              <w:t>高管的沟通</w:t>
            </w:r>
            <w:r>
              <w:rPr>
                <w:rFonts w:hint="eastAsia" w:asciiTheme="minorEastAsia" w:hAnsiTheme="minorEastAsia" w:eastAsiaTheme="minorEastAsia"/>
                <w:lang w:eastAsia="zh-CN"/>
              </w:rPr>
              <w:t>，</w:t>
            </w:r>
            <w:r>
              <w:rPr>
                <w:rFonts w:asciiTheme="minorEastAsia" w:hAnsiTheme="minorEastAsia" w:eastAsiaTheme="minorEastAsia"/>
                <w:lang w:eastAsia="zh-CN"/>
              </w:rPr>
              <w:t>为一个高空作业车客户提供架构调整和业务模式优化的建议</w:t>
            </w:r>
            <w:r>
              <w:rPr>
                <w:rFonts w:hint="eastAsia" w:asciiTheme="minorEastAsia" w:hAnsiTheme="minorEastAsia" w:eastAsiaTheme="minorEastAsia"/>
                <w:lang w:eastAsia="zh-CN"/>
              </w:rPr>
              <w:t>，</w:t>
            </w:r>
            <w:r>
              <w:rPr>
                <w:rFonts w:asciiTheme="minorEastAsia" w:hAnsiTheme="minorEastAsia" w:eastAsiaTheme="minorEastAsia"/>
                <w:lang w:eastAsia="zh-CN"/>
              </w:rPr>
              <w:t>从而导致客户应用新组织架构且将多个随之而来的其他岗位放给我们公司进行搜寻</w:t>
            </w:r>
            <w:r>
              <w:rPr>
                <w:rFonts w:hint="eastAsia" w:asciiTheme="minorEastAsia" w:hAnsiTheme="minorEastAsia" w:eastAsiaTheme="minorEastAsia"/>
                <w:lang w:eastAsia="zh-CN"/>
              </w:rPr>
              <w:t>，</w:t>
            </w:r>
            <w:r>
              <w:rPr>
                <w:rFonts w:asciiTheme="minorEastAsia" w:hAnsiTheme="minorEastAsia" w:eastAsiaTheme="minorEastAsia"/>
                <w:lang w:eastAsia="zh-CN"/>
              </w:rPr>
              <w:t>以及一个薪酬调研咨询项目</w:t>
            </w:r>
            <w:r>
              <w:rPr>
                <w:rFonts w:hint="eastAsia" w:asciiTheme="minorEastAsia" w:hAnsiTheme="minorEastAsia" w:eastAsiaTheme="minorEastAsia"/>
                <w:lang w:eastAsia="zh-CN"/>
              </w:rPr>
              <w:t>。</w:t>
            </w:r>
          </w:p>
          <w:p>
            <w:pPr>
              <w:pStyle w:val="10"/>
              <w:numPr>
                <w:ilvl w:val="0"/>
                <w:numId w:val="4"/>
              </w:numPr>
              <w:tabs>
                <w:tab w:val="left" w:pos="1894"/>
                <w:tab w:val="left" w:pos="1895"/>
              </w:tabs>
              <w:spacing w:before="104" w:line="295" w:lineRule="auto"/>
              <w:ind w:right="261" w:hanging="417"/>
              <w:rPr>
                <w:lang w:eastAsia="zh-CN"/>
              </w:rPr>
            </w:pPr>
            <w:r>
              <w:rPr>
                <w:rFonts w:asciiTheme="minorEastAsia" w:hAnsiTheme="minorEastAsia" w:eastAsiaTheme="minorEastAsia"/>
                <w:lang w:eastAsia="zh-CN"/>
              </w:rPr>
              <w:t>擅长与海外高管</w:t>
            </w:r>
            <w:r>
              <w:rPr>
                <w:rFonts w:hint="eastAsia" w:asciiTheme="minorEastAsia" w:hAnsiTheme="minorEastAsia" w:eastAsiaTheme="minorEastAsia"/>
                <w:lang w:eastAsia="zh-CN"/>
              </w:rPr>
              <w:t>（</w:t>
            </w:r>
            <w:r>
              <w:rPr>
                <w:rFonts w:asciiTheme="minorEastAsia" w:hAnsiTheme="minorEastAsia" w:eastAsiaTheme="minorEastAsia"/>
                <w:lang w:eastAsia="zh-CN"/>
              </w:rPr>
              <w:t>非华人</w:t>
            </w:r>
            <w:r>
              <w:rPr>
                <w:rFonts w:hint="eastAsia" w:asciiTheme="minorEastAsia" w:hAnsiTheme="minorEastAsia" w:eastAsiaTheme="minorEastAsia"/>
                <w:lang w:eastAsia="zh-CN"/>
              </w:rPr>
              <w:t>）</w:t>
            </w:r>
            <w:r>
              <w:rPr>
                <w:rFonts w:asciiTheme="minorEastAsia" w:hAnsiTheme="minorEastAsia" w:eastAsiaTheme="minorEastAsia"/>
                <w:lang w:eastAsia="zh-CN"/>
              </w:rPr>
              <w:t>沟通</w:t>
            </w:r>
            <w:r>
              <w:rPr>
                <w:rFonts w:hint="eastAsia" w:asciiTheme="minorEastAsia" w:hAnsiTheme="minorEastAsia" w:eastAsiaTheme="minorEastAsia"/>
                <w:lang w:eastAsia="zh-CN"/>
              </w:rPr>
              <w:t>。主导多个由跨境项目组（巴基斯坦、迪拜、印度和上海）组成的联合项目组共同完成的高管猎聘项目。有超过5个成功招聘海外高管至中国，或亚洲的案例，如领先德国工业公司的亚洲区域CEO。</w:t>
            </w:r>
          </w:p>
          <w:p>
            <w:pPr>
              <w:pStyle w:val="10"/>
              <w:numPr>
                <w:ilvl w:val="0"/>
                <w:numId w:val="4"/>
              </w:numPr>
              <w:tabs>
                <w:tab w:val="left" w:pos="1894"/>
                <w:tab w:val="left" w:pos="1895"/>
              </w:tabs>
              <w:spacing w:before="104" w:line="295" w:lineRule="auto"/>
              <w:ind w:right="261" w:hanging="417"/>
              <w:rPr>
                <w:lang w:eastAsia="zh-CN"/>
              </w:rPr>
            </w:pPr>
            <w:r>
              <w:rPr>
                <w:rFonts w:asciiTheme="minorEastAsia" w:hAnsiTheme="minorEastAsia" w:eastAsiaTheme="minorEastAsia"/>
                <w:lang w:eastAsia="zh-CN"/>
              </w:rPr>
              <w:t>为一个中等规模的北欧农业机械公司提供薪酬对标服务</w:t>
            </w:r>
            <w:r>
              <w:rPr>
                <w:rFonts w:hint="eastAsia" w:asciiTheme="minorEastAsia" w:hAnsiTheme="minorEastAsia" w:eastAsiaTheme="minorEastAsia"/>
                <w:lang w:eastAsia="zh-CN"/>
              </w:rPr>
              <w:t>，</w:t>
            </w:r>
            <w:r>
              <w:rPr>
                <w:rFonts w:asciiTheme="minorEastAsia" w:hAnsiTheme="minorEastAsia" w:eastAsiaTheme="minorEastAsia"/>
                <w:lang w:eastAsia="zh-CN"/>
              </w:rPr>
              <w:t>该公司在黑龙江大庆地区</w:t>
            </w:r>
            <w:r>
              <w:rPr>
                <w:rFonts w:hint="eastAsia" w:asciiTheme="minorEastAsia" w:hAnsiTheme="minorEastAsia" w:eastAsiaTheme="minorEastAsia"/>
                <w:lang w:eastAsia="zh-CN"/>
              </w:rPr>
              <w:t>，</w:t>
            </w:r>
            <w:r>
              <w:rPr>
                <w:rFonts w:asciiTheme="minorEastAsia" w:hAnsiTheme="minorEastAsia" w:eastAsiaTheme="minorEastAsia"/>
                <w:lang w:eastAsia="zh-CN"/>
              </w:rPr>
              <w:t>需要分岗位面向不同标杆公司进行对标</w:t>
            </w:r>
            <w:r>
              <w:rPr>
                <w:rFonts w:hint="eastAsia" w:asciiTheme="minorEastAsia" w:hAnsiTheme="minorEastAsia" w:eastAsiaTheme="minorEastAsia"/>
                <w:lang w:eastAsia="zh-CN"/>
              </w:rPr>
              <w:t>。项目中成功为客户进行了薪酬对标和提供3年薪酬规划指导。</w:t>
            </w:r>
          </w:p>
        </w:tc>
      </w:tr>
      <w:tr>
        <w:tblPrEx>
          <w:tblLayout w:type="fixed"/>
          <w:tblCellMar>
            <w:top w:w="0" w:type="dxa"/>
            <w:left w:w="0" w:type="dxa"/>
            <w:bottom w:w="0" w:type="dxa"/>
            <w:right w:w="0" w:type="dxa"/>
          </w:tblCellMar>
        </w:tblPrEx>
        <w:trPr>
          <w:trHeight w:val="1008" w:hRule="exact"/>
        </w:trPr>
        <w:tc>
          <w:tcPr>
            <w:tcW w:w="11029" w:type="dxa"/>
            <w:gridSpan w:val="8"/>
            <w:vAlign w:val="center"/>
          </w:tcPr>
          <w:p>
            <w:pPr>
              <w:pStyle w:val="10"/>
              <w:spacing w:before="0"/>
              <w:ind w:left="202"/>
              <w:rPr>
                <w:rFonts w:asciiTheme="minorEastAsia" w:hAnsiTheme="minorEastAsia" w:eastAsiaTheme="minorEastAsia"/>
                <w:b/>
                <w:sz w:val="28"/>
                <w:lang w:eastAsia="zh-CN"/>
              </w:rPr>
            </w:pPr>
            <w:r>
              <w:rPr>
                <w:rFonts w:hint="eastAsia" w:asciiTheme="minorEastAsia" w:hAnsiTheme="minorEastAsia" w:eastAsiaTheme="minorEastAsia"/>
                <w:b/>
                <w:sz w:val="28"/>
                <w:lang w:eastAsia="zh-CN"/>
              </w:rPr>
              <w:t>其他</w:t>
            </w:r>
            <w:r>
              <w:rPr>
                <w:rFonts w:asciiTheme="minorEastAsia" w:hAnsiTheme="minorEastAsia" w:eastAsiaTheme="minorEastAsia"/>
                <w:b/>
                <w:sz w:val="28"/>
                <w:lang w:eastAsia="zh-CN"/>
              </w:rPr>
              <w:t>经历</w:t>
            </w:r>
          </w:p>
          <w:p>
            <w:pPr>
              <w:pStyle w:val="10"/>
              <w:spacing w:before="0"/>
              <w:ind w:left="202"/>
              <w:rPr>
                <w:sz w:val="24"/>
                <w:lang w:eastAsia="zh-CN"/>
              </w:rPr>
            </w:pPr>
            <w:r>
              <w:rPr>
                <w:rFonts w:hint="eastAsia" w:asciiTheme="minorEastAsia" w:hAnsiTheme="minorEastAsia" w:eastAsiaTheme="minorEastAsia"/>
                <w:b/>
                <w:sz w:val="24"/>
                <w:lang w:eastAsia="zh-CN"/>
              </w:rPr>
              <w:t>贝恩</w:t>
            </w:r>
            <w:r>
              <w:rPr>
                <w:rFonts w:asciiTheme="minorEastAsia" w:hAnsiTheme="minorEastAsia" w:eastAsiaTheme="minorEastAsia"/>
                <w:b/>
                <w:sz w:val="24"/>
                <w:lang w:eastAsia="zh-CN"/>
              </w:rPr>
              <w:t>咨询</w:t>
            </w:r>
            <w:r>
              <w:rPr>
                <w:rFonts w:asciiTheme="minorEastAsia" w:hAnsiTheme="minorEastAsia" w:eastAsiaTheme="minorEastAsia"/>
                <w:b/>
                <w:lang w:eastAsia="zh-CN"/>
              </w:rPr>
              <w:t>（</w:t>
            </w:r>
            <w:r>
              <w:rPr>
                <w:lang w:eastAsia="zh-CN"/>
              </w:rPr>
              <w:t>2011.11 – 2012.06</w:t>
            </w:r>
            <w:r>
              <w:rPr>
                <w:rFonts w:hint="eastAsia" w:ascii="宋体" w:hAnsi="宋体" w:eastAsia="宋体" w:cs="宋体"/>
                <w:lang w:eastAsia="zh-CN"/>
              </w:rPr>
              <w:t>）</w:t>
            </w:r>
            <w:r>
              <w:rPr>
                <w:rFonts w:asciiTheme="minorEastAsia" w:hAnsiTheme="minorEastAsia" w:eastAsiaTheme="minorEastAsia"/>
                <w:sz w:val="24"/>
                <w:lang w:eastAsia="zh-CN"/>
              </w:rPr>
              <w:t>：</w:t>
            </w:r>
            <w:r>
              <w:rPr>
                <w:rFonts w:hint="eastAsia" w:ascii="宋体" w:hAnsi="宋体" w:eastAsia="宋体" w:cs="宋体"/>
                <w:lang w:eastAsia="zh-CN"/>
              </w:rPr>
              <w:t>负责多个项目的一线数据调研，</w:t>
            </w:r>
            <w:r>
              <w:rPr>
                <w:rFonts w:hint="eastAsia" w:asciiTheme="minorEastAsia" w:hAnsiTheme="minorEastAsia" w:eastAsiaTheme="minorEastAsia"/>
                <w:lang w:eastAsia="zh-CN"/>
              </w:rPr>
              <w:t>协助进行战略报告编撰，包括市场尽职调查报告、战略设计报告</w:t>
            </w:r>
          </w:p>
        </w:tc>
      </w:tr>
      <w:tr>
        <w:tblPrEx>
          <w:tblLayout w:type="fixed"/>
          <w:tblCellMar>
            <w:top w:w="0" w:type="dxa"/>
            <w:left w:w="0" w:type="dxa"/>
            <w:bottom w:w="0" w:type="dxa"/>
            <w:right w:w="0" w:type="dxa"/>
          </w:tblCellMar>
        </w:tblPrEx>
        <w:trPr>
          <w:trHeight w:val="550" w:hRule="exact"/>
        </w:trPr>
        <w:tc>
          <w:tcPr>
            <w:tcW w:w="1512" w:type="dxa"/>
          </w:tcPr>
          <w:p>
            <w:pPr>
              <w:pStyle w:val="10"/>
              <w:spacing w:before="136"/>
              <w:rPr>
                <w:b/>
                <w:sz w:val="28"/>
              </w:rPr>
            </w:pPr>
            <w:r>
              <w:rPr>
                <w:rFonts w:hint="eastAsia" w:asciiTheme="minorEastAsia" w:hAnsiTheme="minorEastAsia" w:eastAsiaTheme="minorEastAsia"/>
                <w:b/>
                <w:sz w:val="28"/>
                <w:lang w:eastAsia="zh-CN"/>
              </w:rPr>
              <w:t>技能</w:t>
            </w:r>
          </w:p>
        </w:tc>
        <w:tc>
          <w:tcPr>
            <w:tcW w:w="3115" w:type="dxa"/>
            <w:gridSpan w:val="2"/>
          </w:tcPr>
          <w:p/>
        </w:tc>
        <w:tc>
          <w:tcPr>
            <w:tcW w:w="2031" w:type="dxa"/>
          </w:tcPr>
          <w:p/>
        </w:tc>
        <w:tc>
          <w:tcPr>
            <w:tcW w:w="1901" w:type="dxa"/>
          </w:tcPr>
          <w:p/>
        </w:tc>
        <w:tc>
          <w:tcPr>
            <w:tcW w:w="2470" w:type="dxa"/>
            <w:gridSpan w:val="3"/>
          </w:tcPr>
          <w:p/>
        </w:tc>
      </w:tr>
      <w:tr>
        <w:tblPrEx>
          <w:tblLayout w:type="fixed"/>
          <w:tblCellMar>
            <w:top w:w="0" w:type="dxa"/>
            <w:left w:w="0" w:type="dxa"/>
            <w:bottom w:w="0" w:type="dxa"/>
            <w:right w:w="0" w:type="dxa"/>
          </w:tblCellMar>
        </w:tblPrEx>
        <w:trPr>
          <w:trHeight w:val="373" w:hRule="exact"/>
        </w:trPr>
        <w:tc>
          <w:tcPr>
            <w:tcW w:w="1512" w:type="dxa"/>
          </w:tcPr>
          <w:p>
            <w:pPr>
              <w:pStyle w:val="10"/>
              <w:spacing w:before="88"/>
              <w:rPr>
                <w:b/>
              </w:rPr>
            </w:pPr>
            <w:r>
              <w:rPr>
                <w:rFonts w:hint="eastAsia" w:asciiTheme="minorEastAsia" w:hAnsiTheme="minorEastAsia" w:eastAsiaTheme="minorEastAsia"/>
                <w:b/>
                <w:lang w:eastAsia="zh-CN"/>
              </w:rPr>
              <w:t>普通话</w:t>
            </w:r>
          </w:p>
        </w:tc>
        <w:tc>
          <w:tcPr>
            <w:tcW w:w="3115" w:type="dxa"/>
            <w:gridSpan w:val="2"/>
          </w:tcPr>
          <w:p>
            <w:pPr>
              <w:pStyle w:val="10"/>
              <w:spacing w:before="83"/>
              <w:ind w:left="356"/>
              <w:rPr>
                <w:rFonts w:asciiTheme="minorEastAsia" w:hAnsiTheme="minorEastAsia" w:eastAsiaTheme="minorEastAsia"/>
              </w:rPr>
            </w:pPr>
            <w:r>
              <w:rPr>
                <w:rFonts w:asciiTheme="minorEastAsia" w:hAnsiTheme="minorEastAsia" w:eastAsiaTheme="minorEastAsia"/>
              </w:rPr>
              <w:t>母语</w:t>
            </w:r>
          </w:p>
        </w:tc>
        <w:tc>
          <w:tcPr>
            <w:tcW w:w="2031" w:type="dxa"/>
          </w:tcPr>
          <w:p>
            <w:pPr>
              <w:pStyle w:val="10"/>
              <w:spacing w:before="88"/>
              <w:rPr>
                <w:rFonts w:asciiTheme="minorEastAsia" w:hAnsiTheme="minorEastAsia" w:eastAsiaTheme="minorEastAsia"/>
                <w:b/>
              </w:rPr>
            </w:pPr>
            <w:r>
              <w:rPr>
                <w:rFonts w:asciiTheme="minorEastAsia" w:hAnsiTheme="minorEastAsia" w:eastAsiaTheme="minorEastAsia"/>
                <w:b/>
              </w:rPr>
              <w:t>德语</w:t>
            </w:r>
          </w:p>
        </w:tc>
        <w:tc>
          <w:tcPr>
            <w:tcW w:w="1901" w:type="dxa"/>
          </w:tcPr>
          <w:p>
            <w:pPr>
              <w:pStyle w:val="10"/>
              <w:spacing w:before="83"/>
              <w:ind w:left="64"/>
              <w:rPr>
                <w:rFonts w:asciiTheme="minorEastAsia" w:hAnsiTheme="minorEastAsia" w:eastAsiaTheme="minorEastAsia"/>
              </w:rPr>
            </w:pPr>
            <w:r>
              <w:rPr>
                <w:rFonts w:hint="eastAsia" w:asciiTheme="minorEastAsia" w:hAnsiTheme="minorEastAsia" w:eastAsiaTheme="minorEastAsia"/>
                <w:lang w:eastAsia="zh-CN"/>
              </w:rPr>
              <w:t>读写</w:t>
            </w:r>
            <w:r>
              <w:rPr>
                <w:rFonts w:asciiTheme="minorEastAsia" w:hAnsiTheme="minorEastAsia" w:eastAsiaTheme="minorEastAsia"/>
              </w:rPr>
              <w:t>流利</w:t>
            </w:r>
          </w:p>
        </w:tc>
        <w:tc>
          <w:tcPr>
            <w:tcW w:w="2470" w:type="dxa"/>
            <w:gridSpan w:val="3"/>
          </w:tcPr>
          <w:p/>
        </w:tc>
      </w:tr>
      <w:tr>
        <w:tblPrEx>
          <w:tblLayout w:type="fixed"/>
          <w:tblCellMar>
            <w:top w:w="0" w:type="dxa"/>
            <w:left w:w="0" w:type="dxa"/>
            <w:bottom w:w="0" w:type="dxa"/>
            <w:right w:w="0" w:type="dxa"/>
          </w:tblCellMar>
        </w:tblPrEx>
        <w:trPr>
          <w:trHeight w:val="281" w:hRule="exact"/>
        </w:trPr>
        <w:tc>
          <w:tcPr>
            <w:tcW w:w="1512" w:type="dxa"/>
          </w:tcPr>
          <w:p>
            <w:pPr>
              <w:pStyle w:val="10"/>
              <w:spacing w:before="27"/>
              <w:rPr>
                <w:rFonts w:asciiTheme="minorEastAsia" w:hAnsiTheme="minorEastAsia" w:eastAsiaTheme="minorEastAsia"/>
                <w:b/>
              </w:rPr>
            </w:pPr>
            <w:r>
              <w:rPr>
                <w:rFonts w:asciiTheme="minorEastAsia" w:hAnsiTheme="minorEastAsia" w:eastAsiaTheme="minorEastAsia"/>
                <w:b/>
              </w:rPr>
              <w:t>英文</w:t>
            </w:r>
          </w:p>
        </w:tc>
        <w:tc>
          <w:tcPr>
            <w:tcW w:w="3115" w:type="dxa"/>
            <w:gridSpan w:val="2"/>
          </w:tcPr>
          <w:p>
            <w:pPr>
              <w:pStyle w:val="10"/>
              <w:spacing w:before="22"/>
              <w:ind w:left="356"/>
            </w:pPr>
            <w:r>
              <w:rPr>
                <w:rFonts w:hint="eastAsia" w:asciiTheme="minorEastAsia" w:hAnsiTheme="minorEastAsia" w:eastAsiaTheme="minorEastAsia"/>
                <w:lang w:eastAsia="zh-CN"/>
              </w:rPr>
              <w:t>流利</w:t>
            </w:r>
          </w:p>
        </w:tc>
        <w:tc>
          <w:tcPr>
            <w:tcW w:w="2031" w:type="dxa"/>
          </w:tcPr>
          <w:p>
            <w:pPr>
              <w:pStyle w:val="10"/>
              <w:spacing w:before="27"/>
              <w:rPr>
                <w:rFonts w:asciiTheme="minorEastAsia" w:hAnsiTheme="minorEastAsia" w:eastAsiaTheme="minorEastAsia"/>
                <w:b/>
              </w:rPr>
            </w:pPr>
            <w:r>
              <w:rPr>
                <w:rFonts w:asciiTheme="minorEastAsia" w:hAnsiTheme="minorEastAsia" w:eastAsiaTheme="minorEastAsia"/>
                <w:b/>
              </w:rPr>
              <w:t>其他</w:t>
            </w:r>
          </w:p>
        </w:tc>
        <w:tc>
          <w:tcPr>
            <w:tcW w:w="4371" w:type="dxa"/>
            <w:gridSpan w:val="4"/>
          </w:tcPr>
          <w:p>
            <w:pPr>
              <w:pStyle w:val="10"/>
              <w:spacing w:before="22"/>
              <w:ind w:left="64"/>
              <w:rPr>
                <w:rFonts w:asciiTheme="minorEastAsia" w:hAnsiTheme="minorEastAsia" w:eastAsiaTheme="minorEastAsia"/>
                <w:lang w:eastAsia="zh-CN"/>
              </w:rPr>
            </w:pPr>
            <w:r>
              <w:rPr>
                <w:rFonts w:hint="eastAsia" w:asciiTheme="minorEastAsia" w:hAnsiTheme="minorEastAsia" w:eastAsiaTheme="minorEastAsia"/>
                <w:lang w:eastAsia="zh-CN"/>
              </w:rPr>
              <w:t>有C语言编程基础知识</w:t>
            </w:r>
          </w:p>
        </w:tc>
      </w:tr>
    </w:tbl>
    <w:p>
      <w:pPr>
        <w:rPr>
          <w:lang w:eastAsia="zh-CN"/>
        </w:rPr>
      </w:pPr>
    </w:p>
    <w:sectPr>
      <w:pgSz w:w="11910" w:h="16840"/>
      <w:pgMar w:top="860" w:right="300" w:bottom="280" w:left="3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egoe UI">
    <w:panose1 w:val="020B0502040204020203"/>
    <w:charset w:val="00"/>
    <w:family w:val="swiss"/>
    <w:pitch w:val="default"/>
    <w:sig w:usb0="E10022FF" w:usb1="C000E47F" w:usb2="00000029" w:usb3="00000000" w:csb0="200001DF" w:csb1="20000000"/>
  </w:font>
  <w:font w:name="Arial Narrow">
    <w:panose1 w:val="020B0606020202030204"/>
    <w:charset w:val="00"/>
    <w:family w:val="swiss"/>
    <w:pitch w:val="default"/>
    <w:sig w:usb0="00000287" w:usb1="000008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C0674"/>
    <w:multiLevelType w:val="multilevel"/>
    <w:tmpl w:val="0C3C0674"/>
    <w:lvl w:ilvl="0" w:tentative="0">
      <w:start w:val="0"/>
      <w:numFmt w:val="bullet"/>
      <w:lvlText w:val=""/>
      <w:lvlJc w:val="left"/>
      <w:pPr>
        <w:ind w:left="617" w:hanging="418"/>
      </w:pPr>
      <w:rPr>
        <w:rFonts w:hint="default" w:ascii="Wingdings" w:hAnsi="Wingdings" w:eastAsia="Wingdings" w:cs="Wingdings"/>
        <w:w w:val="100"/>
        <w:sz w:val="24"/>
        <w:szCs w:val="24"/>
      </w:rPr>
    </w:lvl>
    <w:lvl w:ilvl="1" w:tentative="0">
      <w:start w:val="0"/>
      <w:numFmt w:val="bullet"/>
      <w:lvlText w:val="•"/>
      <w:lvlJc w:val="left"/>
      <w:pPr>
        <w:ind w:left="1660" w:hanging="418"/>
      </w:pPr>
      <w:rPr>
        <w:rFonts w:hint="default"/>
      </w:rPr>
    </w:lvl>
    <w:lvl w:ilvl="2" w:tentative="0">
      <w:start w:val="0"/>
      <w:numFmt w:val="bullet"/>
      <w:lvlText w:val="•"/>
      <w:lvlJc w:val="left"/>
      <w:pPr>
        <w:ind w:left="2700" w:hanging="418"/>
      </w:pPr>
      <w:rPr>
        <w:rFonts w:hint="default"/>
      </w:rPr>
    </w:lvl>
    <w:lvl w:ilvl="3" w:tentative="0">
      <w:start w:val="0"/>
      <w:numFmt w:val="bullet"/>
      <w:lvlText w:val="•"/>
      <w:lvlJc w:val="left"/>
      <w:pPr>
        <w:ind w:left="3740" w:hanging="418"/>
      </w:pPr>
      <w:rPr>
        <w:rFonts w:hint="default"/>
      </w:rPr>
    </w:lvl>
    <w:lvl w:ilvl="4" w:tentative="0">
      <w:start w:val="0"/>
      <w:numFmt w:val="bullet"/>
      <w:lvlText w:val="•"/>
      <w:lvlJc w:val="left"/>
      <w:pPr>
        <w:ind w:left="4780" w:hanging="418"/>
      </w:pPr>
      <w:rPr>
        <w:rFonts w:hint="default"/>
      </w:rPr>
    </w:lvl>
    <w:lvl w:ilvl="5" w:tentative="0">
      <w:start w:val="0"/>
      <w:numFmt w:val="bullet"/>
      <w:lvlText w:val="•"/>
      <w:lvlJc w:val="left"/>
      <w:pPr>
        <w:ind w:left="5821" w:hanging="418"/>
      </w:pPr>
      <w:rPr>
        <w:rFonts w:hint="default"/>
      </w:rPr>
    </w:lvl>
    <w:lvl w:ilvl="6" w:tentative="0">
      <w:start w:val="0"/>
      <w:numFmt w:val="bullet"/>
      <w:lvlText w:val="•"/>
      <w:lvlJc w:val="left"/>
      <w:pPr>
        <w:ind w:left="6861" w:hanging="418"/>
      </w:pPr>
      <w:rPr>
        <w:rFonts w:hint="default"/>
      </w:rPr>
    </w:lvl>
    <w:lvl w:ilvl="7" w:tentative="0">
      <w:start w:val="0"/>
      <w:numFmt w:val="bullet"/>
      <w:lvlText w:val="•"/>
      <w:lvlJc w:val="left"/>
      <w:pPr>
        <w:ind w:left="7901" w:hanging="418"/>
      </w:pPr>
      <w:rPr>
        <w:rFonts w:hint="default"/>
      </w:rPr>
    </w:lvl>
    <w:lvl w:ilvl="8" w:tentative="0">
      <w:start w:val="0"/>
      <w:numFmt w:val="bullet"/>
      <w:lvlText w:val="•"/>
      <w:lvlJc w:val="left"/>
      <w:pPr>
        <w:ind w:left="8941" w:hanging="418"/>
      </w:pPr>
      <w:rPr>
        <w:rFonts w:hint="default"/>
      </w:rPr>
    </w:lvl>
  </w:abstractNum>
  <w:abstractNum w:abstractNumId="1">
    <w:nsid w:val="22612B99"/>
    <w:multiLevelType w:val="multilevel"/>
    <w:tmpl w:val="22612B99"/>
    <w:lvl w:ilvl="0" w:tentative="0">
      <w:start w:val="0"/>
      <w:numFmt w:val="bullet"/>
      <w:lvlText w:val=""/>
      <w:lvlJc w:val="left"/>
      <w:pPr>
        <w:ind w:left="620" w:hanging="420"/>
      </w:pPr>
      <w:rPr>
        <w:rFonts w:hint="default" w:ascii="Wingdings" w:hAnsi="Wingdings" w:eastAsia="Wingdings" w:cs="Wingdings"/>
        <w:w w:val="100"/>
        <w:sz w:val="21"/>
        <w:szCs w:val="21"/>
      </w:rPr>
    </w:lvl>
    <w:lvl w:ilvl="1" w:tentative="0">
      <w:start w:val="0"/>
      <w:numFmt w:val="bullet"/>
      <w:lvlText w:val="•"/>
      <w:lvlJc w:val="left"/>
      <w:pPr>
        <w:ind w:left="1660" w:hanging="420"/>
      </w:pPr>
      <w:rPr>
        <w:rFonts w:hint="default"/>
      </w:rPr>
    </w:lvl>
    <w:lvl w:ilvl="2" w:tentative="0">
      <w:start w:val="0"/>
      <w:numFmt w:val="bullet"/>
      <w:lvlText w:val="•"/>
      <w:lvlJc w:val="left"/>
      <w:pPr>
        <w:ind w:left="2700" w:hanging="420"/>
      </w:pPr>
      <w:rPr>
        <w:rFonts w:hint="default"/>
      </w:rPr>
    </w:lvl>
    <w:lvl w:ilvl="3" w:tentative="0">
      <w:start w:val="0"/>
      <w:numFmt w:val="bullet"/>
      <w:lvlText w:val="•"/>
      <w:lvlJc w:val="left"/>
      <w:pPr>
        <w:ind w:left="3740" w:hanging="420"/>
      </w:pPr>
      <w:rPr>
        <w:rFonts w:hint="default"/>
      </w:rPr>
    </w:lvl>
    <w:lvl w:ilvl="4" w:tentative="0">
      <w:start w:val="0"/>
      <w:numFmt w:val="bullet"/>
      <w:lvlText w:val="•"/>
      <w:lvlJc w:val="left"/>
      <w:pPr>
        <w:ind w:left="4780" w:hanging="420"/>
      </w:pPr>
      <w:rPr>
        <w:rFonts w:hint="default"/>
      </w:rPr>
    </w:lvl>
    <w:lvl w:ilvl="5" w:tentative="0">
      <w:start w:val="0"/>
      <w:numFmt w:val="bullet"/>
      <w:lvlText w:val="•"/>
      <w:lvlJc w:val="left"/>
      <w:pPr>
        <w:ind w:left="5821" w:hanging="420"/>
      </w:pPr>
      <w:rPr>
        <w:rFonts w:hint="default"/>
      </w:rPr>
    </w:lvl>
    <w:lvl w:ilvl="6" w:tentative="0">
      <w:start w:val="0"/>
      <w:numFmt w:val="bullet"/>
      <w:lvlText w:val="•"/>
      <w:lvlJc w:val="left"/>
      <w:pPr>
        <w:ind w:left="6861" w:hanging="420"/>
      </w:pPr>
      <w:rPr>
        <w:rFonts w:hint="default"/>
      </w:rPr>
    </w:lvl>
    <w:lvl w:ilvl="7" w:tentative="0">
      <w:start w:val="0"/>
      <w:numFmt w:val="bullet"/>
      <w:lvlText w:val="•"/>
      <w:lvlJc w:val="left"/>
      <w:pPr>
        <w:ind w:left="7901" w:hanging="420"/>
      </w:pPr>
      <w:rPr>
        <w:rFonts w:hint="default"/>
      </w:rPr>
    </w:lvl>
    <w:lvl w:ilvl="8" w:tentative="0">
      <w:start w:val="0"/>
      <w:numFmt w:val="bullet"/>
      <w:lvlText w:val="•"/>
      <w:lvlJc w:val="left"/>
      <w:pPr>
        <w:ind w:left="8941" w:hanging="420"/>
      </w:pPr>
      <w:rPr>
        <w:rFonts w:hint="default"/>
      </w:rPr>
    </w:lvl>
  </w:abstractNum>
  <w:abstractNum w:abstractNumId="2">
    <w:nsid w:val="400B1FA5"/>
    <w:multiLevelType w:val="multilevel"/>
    <w:tmpl w:val="400B1FA5"/>
    <w:lvl w:ilvl="0" w:tentative="0">
      <w:start w:val="0"/>
      <w:numFmt w:val="bullet"/>
      <w:lvlText w:val=""/>
      <w:lvlJc w:val="left"/>
      <w:pPr>
        <w:ind w:left="1894" w:hanging="418"/>
      </w:pPr>
      <w:rPr>
        <w:rFonts w:hint="default" w:ascii="Wingdings" w:hAnsi="Wingdings" w:eastAsia="Wingdings" w:cs="Wingdings"/>
        <w:w w:val="100"/>
        <w:sz w:val="22"/>
        <w:szCs w:val="22"/>
      </w:rPr>
    </w:lvl>
    <w:lvl w:ilvl="1" w:tentative="0">
      <w:start w:val="0"/>
      <w:numFmt w:val="bullet"/>
      <w:lvlText w:val="•"/>
      <w:lvlJc w:val="left"/>
      <w:pPr>
        <w:ind w:left="2812" w:hanging="418"/>
      </w:pPr>
      <w:rPr>
        <w:rFonts w:hint="default"/>
      </w:rPr>
    </w:lvl>
    <w:lvl w:ilvl="2" w:tentative="0">
      <w:start w:val="0"/>
      <w:numFmt w:val="bullet"/>
      <w:lvlText w:val="•"/>
      <w:lvlJc w:val="left"/>
      <w:pPr>
        <w:ind w:left="3724" w:hanging="418"/>
      </w:pPr>
      <w:rPr>
        <w:rFonts w:hint="default"/>
      </w:rPr>
    </w:lvl>
    <w:lvl w:ilvl="3" w:tentative="0">
      <w:start w:val="0"/>
      <w:numFmt w:val="bullet"/>
      <w:lvlText w:val="•"/>
      <w:lvlJc w:val="left"/>
      <w:pPr>
        <w:ind w:left="4637" w:hanging="418"/>
      </w:pPr>
      <w:rPr>
        <w:rFonts w:hint="default"/>
      </w:rPr>
    </w:lvl>
    <w:lvl w:ilvl="4" w:tentative="0">
      <w:start w:val="0"/>
      <w:numFmt w:val="bullet"/>
      <w:lvlText w:val="•"/>
      <w:lvlJc w:val="left"/>
      <w:pPr>
        <w:ind w:left="5549" w:hanging="418"/>
      </w:pPr>
      <w:rPr>
        <w:rFonts w:hint="default"/>
      </w:rPr>
    </w:lvl>
    <w:lvl w:ilvl="5" w:tentative="0">
      <w:start w:val="0"/>
      <w:numFmt w:val="bullet"/>
      <w:lvlText w:val="•"/>
      <w:lvlJc w:val="left"/>
      <w:pPr>
        <w:ind w:left="6462" w:hanging="418"/>
      </w:pPr>
      <w:rPr>
        <w:rFonts w:hint="default"/>
      </w:rPr>
    </w:lvl>
    <w:lvl w:ilvl="6" w:tentative="0">
      <w:start w:val="0"/>
      <w:numFmt w:val="bullet"/>
      <w:lvlText w:val="•"/>
      <w:lvlJc w:val="left"/>
      <w:pPr>
        <w:ind w:left="7374" w:hanging="418"/>
      </w:pPr>
      <w:rPr>
        <w:rFonts w:hint="default"/>
      </w:rPr>
    </w:lvl>
    <w:lvl w:ilvl="7" w:tentative="0">
      <w:start w:val="0"/>
      <w:numFmt w:val="bullet"/>
      <w:lvlText w:val="•"/>
      <w:lvlJc w:val="left"/>
      <w:pPr>
        <w:ind w:left="8286" w:hanging="418"/>
      </w:pPr>
      <w:rPr>
        <w:rFonts w:hint="default"/>
      </w:rPr>
    </w:lvl>
    <w:lvl w:ilvl="8" w:tentative="0">
      <w:start w:val="0"/>
      <w:numFmt w:val="bullet"/>
      <w:lvlText w:val="•"/>
      <w:lvlJc w:val="left"/>
      <w:pPr>
        <w:ind w:left="9199" w:hanging="418"/>
      </w:pPr>
      <w:rPr>
        <w:rFonts w:hint="default"/>
      </w:rPr>
    </w:lvl>
  </w:abstractNum>
  <w:abstractNum w:abstractNumId="3">
    <w:nsid w:val="61414BD9"/>
    <w:multiLevelType w:val="multilevel"/>
    <w:tmpl w:val="61414BD9"/>
    <w:lvl w:ilvl="0" w:tentative="0">
      <w:start w:val="0"/>
      <w:numFmt w:val="bullet"/>
      <w:lvlText w:val=""/>
      <w:lvlJc w:val="left"/>
      <w:pPr>
        <w:ind w:left="1894" w:hanging="418"/>
      </w:pPr>
      <w:rPr>
        <w:rFonts w:hint="default" w:ascii="Wingdings" w:hAnsi="Wingdings" w:eastAsia="Wingdings" w:cs="Wingdings"/>
        <w:w w:val="100"/>
        <w:sz w:val="22"/>
        <w:szCs w:val="22"/>
      </w:rPr>
    </w:lvl>
    <w:lvl w:ilvl="1" w:tentative="0">
      <w:start w:val="0"/>
      <w:numFmt w:val="bullet"/>
      <w:lvlText w:val=""/>
      <w:lvlJc w:val="left"/>
      <w:pPr>
        <w:ind w:left="2317" w:hanging="420"/>
      </w:pPr>
      <w:rPr>
        <w:rFonts w:hint="default" w:ascii="Wingdings" w:hAnsi="Wingdings" w:eastAsia="Wingdings" w:cs="Wingdings"/>
        <w:w w:val="100"/>
        <w:sz w:val="22"/>
        <w:szCs w:val="22"/>
      </w:rPr>
    </w:lvl>
    <w:lvl w:ilvl="2" w:tentative="0">
      <w:start w:val="0"/>
      <w:numFmt w:val="bullet"/>
      <w:lvlText w:val="•"/>
      <w:lvlJc w:val="left"/>
      <w:pPr>
        <w:ind w:left="3286" w:hanging="420"/>
      </w:pPr>
      <w:rPr>
        <w:rFonts w:hint="default"/>
      </w:rPr>
    </w:lvl>
    <w:lvl w:ilvl="3" w:tentative="0">
      <w:start w:val="0"/>
      <w:numFmt w:val="bullet"/>
      <w:lvlText w:val="•"/>
      <w:lvlJc w:val="left"/>
      <w:pPr>
        <w:ind w:left="4253" w:hanging="420"/>
      </w:pPr>
      <w:rPr>
        <w:rFonts w:hint="default"/>
      </w:rPr>
    </w:lvl>
    <w:lvl w:ilvl="4" w:tentative="0">
      <w:start w:val="0"/>
      <w:numFmt w:val="bullet"/>
      <w:lvlText w:val="•"/>
      <w:lvlJc w:val="left"/>
      <w:pPr>
        <w:ind w:left="5220" w:hanging="420"/>
      </w:pPr>
      <w:rPr>
        <w:rFonts w:hint="default"/>
      </w:rPr>
    </w:lvl>
    <w:lvl w:ilvl="5" w:tentative="0">
      <w:start w:val="0"/>
      <w:numFmt w:val="bullet"/>
      <w:lvlText w:val="•"/>
      <w:lvlJc w:val="left"/>
      <w:pPr>
        <w:ind w:left="6187" w:hanging="420"/>
      </w:pPr>
      <w:rPr>
        <w:rFonts w:hint="default"/>
      </w:rPr>
    </w:lvl>
    <w:lvl w:ilvl="6" w:tentative="0">
      <w:start w:val="0"/>
      <w:numFmt w:val="bullet"/>
      <w:lvlText w:val="•"/>
      <w:lvlJc w:val="left"/>
      <w:pPr>
        <w:ind w:left="7154" w:hanging="420"/>
      </w:pPr>
      <w:rPr>
        <w:rFonts w:hint="default"/>
      </w:rPr>
    </w:lvl>
    <w:lvl w:ilvl="7" w:tentative="0">
      <w:start w:val="0"/>
      <w:numFmt w:val="bullet"/>
      <w:lvlText w:val="•"/>
      <w:lvlJc w:val="left"/>
      <w:pPr>
        <w:ind w:left="8121" w:hanging="420"/>
      </w:pPr>
      <w:rPr>
        <w:rFonts w:hint="default"/>
      </w:rPr>
    </w:lvl>
    <w:lvl w:ilvl="8" w:tentative="0">
      <w:start w:val="0"/>
      <w:numFmt w:val="bullet"/>
      <w:lvlText w:val="•"/>
      <w:lvlJc w:val="left"/>
      <w:pPr>
        <w:ind w:left="9088" w:hanging="42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61F"/>
    <w:rsid w:val="000071A9"/>
    <w:rsid w:val="00043698"/>
    <w:rsid w:val="00045367"/>
    <w:rsid w:val="0008294E"/>
    <w:rsid w:val="0008332A"/>
    <w:rsid w:val="000A0543"/>
    <w:rsid w:val="000A33AE"/>
    <w:rsid w:val="000A46E2"/>
    <w:rsid w:val="000B4CEC"/>
    <w:rsid w:val="000C2781"/>
    <w:rsid w:val="000F17AA"/>
    <w:rsid w:val="000F3B28"/>
    <w:rsid w:val="000F6FC4"/>
    <w:rsid w:val="00102395"/>
    <w:rsid w:val="00106FEA"/>
    <w:rsid w:val="00110EFA"/>
    <w:rsid w:val="00126EEE"/>
    <w:rsid w:val="00135EA5"/>
    <w:rsid w:val="0014409A"/>
    <w:rsid w:val="001778F5"/>
    <w:rsid w:val="001855FB"/>
    <w:rsid w:val="001A31FA"/>
    <w:rsid w:val="001C0FA0"/>
    <w:rsid w:val="001C5195"/>
    <w:rsid w:val="001D1FB2"/>
    <w:rsid w:val="001E3D23"/>
    <w:rsid w:val="001F5209"/>
    <w:rsid w:val="001F6BF8"/>
    <w:rsid w:val="00202B57"/>
    <w:rsid w:val="00206E98"/>
    <w:rsid w:val="00212933"/>
    <w:rsid w:val="00216807"/>
    <w:rsid w:val="002304E8"/>
    <w:rsid w:val="002478A6"/>
    <w:rsid w:val="00260228"/>
    <w:rsid w:val="002733AE"/>
    <w:rsid w:val="002750AC"/>
    <w:rsid w:val="00280CB7"/>
    <w:rsid w:val="00282F77"/>
    <w:rsid w:val="002A7601"/>
    <w:rsid w:val="002B0C96"/>
    <w:rsid w:val="002B1CCC"/>
    <w:rsid w:val="002E57CA"/>
    <w:rsid w:val="00303EFA"/>
    <w:rsid w:val="003068B4"/>
    <w:rsid w:val="003078BC"/>
    <w:rsid w:val="003154D8"/>
    <w:rsid w:val="00326539"/>
    <w:rsid w:val="0034135E"/>
    <w:rsid w:val="00342C49"/>
    <w:rsid w:val="003558B0"/>
    <w:rsid w:val="00361B60"/>
    <w:rsid w:val="00363399"/>
    <w:rsid w:val="00365A65"/>
    <w:rsid w:val="0037697A"/>
    <w:rsid w:val="0038105A"/>
    <w:rsid w:val="003937FB"/>
    <w:rsid w:val="00394C8E"/>
    <w:rsid w:val="00394E9A"/>
    <w:rsid w:val="003A1167"/>
    <w:rsid w:val="003A2261"/>
    <w:rsid w:val="003D3F3A"/>
    <w:rsid w:val="00410481"/>
    <w:rsid w:val="00415742"/>
    <w:rsid w:val="00432978"/>
    <w:rsid w:val="00447110"/>
    <w:rsid w:val="004519C4"/>
    <w:rsid w:val="00476C1E"/>
    <w:rsid w:val="004A7E75"/>
    <w:rsid w:val="004B6574"/>
    <w:rsid w:val="004D3477"/>
    <w:rsid w:val="004E2718"/>
    <w:rsid w:val="00515668"/>
    <w:rsid w:val="0052170D"/>
    <w:rsid w:val="00525555"/>
    <w:rsid w:val="005329C5"/>
    <w:rsid w:val="005415A3"/>
    <w:rsid w:val="00541608"/>
    <w:rsid w:val="005433ED"/>
    <w:rsid w:val="00557CD1"/>
    <w:rsid w:val="00591F4E"/>
    <w:rsid w:val="005929E0"/>
    <w:rsid w:val="00596E41"/>
    <w:rsid w:val="005B6455"/>
    <w:rsid w:val="005D247E"/>
    <w:rsid w:val="005F506D"/>
    <w:rsid w:val="00610B69"/>
    <w:rsid w:val="00620A6B"/>
    <w:rsid w:val="00624AB9"/>
    <w:rsid w:val="00624B89"/>
    <w:rsid w:val="00625855"/>
    <w:rsid w:val="00626203"/>
    <w:rsid w:val="0063553F"/>
    <w:rsid w:val="0064564D"/>
    <w:rsid w:val="00664190"/>
    <w:rsid w:val="00666170"/>
    <w:rsid w:val="00666DDF"/>
    <w:rsid w:val="006713F4"/>
    <w:rsid w:val="006719A2"/>
    <w:rsid w:val="006962AE"/>
    <w:rsid w:val="006B1031"/>
    <w:rsid w:val="006C161F"/>
    <w:rsid w:val="006D1A0E"/>
    <w:rsid w:val="006E4625"/>
    <w:rsid w:val="00721377"/>
    <w:rsid w:val="0073266E"/>
    <w:rsid w:val="007352F4"/>
    <w:rsid w:val="00781008"/>
    <w:rsid w:val="007C0D0C"/>
    <w:rsid w:val="007D23C2"/>
    <w:rsid w:val="007E0CEB"/>
    <w:rsid w:val="00807111"/>
    <w:rsid w:val="00843679"/>
    <w:rsid w:val="008470AC"/>
    <w:rsid w:val="008478AF"/>
    <w:rsid w:val="00863581"/>
    <w:rsid w:val="0086654A"/>
    <w:rsid w:val="00882392"/>
    <w:rsid w:val="0088710D"/>
    <w:rsid w:val="008878DC"/>
    <w:rsid w:val="008A1C68"/>
    <w:rsid w:val="008B0706"/>
    <w:rsid w:val="008B11A5"/>
    <w:rsid w:val="008D14D0"/>
    <w:rsid w:val="008F71E3"/>
    <w:rsid w:val="00901D7D"/>
    <w:rsid w:val="0094083A"/>
    <w:rsid w:val="0094555E"/>
    <w:rsid w:val="00952516"/>
    <w:rsid w:val="0096092F"/>
    <w:rsid w:val="009719A6"/>
    <w:rsid w:val="00972F8B"/>
    <w:rsid w:val="009730AB"/>
    <w:rsid w:val="00973CF1"/>
    <w:rsid w:val="00981ADC"/>
    <w:rsid w:val="0098531A"/>
    <w:rsid w:val="00995ABB"/>
    <w:rsid w:val="009B516B"/>
    <w:rsid w:val="009C696D"/>
    <w:rsid w:val="009E2947"/>
    <w:rsid w:val="009F34F1"/>
    <w:rsid w:val="009F3B8D"/>
    <w:rsid w:val="00A01472"/>
    <w:rsid w:val="00A1041D"/>
    <w:rsid w:val="00A14FDA"/>
    <w:rsid w:val="00A15232"/>
    <w:rsid w:val="00A269D9"/>
    <w:rsid w:val="00A3017A"/>
    <w:rsid w:val="00A55327"/>
    <w:rsid w:val="00A55B21"/>
    <w:rsid w:val="00A56F68"/>
    <w:rsid w:val="00A828E1"/>
    <w:rsid w:val="00A9202F"/>
    <w:rsid w:val="00AA5B32"/>
    <w:rsid w:val="00AB3627"/>
    <w:rsid w:val="00AC4FBB"/>
    <w:rsid w:val="00AC63AA"/>
    <w:rsid w:val="00AE5FD5"/>
    <w:rsid w:val="00AF2230"/>
    <w:rsid w:val="00B0058F"/>
    <w:rsid w:val="00B04B44"/>
    <w:rsid w:val="00B15E2F"/>
    <w:rsid w:val="00B20015"/>
    <w:rsid w:val="00B215A5"/>
    <w:rsid w:val="00B24348"/>
    <w:rsid w:val="00B40641"/>
    <w:rsid w:val="00B92A48"/>
    <w:rsid w:val="00BE5487"/>
    <w:rsid w:val="00BF1AFD"/>
    <w:rsid w:val="00BF766E"/>
    <w:rsid w:val="00BF7B81"/>
    <w:rsid w:val="00C0710F"/>
    <w:rsid w:val="00C07F51"/>
    <w:rsid w:val="00C231CC"/>
    <w:rsid w:val="00C369BB"/>
    <w:rsid w:val="00C46DFE"/>
    <w:rsid w:val="00C5151D"/>
    <w:rsid w:val="00C638A5"/>
    <w:rsid w:val="00C648C8"/>
    <w:rsid w:val="00C9179B"/>
    <w:rsid w:val="00CB42E8"/>
    <w:rsid w:val="00CC08DF"/>
    <w:rsid w:val="00CD5603"/>
    <w:rsid w:val="00CF38BB"/>
    <w:rsid w:val="00D435D3"/>
    <w:rsid w:val="00D65F1D"/>
    <w:rsid w:val="00D6637E"/>
    <w:rsid w:val="00D76D5F"/>
    <w:rsid w:val="00D843FA"/>
    <w:rsid w:val="00DA42F5"/>
    <w:rsid w:val="00DC7C71"/>
    <w:rsid w:val="00DE70C7"/>
    <w:rsid w:val="00DE7992"/>
    <w:rsid w:val="00E039B0"/>
    <w:rsid w:val="00E1107F"/>
    <w:rsid w:val="00E11692"/>
    <w:rsid w:val="00E21A6B"/>
    <w:rsid w:val="00E27755"/>
    <w:rsid w:val="00E808E7"/>
    <w:rsid w:val="00E93C32"/>
    <w:rsid w:val="00E97393"/>
    <w:rsid w:val="00EA4727"/>
    <w:rsid w:val="00EC27C8"/>
    <w:rsid w:val="00ED1E94"/>
    <w:rsid w:val="00ED2A21"/>
    <w:rsid w:val="00ED64BF"/>
    <w:rsid w:val="00F32DCF"/>
    <w:rsid w:val="00F37396"/>
    <w:rsid w:val="00F4726A"/>
    <w:rsid w:val="00F5673E"/>
    <w:rsid w:val="00F66F5C"/>
    <w:rsid w:val="00F80449"/>
    <w:rsid w:val="00F93009"/>
    <w:rsid w:val="00FB0A38"/>
    <w:rsid w:val="00FB4D1F"/>
    <w:rsid w:val="00FB50BB"/>
    <w:rsid w:val="00FC5AB9"/>
    <w:rsid w:val="00FC7057"/>
    <w:rsid w:val="674656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宋体"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6">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3"/>
    <w:semiHidden/>
    <w:unhideWhenUsed/>
    <w:uiPriority w:val="99"/>
    <w:rPr>
      <w:rFonts w:ascii="Segoe UI" w:hAnsi="Segoe UI" w:cs="Segoe UI"/>
      <w:sz w:val="18"/>
      <w:szCs w:val="18"/>
    </w:rPr>
  </w:style>
  <w:style w:type="paragraph" w:styleId="3">
    <w:name w:val="footer"/>
    <w:basedOn w:val="1"/>
    <w:link w:val="12"/>
    <w:unhideWhenUsed/>
    <w:uiPriority w:val="99"/>
    <w:pPr>
      <w:tabs>
        <w:tab w:val="center" w:pos="4153"/>
        <w:tab w:val="right" w:pos="8306"/>
      </w:tabs>
    </w:pPr>
  </w:style>
  <w:style w:type="paragraph" w:styleId="4">
    <w:name w:val="header"/>
    <w:basedOn w:val="1"/>
    <w:link w:val="11"/>
    <w:unhideWhenUsed/>
    <w:uiPriority w:val="99"/>
    <w:pPr>
      <w:tabs>
        <w:tab w:val="center" w:pos="4153"/>
        <w:tab w:val="right" w:pos="8306"/>
      </w:tabs>
    </w:pPr>
  </w:style>
  <w:style w:type="paragraph" w:styleId="5">
    <w:name w:val="Normal (Web)"/>
    <w:basedOn w:val="1"/>
    <w:semiHidden/>
    <w:unhideWhenUsed/>
    <w:uiPriority w:val="99"/>
    <w:pPr>
      <w:widowControl/>
      <w:autoSpaceDE/>
      <w:autoSpaceDN/>
      <w:spacing w:before="100" w:beforeAutospacing="1" w:after="100" w:afterAutospacing="1"/>
    </w:pPr>
    <w:rPr>
      <w:sz w:val="24"/>
      <w:szCs w:val="24"/>
      <w:lang w:val="en-GB" w:eastAsia="zh-CN"/>
    </w:rPr>
  </w:style>
  <w:style w:type="character" w:styleId="7">
    <w:name w:val="Hyperlink"/>
    <w:basedOn w:val="6"/>
    <w:unhideWhenUsed/>
    <w:uiPriority w:val="99"/>
    <w:rPr>
      <w:color w:val="0000FF" w:themeColor="hyperlink"/>
      <w:u w:val="single"/>
      <w14:textFill>
        <w14:solidFill>
          <w14:schemeClr w14:val="hlink"/>
        </w14:solidFill>
      </w14:textFill>
    </w:rPr>
  </w:style>
  <w:style w:type="paragraph" w:styleId="9">
    <w:name w:val="List Paragraph"/>
    <w:basedOn w:val="1"/>
    <w:qFormat/>
    <w:uiPriority w:val="1"/>
  </w:style>
  <w:style w:type="paragraph" w:customStyle="1" w:styleId="10">
    <w:name w:val="Table Paragraph"/>
    <w:basedOn w:val="1"/>
    <w:qFormat/>
    <w:uiPriority w:val="1"/>
    <w:pPr>
      <w:spacing w:before="101"/>
      <w:ind w:left="200"/>
    </w:pPr>
  </w:style>
  <w:style w:type="character" w:customStyle="1" w:styleId="11">
    <w:name w:val="Header Char"/>
    <w:basedOn w:val="6"/>
    <w:link w:val="4"/>
    <w:uiPriority w:val="99"/>
    <w:rPr>
      <w:rFonts w:ascii="Times New Roman" w:hAnsi="Times New Roman" w:eastAsia="Times New Roman" w:cs="Times New Roman"/>
    </w:rPr>
  </w:style>
  <w:style w:type="character" w:customStyle="1" w:styleId="12">
    <w:name w:val="Footer Char"/>
    <w:basedOn w:val="6"/>
    <w:link w:val="3"/>
    <w:uiPriority w:val="99"/>
    <w:rPr>
      <w:rFonts w:ascii="Times New Roman" w:hAnsi="Times New Roman" w:eastAsia="Times New Roman" w:cs="Times New Roman"/>
    </w:rPr>
  </w:style>
  <w:style w:type="character" w:customStyle="1" w:styleId="13">
    <w:name w:val="Balloon Text Char"/>
    <w:basedOn w:val="6"/>
    <w:link w:val="2"/>
    <w:semiHidden/>
    <w:uiPriority w:val="99"/>
    <w:rPr>
      <w:rFonts w:ascii="Segoe UI" w:hAnsi="Segoe UI" w:eastAsia="Times New Roman"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DA6DB3-DE33-43BE-895C-D73CC61E46DA}">
  <ds:schemaRefs/>
</ds:datastoreItem>
</file>

<file path=docProps/app.xml><?xml version="1.0" encoding="utf-8"?>
<Properties xmlns="http://schemas.openxmlformats.org/officeDocument/2006/extended-properties" xmlns:vt="http://schemas.openxmlformats.org/officeDocument/2006/docPropsVTypes">
  <Template>Normal.dotm</Template>
  <Company>KPMG</Company>
  <Pages>1</Pages>
  <Words>368</Words>
  <Characters>2098</Characters>
  <Lines>17</Lines>
  <Paragraphs>4</Paragraphs>
  <TotalTime>14</TotalTime>
  <ScaleCrop>false</ScaleCrop>
  <LinksUpToDate>false</LinksUpToDate>
  <CharactersWithSpaces>2462</CharactersWithSpaces>
  <Application>WPS Office_11.1.0.7989_F1E327BC-269C-435d-A152-05C5408002CA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2019-02-18T02:02:00Z</dcterms:created>
  <dc:creator>USER</dc:creator>
  <cp:lastModifiedBy>Spy</cp:lastModifiedBy>
  <dcterms:modified xsi:type="dcterms:W3CDTF">2019-02-19T01:52:55Z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2016-06-06T00:00:00Z</vt:filetime>
  </property>
  <property fmtid="{D5CDD505-2E9C-101B-9397-08002B2CF9AE}" pid="3" name="Creator">
    <vt:lpwstr>Microsoft® Word 2016</vt:lpwstr>
  </property>
  <property fmtid="{D5CDD505-2E9C-101B-9397-08002B2CF9AE}" pid="4" name="LastSaved">
    <vt:filetime>2018-02-02T00:00:00Z</vt:filetime>
  </property>
  <property fmtid="{D5CDD505-2E9C-101B-9397-08002B2CF9AE}" pid="5" name="KSOProductBuildVer">
    <vt:lpwstr>2052-11.1.0.7989</vt:lpwstr>
  </property>
</Properties>
</file>