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Ex>
        <w:tc>
          <w:tcPr>
            <w:tcW w:w="8522" w:type="dxa"/>
            <w:shd w:val="clear" w:color="auto" w:fill="F3F3F3"/>
          </w:tcPr>
          <w:p>
            <w:pPr>
              <w:spacing w:line="288" w:lineRule="auto"/>
              <w:jc w:val="center"/>
              <w:rPr>
                <w:rFonts w:ascii="微软雅黑" w:hAnsi="微软雅黑" w:eastAsia="微软雅黑" w:cs="微软雅黑"/>
                <w:b/>
                <w:sz w:val="21"/>
                <w:szCs w:val="21"/>
              </w:rPr>
            </w:pPr>
            <w:r>
              <w:rPr>
                <w:rFonts w:hint="eastAsia" w:ascii="微软雅黑" w:hAnsi="微软雅黑" w:eastAsia="微软雅黑" w:cs="微软雅黑"/>
                <w:b/>
                <w:sz w:val="21"/>
                <w:szCs w:val="21"/>
              </w:rPr>
              <w:t>候选人推荐报告</w:t>
            </w:r>
          </w:p>
        </w:tc>
      </w:tr>
    </w:tbl>
    <w:p>
      <w:pPr>
        <w:spacing w:line="288" w:lineRule="auto"/>
        <w:outlineLvl w:val="0"/>
        <w:rPr>
          <w:rFonts w:ascii="微软雅黑" w:hAnsi="微软雅黑" w:eastAsia="微软雅黑" w:cs="微软雅黑"/>
          <w:b/>
          <w:sz w:val="18"/>
          <w:szCs w:val="18"/>
        </w:rPr>
      </w:pPr>
      <w:r>
        <w:rPr>
          <w:rFonts w:hint="eastAsia" w:ascii="微软雅黑" w:hAnsi="微软雅黑" w:eastAsia="微软雅黑" w:cs="微软雅黑"/>
          <w:b/>
          <w:sz w:val="18"/>
          <w:szCs w:val="18"/>
        </w:rPr>
        <w:t>猎头公司：睿璞咨询</w:t>
      </w:r>
      <w:r>
        <w:rPr>
          <w:rFonts w:hint="eastAsia" w:ascii="微软雅黑" w:hAnsi="微软雅黑" w:eastAsia="微软雅黑" w:cs="微软雅黑"/>
          <w:b/>
          <w:sz w:val="18"/>
          <w:szCs w:val="18"/>
          <w:lang w:val="en-US" w:eastAsia="zh-CN"/>
        </w:rPr>
        <w:t xml:space="preserve"> Rupro Consulting               </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
          <w:sz w:val="18"/>
          <w:szCs w:val="18"/>
        </w:rPr>
        <w:t xml:space="preserve">机密文件     </w:t>
      </w:r>
    </w:p>
    <w:p>
      <w:pPr>
        <w:rPr>
          <w:rFonts w:hint="eastAsia" w:ascii="微软雅黑" w:hAnsi="微软雅黑" w:eastAsia="微软雅黑" w:cs="微软雅黑"/>
          <w:bCs/>
          <w:sz w:val="21"/>
          <w:szCs w:val="21"/>
          <w:lang w:val="en-US" w:eastAsia="zh-CN" w:bidi="ar"/>
        </w:rPr>
      </w:pP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基本资料</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姓名：焦伟</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性别：男</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年</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龄：33</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所在地点： 上海</w:t>
      </w:r>
      <w:bookmarkStart w:id="0" w:name="_GoBack"/>
      <w:bookmarkEnd w:id="0"/>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手</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机：13381740157</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邮</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箱： jiaowei@jiaowei.name</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国</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籍：中国</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户</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籍：上海</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ab/>
      </w: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工作经历</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2017.06-至今</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天翼电子商务有限公司</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公司性质：</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国有企业</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公司规模：</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2000-5000 人</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公司行业：</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互联网/移动互联网/电子商务</w:t>
      </w:r>
      <w:r>
        <w:rPr>
          <w:rFonts w:hint="eastAsia" w:ascii="宋体" w:hAnsi="宋体" w:eastAsia="宋体" w:cs="宋体"/>
          <w:bCs/>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信息安全合规专家</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工作地点：</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上海</w:t>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所在部门：</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网络与信息安全管理部</w:t>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汇报对象：</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信息安全总监</w:t>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下属人数：</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5</w:t>
      </w:r>
      <w:r>
        <w:rPr>
          <w:rFonts w:hint="eastAsia" w:ascii="宋体" w:hAnsi="宋体" w:eastAsia="宋体" w:cs="宋体"/>
          <w:b/>
          <w:bCs w:val="0"/>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职责业绩：</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1、对外统筹对口央行、支付清算协会、网安、银联等各大监管的信息科技风险合规工作，</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成功带领团队通过近两年非金检测认证、等保测评、银联 UPDSS、央行 146 号专项检查等</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十多次网络与信息安全资质行业认证，应用工单系统追踪整改措施，形成有效的风险处置闭环管理。</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对内负责公司信息安全合规体系的建设和维护，完成上级交给的日常信息安全合规工作，组织开展公司内部定期信息安全专项合规审计工作，牵头撰写网络与信息安全合规风险评估表，为新产品新技术上线的业务安全评价工作赋能。</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3、负责公司隐私政策的发布和修订，牵头跨部门定期进行 APP 权限的授权盘点、个人信息收集使用等环节的合理性评估、隐私权政策的内部修订评审等个人信息保护项目，对口国家信息安全标准委员会参加翼支付隐私政策外部评审修订工作。</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4、入职担任安全管理组组长期间，曾获颁公司和部门级优秀员工，所带领团队多次获得优秀团队称号，善于沟通、敢于担当、协作能力强。</w:t>
      </w:r>
    </w:p>
    <w:p>
      <w:pPr>
        <w:rPr>
          <w:rFonts w:hint="eastAsia" w:ascii="宋体" w:hAnsi="宋体" w:eastAsia="宋体" w:cs="宋体"/>
          <w:bCs/>
          <w:sz w:val="21"/>
          <w:szCs w:val="21"/>
          <w:lang w:val="en-US" w:eastAsia="zh-CN" w:bidi="ar"/>
        </w:rPr>
      </w:pPr>
    </w:p>
    <w:p>
      <w:pPr>
        <w:rPr>
          <w:rFonts w:hint="eastAsia" w:ascii="宋体" w:hAnsi="宋体" w:eastAsia="宋体" w:cs="宋体"/>
          <w:bCs/>
          <w:sz w:val="21"/>
          <w:szCs w:val="21"/>
          <w:lang w:val="en-US" w:eastAsia="zh-CN" w:bidi="ar"/>
        </w:rPr>
      </w:pPr>
      <w:r>
        <w:rPr>
          <w:rFonts w:hint="eastAsia" w:ascii="宋体" w:hAnsi="宋体" w:eastAsia="宋体" w:cs="宋体"/>
          <w:b/>
          <w:bCs w:val="0"/>
          <w:sz w:val="21"/>
          <w:szCs w:val="21"/>
          <w:lang w:val="en-US" w:eastAsia="zh-CN" w:bidi="ar"/>
        </w:rPr>
        <w:t>2014.08-2017.06</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快钱支付清算信息有限公司</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公司性质：</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私营·民营企业</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公司规模：</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1000-2000 人</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公司行业：</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互联网/移动互联网/电子商务</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IT 内部审计经理</w:t>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工作地点：</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上海</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所在部门：</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内部审计部</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汇报对象：</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审计总监</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职责业绩：</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全权负责公司近两年第三方支付机构行业监管合规资质的协调维护及应审工作，包括非金融机构支付业务设施技术检测及认证、ISO27001、PCI DSS 及信息系统安全等级保护测评等合规年度审计活动，熟悉掌握包括《网络支付管理办法》、《网络安全法》、《非银行支付机构信息科技风险管理指引》、非金检测标准&amp;认证规范、ISO27001 体系认证、银行卡产业安全数据标准(PCI DSS)，支付机构分类评级及等级保护测评标准在内的第三方支付机构信息安全标准及行业规范；同时，与各外部审计监管机构建立良好的工作关系；</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负责审计预警系统建立，审计风险模型开发及数据更新，分析排疑预警结果，完成系统测试、验收及部署工作；负责审计管理系统实施及运维，实现公司内外部审计活动全流程信息化；</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3. 根据 CSOX404 条款结合支付行业特征及商业模式，组织并参与相关内部信息科技的审计项目，识别重大风险，提出合理专业的建议，有效督促相关部门制定有效措施并推动其完成整改，包括敏感信息排摸审计、结合业务流程信息系统审计等。</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2012.05-2014.08</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鼎捷软件股份有限公司</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公司性质：</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中外合营(合资·合作)</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公司规模：</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2000-5000 人</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公司行业：</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计算机软件</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ERP 流通财务实施顾问</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工作地点：</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上海</w:t>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所在部门：</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T 流通拓展中心华东顾问部</w:t>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汇报对象：</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部门副总经理</w:t>
      </w:r>
      <w:r>
        <w:rPr>
          <w:rFonts w:hint="eastAsia" w:ascii="宋体" w:hAnsi="宋体" w:eastAsia="宋体" w:cs="宋体"/>
          <w:b/>
          <w:bCs w:val="0"/>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职责业绩：</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全程参与五家流通企业上线实施经验，对企业客户财务业务进行调研、分析、诊断，并提供财务管理软件咨询服务，能独立完成 ERP 财务所有模块实施工作，善于捕捉客户需求，并制定有针对性解决方案，提供产品现场实施及辅导支持；尤其熟悉连锁零售、百货家具建材、4S 店等流通行业流程及财务核算内控流程，精通礼券礼卡等预付卡账务核算流程；方案规划、解决能力强，具备沟通、协调和组织、培训能力；.熟悉 ORACLE 数据库，能熟练运用 SQL 语句，有一定程序基础。</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2008.03-2012.05</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上海克莉丝汀食品有限公司</w:t>
      </w:r>
      <w:r>
        <w:rPr>
          <w:rFonts w:hint="eastAsia" w:ascii="宋体" w:hAnsi="宋体" w:eastAsia="宋体" w:cs="宋体"/>
          <w:b/>
          <w:bCs w:val="0"/>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公司性质：</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中外合营(合资·合作)</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公司规模：</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5000-10000 人</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公司行业：</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食品/饮料/烟酒/日化</w:t>
      </w:r>
      <w:r>
        <w:rPr>
          <w:rFonts w:hint="eastAsia" w:ascii="宋体" w:hAnsi="宋体" w:eastAsia="宋体" w:cs="宋体"/>
          <w:bCs/>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ERP 实施工程师</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工作地点：</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上海</w:t>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所在部门：</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资讯部</w:t>
      </w:r>
      <w:r>
        <w:rPr>
          <w:rFonts w:hint="eastAsia" w:ascii="宋体" w:hAnsi="宋体" w:eastAsia="宋体" w:cs="宋体"/>
          <w:b/>
          <w:bCs w:val="0"/>
          <w:sz w:val="21"/>
          <w:szCs w:val="21"/>
          <w:lang w:val="en-US" w:eastAsia="zh-CN" w:bidi="ar"/>
        </w:rPr>
        <w:tab/>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汇报对象：</w:t>
      </w:r>
      <w:r>
        <w:rPr>
          <w:rFonts w:hint="eastAsia" w:ascii="宋体" w:hAnsi="宋体" w:eastAsia="宋体" w:cs="宋体"/>
          <w:b/>
          <w:bCs w:val="0"/>
          <w:sz w:val="21"/>
          <w:szCs w:val="21"/>
          <w:lang w:val="en-US" w:eastAsia="zh-CN" w:bidi="ar"/>
        </w:rPr>
        <w:tab/>
      </w:r>
      <w:r>
        <w:rPr>
          <w:rFonts w:hint="eastAsia" w:ascii="宋体" w:hAnsi="宋体" w:eastAsia="宋体" w:cs="宋体"/>
          <w:b/>
          <w:bCs w:val="0"/>
          <w:sz w:val="21"/>
          <w:szCs w:val="21"/>
          <w:lang w:val="en-US" w:eastAsia="zh-CN" w:bidi="ar"/>
        </w:rPr>
        <w:t>IT 总监</w:t>
      </w:r>
      <w:r>
        <w:rPr>
          <w:rFonts w:hint="eastAsia" w:ascii="宋体" w:hAnsi="宋体" w:eastAsia="宋体" w:cs="宋体"/>
          <w:b/>
          <w:bCs w:val="0"/>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职责业绩：</w:t>
      </w:r>
      <w:r>
        <w:rPr>
          <w:rFonts w:hint="eastAsia" w:ascii="宋体" w:hAnsi="宋体" w:eastAsia="宋体" w:cs="宋体"/>
          <w:bCs/>
          <w:sz w:val="21"/>
          <w:szCs w:val="21"/>
          <w:lang w:val="en-US" w:eastAsia="zh-CN" w:bidi="ar"/>
        </w:rPr>
        <w:tab/>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全程参与公司 ERP 系统（鼎捷 TIPTOP）整体实施推进，主要负责集团八家工厂生产制造、供应链模块的实施导入、成本结转，十余家分公司零售财务上线和系统环境运行维护工作，</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熟知业务操作和系统流程，参与制定系统 SOP、流通零售、财务管理、HR 等各模块实施配置，确保新系统整体顺利上线运行和有效控制，撰写 ERP 实施文档，掌握 cr 水晶报表制作和 4gl 程序开发能力；熟悉礼券等商业预付卡的业态模式、应用流程及数据库管理，制作礼券相关报表，负责公司考勤软件实施维护；参与公司局域网管理工作，兼顾日常系统软件维护等工作；</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教育经历</w:t>
      </w: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南京大学（ 2012.03 - 2016.12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专业名称： 工业工程（金融工程方向）</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学历： 硕士</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是否统招： 否</w:t>
      </w: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lang w:val="en-US" w:eastAsia="zh-CN" w:bidi="ar"/>
        </w:rPr>
      </w:pPr>
      <w:r>
        <w:rPr>
          <w:rFonts w:hint="eastAsia" w:ascii="宋体" w:hAnsi="宋体" w:eastAsia="宋体" w:cs="宋体"/>
          <w:b/>
          <w:bCs w:val="0"/>
          <w:sz w:val="21"/>
          <w:szCs w:val="21"/>
          <w:lang w:val="en-US" w:eastAsia="zh-CN" w:bidi="ar"/>
        </w:rPr>
        <w:t>上海第二工业大学（ 2004.09 - 2008.07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 xml:space="preserve">专业名称： 信息系统信息管理 </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学历： 本科</w:t>
      </w:r>
      <w:r>
        <w:rPr>
          <w:rFonts w:hint="eastAsia" w:ascii="宋体" w:hAnsi="宋体" w:eastAsia="宋体" w:cs="宋体"/>
          <w:bCs/>
          <w:sz w:val="21"/>
          <w:szCs w:val="21"/>
          <w:lang w:val="en-US" w:eastAsia="zh-CN" w:bidi="ar"/>
        </w:rPr>
        <w:tab/>
      </w:r>
      <w:r>
        <w:rPr>
          <w:rFonts w:hint="eastAsia" w:ascii="宋体" w:hAnsi="宋体" w:eastAsia="宋体" w:cs="宋体"/>
          <w:bCs/>
          <w:sz w:val="21"/>
          <w:szCs w:val="21"/>
          <w:lang w:val="en-US" w:eastAsia="zh-CN" w:bidi="ar"/>
        </w:rPr>
        <w:t>是否统招： 是</w:t>
      </w:r>
    </w:p>
    <w:p>
      <w:pPr>
        <w:rPr>
          <w:rFonts w:hint="eastAsia" w:ascii="宋体" w:hAnsi="宋体" w:eastAsia="宋体" w:cs="宋体"/>
          <w:bCs/>
          <w:sz w:val="21"/>
          <w:szCs w:val="21"/>
          <w:lang w:val="en-US" w:eastAsia="zh-CN" w:bidi="ar"/>
        </w:rPr>
      </w:pPr>
    </w:p>
    <w:p>
      <w:pPr>
        <w:rPr>
          <w:rFonts w:hint="eastAsia" w:ascii="宋体" w:hAnsi="宋体" w:eastAsia="宋体" w:cs="宋体"/>
          <w:bCs/>
          <w:sz w:val="21"/>
          <w:szCs w:val="21"/>
          <w:lang w:val="en-US" w:eastAsia="zh-CN" w:bidi="ar"/>
        </w:rPr>
      </w:pPr>
    </w:p>
    <w:p>
      <w:pPr>
        <w:rPr>
          <w:rFonts w:hint="eastAsia" w:ascii="宋体" w:hAnsi="宋体" w:eastAsia="宋体" w:cs="宋体"/>
          <w:b/>
          <w:bCs w:val="0"/>
          <w:sz w:val="21"/>
          <w:szCs w:val="21"/>
          <w:highlight w:val="lightGray"/>
          <w:lang w:val="en-US" w:eastAsia="zh-CN" w:bidi="ar"/>
        </w:rPr>
      </w:pPr>
      <w:r>
        <w:rPr>
          <w:rFonts w:hint="eastAsia" w:ascii="宋体" w:hAnsi="宋体" w:eastAsia="宋体" w:cs="宋体"/>
          <w:b/>
          <w:bCs w:val="0"/>
          <w:sz w:val="21"/>
          <w:szCs w:val="21"/>
          <w:highlight w:val="lightGray"/>
          <w:lang w:val="en-US" w:eastAsia="zh-CN" w:bidi="ar"/>
        </w:rPr>
        <w:t>自我评价</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1、从 ERP 行业转战第三方支付行业的我，近五年深耕企业信息科技风险领域，掌握第三方支付行业的商业模式和行业知识，先后从事 IT 审计、信息安全合规、隐私保护合规工作，对支付行业检测认证、等级保护、PCI DSS/UPDSS、ISO27001 等信息安全资质认证，有成熟的项目实施经验，熟悉上述领域的检测认证机构及其专家，与其建立有效的沟通管道。目前具备 CISA、PCI SE，今年计划通过 CISSP、CRISC、CISP 认证。</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2、我认为作为一名从事信息科技风险工作的支付人，需要的不仅仅是跨信息安全技术和审计技术的复合型知识储备，更需要对所立足行业领域的深耕，了解行业监管合规的风向，对于行业发展有着前瞻性的趋势分析，与时俱进地识别周遭不断衍生的重大风险，尤其是在互联网金融行业蓬勃发展的风口浪尖，更需要审时度势，培养战略思维。我有志于各种挑战自我的契机，成为该领域的行业专家。</w:t>
      </w:r>
    </w:p>
    <w:p>
      <w:pPr>
        <w:rPr>
          <w:rFonts w:hint="eastAsia" w:ascii="宋体" w:hAnsi="宋体" w:eastAsia="宋体" w:cs="宋体"/>
          <w:bCs/>
          <w:sz w:val="21"/>
          <w:szCs w:val="21"/>
          <w:lang w:val="en-US" w:eastAsia="zh-CN" w:bidi="ar"/>
        </w:rPr>
      </w:pPr>
    </w:p>
    <w:p>
      <w:pPr>
        <w:rPr>
          <w:rFonts w:hint="eastAsia" w:ascii="宋体" w:hAnsi="宋体" w:eastAsia="宋体" w:cs="宋体"/>
          <w:b/>
          <w:bCs w:val="0"/>
          <w:color w:val="000000" w:themeColor="text1"/>
          <w:sz w:val="21"/>
          <w:szCs w:val="21"/>
          <w:highlight w:val="lightGray"/>
          <w:lang w:val="en-US" w:eastAsia="zh-CN" w:bidi="ar"/>
          <w14:textFill>
            <w14:solidFill>
              <w14:schemeClr w14:val="tx1"/>
            </w14:solidFill>
          </w14:textFill>
        </w:rPr>
      </w:pPr>
      <w:r>
        <w:rPr>
          <w:rFonts w:hint="eastAsia" w:ascii="宋体" w:hAnsi="宋体" w:eastAsia="宋体" w:cs="宋体"/>
          <w:b/>
          <w:bCs w:val="0"/>
          <w:color w:val="000000" w:themeColor="text1"/>
          <w:sz w:val="21"/>
          <w:szCs w:val="21"/>
          <w:highlight w:val="lightGray"/>
          <w:lang w:val="en-US" w:eastAsia="zh-CN" w:bidi="ar"/>
          <w14:textFill>
            <w14:solidFill>
              <w14:schemeClr w14:val="tx1"/>
            </w14:solidFill>
          </w14:textFill>
        </w:rPr>
        <w:t>附加信息</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PCI SE，2015/12</w:t>
      </w:r>
    </w:p>
    <w:p>
      <w:pPr>
        <w:rPr>
          <w:rFonts w:hint="eastAsia" w:ascii="宋体" w:hAnsi="宋体" w:eastAsia="宋体" w:cs="宋体"/>
          <w:bCs/>
          <w:sz w:val="21"/>
          <w:szCs w:val="21"/>
          <w:lang w:val="en-US" w:eastAsia="zh-CN" w:bidi="ar"/>
        </w:rPr>
      </w:pPr>
      <w:r>
        <w:rPr>
          <w:rFonts w:hint="eastAsia" w:ascii="宋体" w:hAnsi="宋体" w:eastAsia="宋体" w:cs="宋体"/>
          <w:bCs/>
          <w:sz w:val="21"/>
          <w:szCs w:val="21"/>
          <w:lang w:val="en-US" w:eastAsia="zh-CN" w:bidi="ar"/>
        </w:rPr>
        <w:t>CISA，2019/2</w:t>
      </w:r>
    </w:p>
    <w:p>
      <w:pPr>
        <w:rPr>
          <w:rFonts w:hint="eastAsia" w:ascii="宋体" w:hAnsi="宋体" w:eastAsia="宋体" w:cs="宋体"/>
          <w:bCs/>
          <w:sz w:val="21"/>
          <w:szCs w:val="21"/>
          <w:lang w:val="en-US" w:eastAsia="zh-CN" w:bidi="ar"/>
        </w:rPr>
      </w:pPr>
    </w:p>
    <w:sectPr>
      <w:headerReference r:id="rId3" w:type="default"/>
      <w:footerReference r:id="rId4"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MingLiU">
    <w:panose1 w:val="02020500000000000000"/>
    <w:charset w:val="88"/>
    <w:family w:val="roman"/>
    <w:pitch w:val="default"/>
    <w:sig w:usb0="A00002FF" w:usb1="28CFFCFA" w:usb2="00000016" w:usb3="00000000" w:csb0="00100001"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50"/>
    <w:family w:val="auto"/>
    <w:pitch w:val="default"/>
    <w:sig w:usb0="80000287" w:usb1="280F3C52" w:usb2="00000016" w:usb3="00000000" w:csb0="0004001F" w:csb1="00000000"/>
  </w:font>
  <w:font w:name="华文细黑">
    <w:panose1 w:val="02010600040101010101"/>
    <w:charset w:val="50"/>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4" w:space="0"/>
      </w:pBdr>
      <w:tabs>
        <w:tab w:val="right" w:pos="3686"/>
        <w:tab w:val="left" w:pos="4820"/>
      </w:tabs>
      <w:spacing w:line="276" w:lineRule="auto"/>
      <w:ind w:left="2745" w:hanging="2538" w:hangingChars="1950"/>
      <w:jc w:val="center"/>
      <w:rPr>
        <w:rFonts w:ascii="Arial" w:hAnsi="Arial" w:eastAsia="华文细黑" w:cs="Arial"/>
        <w:b/>
        <w:bCs/>
        <w:sz w:val="13"/>
        <w:szCs w:val="13"/>
        <w:lang w:eastAsia="zh-CN"/>
      </w:rPr>
    </w:pPr>
  </w:p>
  <w:p>
    <w:pPr>
      <w:pBdr>
        <w:top w:val="single" w:color="auto" w:sz="4" w:space="0"/>
      </w:pBdr>
      <w:tabs>
        <w:tab w:val="right" w:pos="3686"/>
        <w:tab w:val="left" w:pos="4820"/>
      </w:tabs>
      <w:wordWrap w:val="0"/>
      <w:spacing w:line="276" w:lineRule="auto"/>
      <w:jc w:val="right"/>
      <w:rPr>
        <w:rFonts w:ascii="Arial" w:hAnsi="Arial" w:eastAsia="华文细黑" w:cs="Arial"/>
        <w:bCs/>
        <w:sz w:val="13"/>
        <w:szCs w:val="13"/>
        <w:lang w:eastAsia="zh-CN"/>
      </w:rPr>
    </w:pPr>
    <w:r>
      <w:rPr>
        <w:lang w:val="en-US" w:eastAsia="zh-CN"/>
      </w:rPr>
      <w:drawing>
        <wp:anchor distT="0" distB="0" distL="114300" distR="114300" simplePos="0" relativeHeight="251658240" behindDoc="0" locked="0" layoutInCell="1" allowOverlap="1">
          <wp:simplePos x="0" y="0"/>
          <wp:positionH relativeFrom="column">
            <wp:posOffset>1353820</wp:posOffset>
          </wp:positionH>
          <wp:positionV relativeFrom="paragraph">
            <wp:posOffset>17780</wp:posOffset>
          </wp:positionV>
          <wp:extent cx="505460" cy="508000"/>
          <wp:effectExtent l="0" t="0" r="889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05460" cy="508000"/>
                  </a:xfrm>
                  <a:prstGeom prst="rect">
                    <a:avLst/>
                  </a:prstGeom>
                  <a:noFill/>
                  <a:ln w="9525">
                    <a:noFill/>
                  </a:ln>
                </pic:spPr>
              </pic:pic>
            </a:graphicData>
          </a:graphic>
        </wp:anchor>
      </w:drawing>
    </w:r>
    <w:r>
      <w:rPr>
        <w:rFonts w:hint="eastAsia" w:ascii="Arial" w:hAnsi="Arial" w:eastAsia="华文细黑" w:cs="Arial"/>
        <w:bCs/>
        <w:sz w:val="13"/>
        <w:szCs w:val="13"/>
        <w:lang w:eastAsia="zh-CN"/>
      </w:rPr>
      <w:t>上海睿璞企业管理咨询有限公司（</w:t>
    </w:r>
    <w:r>
      <w:rPr>
        <w:rFonts w:ascii="Arial" w:hAnsi="Arial" w:eastAsia="华文细黑" w:cs="Arial"/>
        <w:bCs/>
        <w:sz w:val="13"/>
        <w:szCs w:val="13"/>
        <w:lang w:eastAsia="zh-CN"/>
      </w:rPr>
      <w:t>Rurpo Consulting</w:t>
    </w:r>
    <w:r>
      <w:rPr>
        <w:rFonts w:hint="eastAsia" w:ascii="Arial" w:hAnsi="Arial" w:eastAsia="华文细黑" w:cs="Arial"/>
        <w:bCs/>
        <w:sz w:val="13"/>
        <w:szCs w:val="13"/>
        <w:lang w:eastAsia="zh-CN"/>
      </w:rPr>
      <w:t xml:space="preserve">）                              </w:t>
    </w:r>
  </w:p>
  <w:p>
    <w:pPr>
      <w:pBdr>
        <w:top w:val="single" w:color="auto" w:sz="4" w:space="0"/>
      </w:pBdr>
      <w:tabs>
        <w:tab w:val="right" w:pos="3686"/>
        <w:tab w:val="left" w:pos="4820"/>
      </w:tabs>
      <w:wordWrap w:val="0"/>
      <w:spacing w:line="276" w:lineRule="auto"/>
      <w:jc w:val="right"/>
      <w:rPr>
        <w:rFonts w:ascii="Arial" w:hAnsi="Arial" w:eastAsia="华文细黑" w:cs="Arial"/>
        <w:bCs/>
        <w:sz w:val="13"/>
        <w:szCs w:val="13"/>
        <w:lang w:eastAsia="zh-CN"/>
      </w:rPr>
    </w:pPr>
    <w:r>
      <w:rPr>
        <w:rFonts w:hint="eastAsia" w:ascii="Arial" w:hAnsi="Arial" w:eastAsia="华文细黑" w:cs="Arial"/>
        <w:bCs/>
        <w:sz w:val="13"/>
        <w:szCs w:val="13"/>
        <w:lang w:eastAsia="zh-CN"/>
      </w:rPr>
      <w:t>电话：</w:t>
    </w:r>
    <w:r>
      <w:rPr>
        <w:rFonts w:ascii="Arial" w:hAnsi="Arial" w:eastAsia="华文细黑" w:cs="Arial"/>
        <w:bCs/>
        <w:sz w:val="13"/>
        <w:szCs w:val="13"/>
        <w:lang w:eastAsia="zh-CN"/>
      </w:rPr>
      <w:t>021-31379410</w:t>
    </w:r>
    <w:r>
      <w:rPr>
        <w:rFonts w:hint="eastAsia" w:ascii="Arial" w:hAnsi="Arial" w:eastAsia="华文细黑" w:cs="Arial"/>
        <w:bCs/>
        <w:sz w:val="13"/>
        <w:szCs w:val="13"/>
        <w:lang w:eastAsia="zh-CN"/>
      </w:rPr>
      <w:t xml:space="preserve">                                                           </w:t>
    </w:r>
    <w:r>
      <w:rPr>
        <w:rFonts w:ascii="Arial" w:hAnsi="Arial" w:eastAsia="华文细黑" w:cs="Arial"/>
        <w:bCs/>
        <w:sz w:val="13"/>
        <w:szCs w:val="13"/>
        <w:lang w:eastAsia="zh-CN"/>
      </w:rPr>
      <w:cr/>
    </w:r>
    <w:r>
      <w:rPr>
        <w:rFonts w:hint="eastAsia" w:ascii="Arial" w:hAnsi="Arial" w:eastAsia="华文细黑" w:cs="Arial"/>
        <w:bCs/>
        <w:sz w:val="13"/>
        <w:szCs w:val="13"/>
        <w:lang w:eastAsia="zh-CN"/>
      </w:rPr>
      <w:t>地址：中国（上海）浦东新区汤臣金融大厦</w:t>
    </w:r>
    <w:r>
      <w:rPr>
        <w:rFonts w:hint="eastAsia" w:ascii="Arial" w:hAnsi="Arial" w:eastAsia="华文细黑" w:cs="Arial"/>
        <w:bCs/>
        <w:sz w:val="13"/>
        <w:szCs w:val="13"/>
        <w:lang w:val="en-US" w:eastAsia="zh-CN"/>
      </w:rPr>
      <w:t>1706室</w:t>
    </w:r>
    <w:r>
      <w:rPr>
        <w:rFonts w:hint="eastAsia" w:ascii="Arial" w:hAnsi="Arial" w:eastAsia="华文细黑" w:cs="Arial"/>
        <w:bCs/>
        <w:sz w:val="13"/>
        <w:szCs w:val="13"/>
        <w:lang w:eastAsia="zh-CN"/>
      </w:rPr>
      <w:t xml:space="preserve">                                </w:t>
    </w:r>
  </w:p>
  <w:p>
    <w:pPr>
      <w:pBdr>
        <w:top w:val="single" w:color="auto" w:sz="4" w:space="0"/>
      </w:pBdr>
      <w:tabs>
        <w:tab w:val="right" w:pos="3686"/>
        <w:tab w:val="left" w:pos="4820"/>
      </w:tabs>
      <w:wordWrap w:val="0"/>
      <w:spacing w:line="276" w:lineRule="auto"/>
      <w:jc w:val="right"/>
      <w:rPr>
        <w:lang w:eastAsia="zh-CN"/>
      </w:rPr>
    </w:pPr>
    <w:r>
      <w:rPr>
        <w:rFonts w:hint="eastAsia" w:ascii="Arial" w:hAnsi="Arial" w:eastAsia="华文细黑" w:cs="Arial"/>
        <w:b/>
        <w:bCs/>
        <w:sz w:val="13"/>
        <w:szCs w:val="13"/>
        <w:lang w:eastAsia="zh-CN"/>
      </w:rPr>
      <w:t xml:space="preserve">机密资料，敬请妥善保管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eastAsiaTheme="minorEastAsia"/>
        <w:lang w:eastAsia="zh-CN"/>
      </w:rPr>
    </w:pPr>
    <w:r>
      <w:rPr>
        <w:rFonts w:hint="eastAsia" w:eastAsia="宋体"/>
        <w:lang w:val="en-US" w:eastAsia="zh-CN"/>
      </w:rPr>
      <w:drawing>
        <wp:inline distT="0" distB="0" distL="0" distR="0">
          <wp:extent cx="2195195" cy="4464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95806" cy="446980"/>
                  </a:xfrm>
                  <a:prstGeom prst="rect">
                    <a:avLst/>
                  </a:prstGeom>
                </pic:spPr>
              </pic:pic>
            </a:graphicData>
          </a:graphic>
        </wp:inline>
      </w:drawing>
    </w:r>
  </w:p>
  <w:p>
    <w:pPr>
      <w:pStyle w:val="4"/>
      <w:rPr>
        <w:rFonts w:eastAsiaTheme="minorEastAsia"/>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0466FB"/>
    <w:rsid w:val="000474AA"/>
    <w:rsid w:val="00096CFC"/>
    <w:rsid w:val="0018706E"/>
    <w:rsid w:val="00265A62"/>
    <w:rsid w:val="002E2079"/>
    <w:rsid w:val="00374945"/>
    <w:rsid w:val="004355C0"/>
    <w:rsid w:val="00502928"/>
    <w:rsid w:val="005F475F"/>
    <w:rsid w:val="00623DD9"/>
    <w:rsid w:val="00660DFE"/>
    <w:rsid w:val="0066403A"/>
    <w:rsid w:val="006B1DEA"/>
    <w:rsid w:val="006C6672"/>
    <w:rsid w:val="006F174B"/>
    <w:rsid w:val="00725DE9"/>
    <w:rsid w:val="00732674"/>
    <w:rsid w:val="007C3886"/>
    <w:rsid w:val="008C4201"/>
    <w:rsid w:val="00935449"/>
    <w:rsid w:val="00951076"/>
    <w:rsid w:val="009C5CB3"/>
    <w:rsid w:val="009E7205"/>
    <w:rsid w:val="00AD66A8"/>
    <w:rsid w:val="00B7545C"/>
    <w:rsid w:val="00B81DAB"/>
    <w:rsid w:val="00C1411D"/>
    <w:rsid w:val="00D06FDE"/>
    <w:rsid w:val="00D07F1E"/>
    <w:rsid w:val="00E141D0"/>
    <w:rsid w:val="00FC03AB"/>
    <w:rsid w:val="01053C14"/>
    <w:rsid w:val="016E247D"/>
    <w:rsid w:val="02081FAB"/>
    <w:rsid w:val="05AB6DA7"/>
    <w:rsid w:val="067C69CE"/>
    <w:rsid w:val="078C18F4"/>
    <w:rsid w:val="084F36A7"/>
    <w:rsid w:val="08D26281"/>
    <w:rsid w:val="090000CA"/>
    <w:rsid w:val="0A8A3A0B"/>
    <w:rsid w:val="0AD949D7"/>
    <w:rsid w:val="0BC17005"/>
    <w:rsid w:val="0C5924C2"/>
    <w:rsid w:val="0C743D6D"/>
    <w:rsid w:val="0D363424"/>
    <w:rsid w:val="0D511C8E"/>
    <w:rsid w:val="0F340C2C"/>
    <w:rsid w:val="0FE43C94"/>
    <w:rsid w:val="107515F8"/>
    <w:rsid w:val="12246C11"/>
    <w:rsid w:val="12852F20"/>
    <w:rsid w:val="12895651"/>
    <w:rsid w:val="143234B6"/>
    <w:rsid w:val="15097C64"/>
    <w:rsid w:val="15913F38"/>
    <w:rsid w:val="166472B0"/>
    <w:rsid w:val="17C14E49"/>
    <w:rsid w:val="181955D2"/>
    <w:rsid w:val="198166F4"/>
    <w:rsid w:val="19C2583C"/>
    <w:rsid w:val="19D55563"/>
    <w:rsid w:val="19E43898"/>
    <w:rsid w:val="1AEC6B94"/>
    <w:rsid w:val="1B137191"/>
    <w:rsid w:val="1BF54957"/>
    <w:rsid w:val="1C450131"/>
    <w:rsid w:val="1E1606DF"/>
    <w:rsid w:val="1E4C2A52"/>
    <w:rsid w:val="1F8075CB"/>
    <w:rsid w:val="1FFC2D63"/>
    <w:rsid w:val="20A95CA4"/>
    <w:rsid w:val="21323752"/>
    <w:rsid w:val="21360768"/>
    <w:rsid w:val="237F5D6E"/>
    <w:rsid w:val="23D3236D"/>
    <w:rsid w:val="248837C4"/>
    <w:rsid w:val="266B7C56"/>
    <w:rsid w:val="286331F3"/>
    <w:rsid w:val="28A0150A"/>
    <w:rsid w:val="290430EF"/>
    <w:rsid w:val="293C06DA"/>
    <w:rsid w:val="29741C2C"/>
    <w:rsid w:val="29DC2266"/>
    <w:rsid w:val="2BE7157A"/>
    <w:rsid w:val="2C091423"/>
    <w:rsid w:val="2D1B5A96"/>
    <w:rsid w:val="2D8A12F0"/>
    <w:rsid w:val="2E04786F"/>
    <w:rsid w:val="2E3A3E0C"/>
    <w:rsid w:val="2FFD3BC7"/>
    <w:rsid w:val="306075B0"/>
    <w:rsid w:val="30A6297F"/>
    <w:rsid w:val="31EE0A4A"/>
    <w:rsid w:val="32447663"/>
    <w:rsid w:val="32AE5FA7"/>
    <w:rsid w:val="33EF5894"/>
    <w:rsid w:val="342B250D"/>
    <w:rsid w:val="35190C4B"/>
    <w:rsid w:val="363A1872"/>
    <w:rsid w:val="37F63F4E"/>
    <w:rsid w:val="380971A8"/>
    <w:rsid w:val="3CC352A1"/>
    <w:rsid w:val="3CD023FA"/>
    <w:rsid w:val="3D6768C2"/>
    <w:rsid w:val="3E4D009C"/>
    <w:rsid w:val="405A1C58"/>
    <w:rsid w:val="407A65F4"/>
    <w:rsid w:val="40AF4CF7"/>
    <w:rsid w:val="40DB60C1"/>
    <w:rsid w:val="434A662D"/>
    <w:rsid w:val="43522750"/>
    <w:rsid w:val="448B103C"/>
    <w:rsid w:val="44A72874"/>
    <w:rsid w:val="458461E3"/>
    <w:rsid w:val="463A6D10"/>
    <w:rsid w:val="46E65410"/>
    <w:rsid w:val="47833DBA"/>
    <w:rsid w:val="488755C8"/>
    <w:rsid w:val="488E301F"/>
    <w:rsid w:val="491537DB"/>
    <w:rsid w:val="491A0DEF"/>
    <w:rsid w:val="493E4709"/>
    <w:rsid w:val="4A0347E8"/>
    <w:rsid w:val="4A7161C9"/>
    <w:rsid w:val="4AFF4696"/>
    <w:rsid w:val="4B7A18DE"/>
    <w:rsid w:val="4D9D5AAC"/>
    <w:rsid w:val="4DF516A1"/>
    <w:rsid w:val="4EAA16C0"/>
    <w:rsid w:val="506D158D"/>
    <w:rsid w:val="510A1C5F"/>
    <w:rsid w:val="51993997"/>
    <w:rsid w:val="51A752F9"/>
    <w:rsid w:val="51D37566"/>
    <w:rsid w:val="51F3242D"/>
    <w:rsid w:val="5465300D"/>
    <w:rsid w:val="554D5010"/>
    <w:rsid w:val="558041EB"/>
    <w:rsid w:val="571901A0"/>
    <w:rsid w:val="573110E5"/>
    <w:rsid w:val="58337A0C"/>
    <w:rsid w:val="5AB41394"/>
    <w:rsid w:val="5B5E317D"/>
    <w:rsid w:val="5B813458"/>
    <w:rsid w:val="5D330E33"/>
    <w:rsid w:val="5D6A16FB"/>
    <w:rsid w:val="5DC22FAA"/>
    <w:rsid w:val="5EF07037"/>
    <w:rsid w:val="5F733754"/>
    <w:rsid w:val="5FA51B37"/>
    <w:rsid w:val="5FE540DE"/>
    <w:rsid w:val="6036436F"/>
    <w:rsid w:val="61453B11"/>
    <w:rsid w:val="627B221F"/>
    <w:rsid w:val="632970A5"/>
    <w:rsid w:val="63DF4914"/>
    <w:rsid w:val="64B263AB"/>
    <w:rsid w:val="66E60E54"/>
    <w:rsid w:val="67537664"/>
    <w:rsid w:val="69771936"/>
    <w:rsid w:val="69F17399"/>
    <w:rsid w:val="6A8270B9"/>
    <w:rsid w:val="6D531C20"/>
    <w:rsid w:val="6EDA2AE3"/>
    <w:rsid w:val="6EDD49D5"/>
    <w:rsid w:val="6F6C6009"/>
    <w:rsid w:val="700F048D"/>
    <w:rsid w:val="70144107"/>
    <w:rsid w:val="70C9685E"/>
    <w:rsid w:val="710B1331"/>
    <w:rsid w:val="7330765F"/>
    <w:rsid w:val="734F11D0"/>
    <w:rsid w:val="75E2058C"/>
    <w:rsid w:val="76F274BB"/>
    <w:rsid w:val="77890B51"/>
    <w:rsid w:val="77E01CB0"/>
    <w:rsid w:val="78975126"/>
    <w:rsid w:val="78C4365A"/>
    <w:rsid w:val="78CE4FC6"/>
    <w:rsid w:val="795B6BE2"/>
    <w:rsid w:val="796928CA"/>
    <w:rsid w:val="7A9D3857"/>
    <w:rsid w:val="7C0842C2"/>
    <w:rsid w:val="7DBB0656"/>
    <w:rsid w:val="7DD9029C"/>
    <w:rsid w:val="7F9E6E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character" w:default="1" w:styleId="7">
    <w:name w:val="Default Paragraph Font"/>
    <w:unhideWhenUsed/>
    <w:qFormat/>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12"/>
    <w:qFormat/>
    <w:uiPriority w:val="0"/>
    <w:rPr>
      <w:sz w:val="18"/>
      <w:szCs w:val="18"/>
    </w:rPr>
  </w:style>
  <w:style w:type="paragraph" w:styleId="3">
    <w:name w:val="footer"/>
    <w:basedOn w:val="1"/>
    <w:qFormat/>
    <w:uiPriority w:val="0"/>
    <w:pPr>
      <w:tabs>
        <w:tab w:val="center" w:pos="4153"/>
        <w:tab w:val="right" w:pos="8306"/>
      </w:tabs>
      <w:snapToGrid w:val="0"/>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5">
    <w:name w:val="Normal (Web)"/>
    <w:basedOn w:val="1"/>
    <w:qFormat/>
    <w:uiPriority w:val="99"/>
    <w:rPr>
      <w:sz w:val="24"/>
    </w:rPr>
  </w:style>
  <w:style w:type="character" w:styleId="8">
    <w:name w:val="Strong"/>
    <w:basedOn w:val="7"/>
    <w:qFormat/>
    <w:uiPriority w:val="0"/>
    <w:rPr>
      <w:b/>
      <w:bCs/>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paragraph" w:customStyle="1" w:styleId="11">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 w:type="character" w:customStyle="1" w:styleId="12">
    <w:name w:val="批注框文本字符"/>
    <w:basedOn w:val="7"/>
    <w:link w:val="2"/>
    <w:qFormat/>
    <w:uiPriority w:val="0"/>
    <w:rPr>
      <w:rFonts w:eastAsia="PMingLiU"/>
      <w:sz w:val="18"/>
      <w:szCs w:val="18"/>
      <w:lang w:val="en-GB" w:eastAsia="en-US"/>
    </w:rPr>
  </w:style>
  <w:style w:type="character" w:customStyle="1" w:styleId="13">
    <w:name w:val="apple-converted-space"/>
    <w:basedOn w:val="7"/>
    <w:qFormat/>
    <w:uiPriority w:val="0"/>
  </w:style>
  <w:style w:type="paragraph" w:customStyle="1"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E12BEB-EEC7-7D4D-9261-0B82E10A8F7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Pages>
  <Words>411</Words>
  <Characters>2347</Characters>
  <Lines>19</Lines>
  <Paragraphs>5</Paragraphs>
  <TotalTime>2</TotalTime>
  <ScaleCrop>false</ScaleCrop>
  <LinksUpToDate>false</LinksUpToDate>
  <CharactersWithSpaces>2753</CharactersWithSpaces>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2017-04-28T02:20:00Z</dcterms:created>
  <dc:creator>ThinkPad User</dc:creator>
  <cp:lastModifiedBy>Rainbow晶凌</cp:lastModifiedBy>
  <cp:lastPrinted>2017-04-28T02:43:00Z</cp:lastPrinted>
  <dcterms:modified xsi:type="dcterms:W3CDTF">2019-03-13T05:36:32Z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