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姓名：</w:t>
      </w:r>
      <w:r>
        <w:rPr>
          <w:rFonts w:hint="eastAsia" w:asciiTheme="minorEastAsia" w:hAnsiTheme="minorEastAsia" w:eastAsiaTheme="minorEastAsia" w:cstheme="minorEastAsia"/>
        </w:rPr>
        <w:t xml:space="preserve">胡雪峰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性别：</w:t>
      </w:r>
      <w:r>
        <w:rPr>
          <w:rFonts w:hint="eastAsia" w:asciiTheme="minorEastAsia" w:hAnsiTheme="minorEastAsia" w:eastAsiaTheme="minorEastAsia" w:cstheme="minorEastAsia"/>
        </w:rPr>
        <w:t>男</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年</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43</w:t>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13380363033</w:t>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箱：</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huxuef@126.com</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目前</w:t>
      </w:r>
      <w:r>
        <w:rPr>
          <w:rFonts w:hint="eastAsia" w:asciiTheme="minorEastAsia" w:hAnsiTheme="minorEastAsia" w:eastAsiaTheme="minorEastAsia" w:cstheme="minorEastAsia"/>
        </w:rPr>
        <w:t>所在地点：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深圳</w:t>
      </w:r>
    </w:p>
    <w:p>
      <w:pPr>
        <w:rPr>
          <w:rFonts w:hint="eastAsia" w:asciiTheme="minorEastAsia" w:hAnsiTheme="minorEastAsia" w:eastAsiaTheme="minorEastAsia" w:cstheme="minorEastAsia"/>
          <w:b/>
          <w:bCs/>
          <w:sz w:val="24"/>
          <w:szCs w:val="24"/>
        </w:rPr>
      </w:pP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工作经历</w:t>
      </w:r>
      <w:r>
        <w:rPr>
          <w:rFonts w:hint="eastAsia" w:asciiTheme="minorEastAsia" w:hAnsiTheme="minorEastAsia" w:eastAsiaTheme="minorEastAsia" w:cstheme="minorEastAsia"/>
          <w:b/>
          <w:bCs/>
          <w:sz w:val="24"/>
          <w:szCs w:val="24"/>
        </w:rPr>
        <w:tab/>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201</w:t>
      </w:r>
      <w:r>
        <w:rPr>
          <w:rFonts w:hint="eastAsia" w:asciiTheme="minorEastAsia" w:hAnsiTheme="minorEastAsia" w:eastAsiaTheme="minorEastAsia" w:cstheme="minorEastAsia"/>
          <w:b/>
          <w:bCs/>
          <w:sz w:val="24"/>
          <w:szCs w:val="24"/>
          <w:lang w:val="en-US" w:eastAsia="zh-CN"/>
        </w:rPr>
        <w:t>4</w:t>
      </w:r>
      <w:r>
        <w:rPr>
          <w:rFonts w:hint="eastAsia" w:asciiTheme="minorEastAsia" w:hAnsiTheme="minorEastAsia" w:eastAsiaTheme="minorEastAsia" w:cstheme="minorEastAsia"/>
          <w:b/>
          <w:bCs/>
          <w:sz w:val="24"/>
          <w:szCs w:val="24"/>
        </w:rPr>
        <w:t>.03-至今</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t>某大型农业集团公司</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（进口贸易、农业产业投资、冻品贸易、供港农产品产业整合）</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执行总经理</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1、根据集团战略，制定全球采购中心、大生供港控股、大生酒业的战略发展规划与运营方案，整体运作包括计划、组织、进度控制和监督，保证经营计划的准确实施； 团队建设、组织架构的设计、绩效考核的制定， 拓展上下游渠道网络组建；</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2、按照各个板块公司的规划的要求，协助集团董事会制订详细的板块运营计划和战略政策，达到规划的要求；</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1)负责全球采购中心副总经理负责全球采购中心的全盘运营，业务板块：东南亚进口水果、全球冻品肉类牛羊肉、海产品，获取全球优质上游资源，全面打造线上线下农产品全球采购交易平台：在线下，通过托管、并购和新建农批市场及冷链物流交易中心，与国内水果批发大户、冻品批发大户形成战略联盟，为这些大客 户做全球代采等相关业务，同时在全国整合、收购、参股冷链物流、冷链市场、智慧农批市场；</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大生供港农产品总经理、宁夏大生法人董事长、国维大生法人董事长，制定大生供港整体战略整合行业资源，产销结合，在全国根据气候环境等条件进行生产基地的布局，形成产地集散地交易中心，打造供港农产品 4 大核心产区，下游端与香港百佳、惠康、国内大型商超大润发、华润体系、盒马生鲜、京东、苏宁易购等形成战略合作，形成产区基地直通终端，确保保质、保量、均价的供应体系，为集团订单农业奠定基础；</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3)大生酒业（法人兼董事长）组建专业的酒业团队，与法国圣埃美隆产区、格鲁吉亚、美国纳帕谷、捷克等酒庄形成战略合作，在全国建立下游渠道；</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三个板块的整体运行，围绕集团战略制定板块规划与运营策略，制定公司的预测、预算和人力计划，以达到规划目标；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4、依照负责各个板块公司规划的具体内容，协同及组织集团其他板块开展执行战略，以保证各个板块的规划的实施；</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5、围绕集团总部战略和板块规划的具体情况，从事重点项目的谈判，并建立适当的各个板块的战略实施规划， 确保公司获得必要的利润；</w:t>
      </w:r>
    </w:p>
    <w:p>
      <w:pPr>
        <w:rPr>
          <w:rFonts w:hint="eastAsia" w:asciiTheme="minorEastAsia" w:hAnsiTheme="minorEastAsia" w:eastAsiaTheme="minorEastAsia" w:cstheme="minorEastAsia"/>
          <w:b/>
          <w:bCs/>
          <w:sz w:val="24"/>
          <w:szCs w:val="24"/>
        </w:rPr>
      </w:pPr>
      <w:bookmarkStart w:id="0" w:name="_GoBack"/>
      <w:bookmarkEnd w:id="0"/>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2012.12-2014.02</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海禾国际食品有限公司（进口食品、奶制品、进口水果）</w:t>
      </w:r>
    </w:p>
    <w:p>
      <w:pPr>
        <w:rPr>
          <w:rFonts w:hint="eastAsia" w:asciiTheme="minorEastAsia" w:hAnsiTheme="minorEastAsia" w:eastAsiaTheme="minorEastAsia" w:cstheme="minorEastAsia"/>
          <w:b/>
          <w:bCs/>
          <w:sz w:val="24"/>
          <w:szCs w:val="24"/>
          <w:lang w:eastAsia="zh-CN"/>
        </w:rPr>
      </w:pPr>
      <w:r>
        <w:rPr>
          <w:rFonts w:hint="eastAsia" w:asciiTheme="minorEastAsia" w:hAnsiTheme="minorEastAsia" w:eastAsiaTheme="minorEastAsia" w:cstheme="minorEastAsia"/>
          <w:b/>
          <w:bCs/>
          <w:sz w:val="24"/>
          <w:szCs w:val="24"/>
          <w:lang w:eastAsia="zh-CN"/>
        </w:rPr>
        <w:t>分公司总经理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1、根据公司销售规划，负责华南区域（广东、广西、湖南、湖北、江西、福建、海南）的整体运作，包括计划、组织、进度控制和检讨，保证销售计划的准确实施； 团队建设、销售网络组建，</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2、按照销售规划的要求，协助全国销售总监制订详细的销售计划和销售政策，达到销售规划的要求；</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3、负责华南区域的整体运行，为各个区域制定销售策略，制定销售预测、预算和销售人力计划，以达到销售目标；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4、依照销售计划的具体内容，协同推广部及组织的其他部门执行销售计划，以保证销售计划的实施；</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5、参照公司总部和销售计划的具体情况，从事重点项目的谈判，并建立适当的销售条款，确保公司获得必要的利润；</w:t>
      </w:r>
    </w:p>
    <w:p>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工作业绩：</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1、短时间内在华南区域（广东、广西、湖南、湖北、福建、江西、海南）组建5个办事机构，组建具有执行力、战斗力的销售团队，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2、华南各区域开发经销商及分销商、区域经销商，渠道的布局与通路建设，规划区域经销商，拓宽其分销网络，合理控制各项费用，进行费用合理管理，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现掌握华南区域经销商、二批商、分销商以及终端客户资料上千家（大区域接近上万家、全国范围内单单有效的经销商、二批商、终端母婴门店上2000家）；可以随时协助公司开始拓展渠道改善业绩；丰富的规范化团队管理能力能大大提高公司后期执行力。</w:t>
      </w:r>
    </w:p>
    <w:p>
      <w:pPr>
        <w:rPr>
          <w:rFonts w:hint="eastAsia" w:asciiTheme="minorEastAsia" w:hAnsiTheme="minorEastAsia" w:eastAsiaTheme="minorEastAsia" w:cstheme="minorEastAsia"/>
          <w:b/>
          <w:bCs/>
          <w:sz w:val="24"/>
          <w:szCs w:val="24"/>
        </w:rPr>
      </w:pP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2007.04 - 2012.12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上海光明乳业股份有限公司</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UHT事业部华南大区总经理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1.华东（浙江、江苏、安徽）、华南（广东、湖南、福建）分公司年度经营策略的制订及区域销售与推广策略；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2.根据市场发展与竞争情况，加强分公司销售人员的监督、协助及考核；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3.统筹分公司产品推广，推动渠道分销；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4.广告的计划、分析及评估，并实行媒介的管理、监控：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5.分公司促销活动方案的拟定、实施及评估，促进品牌建设；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6.费用预算及支出控制与管理。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华东区域：</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负责光明乳业在华东大区的日常工作，及KA系统的谈判，终端推广，以及渠道完善，团队建设。</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1.根据总部的策略及市场动向、系统的发展计划，制定华南重点系统的发展计划</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2.根据总部下达年度销售指标、产品计划及客户的发展计划，制定重点客户的年度销售计划、活动计划及费用计划</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3.组织销售队伍执行并完成所辖区域内重点客户的各项计划、目标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4.完成所分管系统的各类合同、活动、费用、费用的区域性的谈判工作，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5.对销售团队执行及完成各项客户工作，包括销售、促销、费用、陈列、配送进行考核。</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6.完成公司的各项任务（包括销售、促销、费用、陈列、配送及收款等）在广东的重点客户内的有效执行，KA系统各类谈判，及沃尔玛全国性合同的各项任务（包括销售、促销、费用、陈列、）</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7.根据总部的费用预算及客户发展计划，合理而有效地分配、使用费用，使投入产出比最大化，使城市内团队全力完成目标费用的真实、及时、准确的核销</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8.对销售人员的管理，并且运用专业知识和经验，培训销售团队。</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华南区域：</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重新调整华南大区销售团队，制定合理的激励制定，调动员工积极性，合理、科学的控制费用，华南大区销售业绩从2008年2400万提升到4000万，大区排名从原来倒数5名提升到35名！</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1、华南（广东、湖南、福建）分公司年度经营策略的制订及区域销售与推广策略； 传统渠道的拓展、梳理、流程整合；</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2.根据市场发展与竞争情况，加强分公司销售人员的监督、协助及考核；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3.统筹分公司产品推广，推动渠道分销；制定全年销售指标并分解至各分公司/办事处，建立规范化申请报批流程制 度；拟订通路政策并监控各分公司执行；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4.广告的计划、分析及评估，并实行媒介的管理、监控：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5.分公司促销活动方案的拟定、实施及评估，促进品牌建设；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6.费用预算及支出控制与管理。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7.下辖80人的团队（16个渠道经理、20个批市主管），直接向总经理汇报；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8.在短时间内快速全面开发广东，福建市场，客户建立，网络开发，人员招聘，培训，从而确保产品销售在本区域的延续性和各种渠道的细化保证，保证各种促销活动的进行和行之有效，华南区域的各大卖场和批发渠道,尤其沃尔玛，家乐福，华润系统。参与卖场费用的谈判，确保费用的真实性和最低，对各种市场费用进行筛选和审批，对整个分公司的年度费用预算。从而确保费用投入的计划性和年度销售目标的明确性，并明确且准确的分配区域任务,区域客户数目从0个增加到12个,销量从0多万到将近1000万，市场占有率为15%,行业排名第三.</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2005.08 - 2007.03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 xml:space="preserve">深圳晨光乳业有限公司 </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市场部经理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1.市场营销策略的制订及实施；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2.销售团队的组建、监督及考核；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3.产品推广，深度渠道分销；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4.促销活动方案的拟定、实施及评估，促进品牌建设；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5.费用预算及支出控制与管理。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6、区域客户管理及开发。</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1、梳理深圳,东莞,惠州,粤东地区经销商网络建设,实行区域划分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2、清理销售队伍及建设、细分销售任务、技巧培训、人员管控、制定合理的奖励机制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3、细分市场、特殊终端网点开发（学校、面包房、食堂、餐饮），</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2002.12 - 2005.08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深圳晨光乳业有限公司</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新产品事业部项目经理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1、全面负责晨光新产品牛初乳的上市推广，</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2、渠道建设及销售，</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3、组建销售队伍，</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4、开拓经销商，指导经销进行计划性，指导性销售。</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5、参与产品市场发展策略及部门年度统筹预算，以实现公司营运及品牌发展目标。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6、结合市场状况及市场发展策略，制订市场推广行动计划。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7、统筹与管理市场推广费用，有效加强品强建设。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8、统筹产品改进与新产品开发。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9、与广告代理公司及商业机构合作，推动品牌发展。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10、加强产品管理及费用管理，实现产品盈利性增长</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1、全国开拓牛初乳经销商20家。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2、成功进入OTC渠道（万泽、一致、二天堂、）销售，开拓网点1000家</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3、月销售达到500万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4、光明农场商场单点销售50万/月</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5、牛初乳项目获得宝安区政府科技产品开拓奖 ，获得政府奖励200万元。</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6、根据区域市场的实地情况提报区域性促销活动计划；单品月销售额突破800万/月 ，使新产品事业部成为公司盈利最高部门。</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7、协助经销商进行产品铺市和销售提升；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8、及时有效处理市场或终端问题；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9、有效促成经销商与厂家的沟通共识.</w:t>
      </w:r>
    </w:p>
    <w:p>
      <w:pPr>
        <w:rPr>
          <w:rFonts w:hint="eastAsia" w:asciiTheme="minorEastAsia" w:hAnsiTheme="minorEastAsia" w:eastAsiaTheme="minorEastAsia" w:cstheme="minorEastAsia"/>
          <w:b/>
          <w:bCs/>
          <w:sz w:val="24"/>
          <w:szCs w:val="24"/>
        </w:rPr>
      </w:pP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 xml:space="preserve">2000.02 - 2002.03 </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深圳晨光乳业有限公司</w:t>
      </w:r>
    </w:p>
    <w:p>
      <w:pP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销售部经理、新产品项目经理、市场部、北方区域经理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1、负责晨光系列产品北方地区的市场拓展工作；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2、完成销售任务, 贯彻执行公司的销售策略；因地制宜，制定和实施区域性的市场发展计划；</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3、组建北方市场销售网络，发展和管理经销商，并与其保持良好合作关系；</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4、协助经销商建立运作架构，指导和管理其销售队伍。</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5、寻找合适的北方乳制品工厂参与收购、合作，</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1、短时间组建销售团队、拓展北方市场。</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2、寻找合适的乳制品企业，参与收购、合作项目的前期准备工作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3、以晨光特色茶类产品、凉粉等成功开拓北方市场、组建经销商网络。</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搜索同事1998.01 - 2000.01 三九九天绿食品有限公司 (2年)</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国有企业  |  食品/饮料/烟酒/日化  |  1000-2000人</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区域销售经理 6000元/月</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下属人数：10 | 所在地区：深圳 | 所在部门：销售部</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工作职责和业绩：</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北方区域销售主管、城市经理：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1、北方市场营销策略的制订及实施；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2、销售团队的组建、监督及考核；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3、产品推广，深度渠道分销；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4、促销活动方案的拟定、实施及评估，促进品牌建设；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5、费用预算及支出控制与管理。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6、区域客户管理及开发。</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业绩：</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1、短时间内完成区域内经销商的开拓工作，成为公司第一回款区域。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2、组建有战斗里的销售团队。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3、组织、参与公司在北京人民大会堂举办新品上市招商会，签订合同3000万。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4、北方市场销售公司排名第2.</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广东区域经理：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1.深圳市场营销策略的制订及实施；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2.销售团队的组建、监督及考核；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3.产品推广，深度渠道分销；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4.促销活动方案的拟定、实施及评估，促进品牌建设；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5.费用预算及支出控制与管理。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6、区域客户管理及开发。</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业绩：</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1、成功的完成总部下达的销售任务，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2、完成深圳市场销售网络的开发，团队组建,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3、成功的为公司拓展深圳市场特殊渠道，细分市场,开拓餐饮、特通渠道，使分公司销售额比往年增长40%， </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4、获得销售冠军称号</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4"/>
          <w:szCs w:val="24"/>
        </w:rPr>
        <w:t>教育经历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tab/>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1993.09 - 1997.07</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湖南大学</w: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中国语言文化</w:t>
      </w:r>
      <w:r>
        <w:rPr>
          <w:rFonts w:hint="eastAsia" w:asciiTheme="minorEastAsia" w:hAnsiTheme="minorEastAsia" w:eastAsiaTheme="minorEastAsia" w:cstheme="minorEastAsia"/>
          <w:lang w:val="en-US" w:eastAsia="zh-CN"/>
        </w:rPr>
        <w:t xml:space="preserve">    本科</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自我评价</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1、资深职业经理/高级营销顾问；全国省级经理团队人脉；</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2、快消品行业近 200 个经销商资源、1000 个批发商资源；</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3、复合营销终端网络模式，双流通市场管理模式；全案能力；</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4、保健品、饮品、食品等多行业有成功案例；连锁营销、会议营销、传媒营销、传统营销、多层次营销经验；产品创意、招商拓展。</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5、熟悉大经销商、KA 模式、特渠、公关渠道、电子商务等操作与管理，</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6、善于传统渠道通路精耕及糖酒会招商产品全国迅速开花。</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7、多年的市场营销工作经验，能够准确把握产品及市场定位；</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8、有上进心，善于沟通和表达，具备时间观念、责任感和团队精神，自律、自信；</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9、具备很强的团队管理经验；</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10、注重自身综合素质的提升，不断适应社会发展的需求！</w:t>
      </w:r>
    </w:p>
    <w:p>
      <w:pPr>
        <w:rPr>
          <w:rFonts w:hint="eastAsia" w:asciiTheme="minorEastAsia" w:hAnsiTheme="minorEastAsia" w:eastAsiaTheme="minorEastAsia" w:cstheme="minorEastAsia"/>
        </w:rPr>
      </w:pP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EG：1、 协助三九集团九天绿食品有限公司总经理策划参加北京人民大会堂新品上市招商会，并取得签单合同</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136 份，签单合同年度任务金额 5000 万；履约合同 75 份（因区域重复取消 41 份，未履约 20 份；履约首批款</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3000 万）。</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2、在光明乳业、晨光乳业多次被公司评为优秀员工、销售冠军、获得公司优秀管理团队管理者奖</w:t>
      </w:r>
    </w:p>
    <w:p>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3、有个具有战斗力、执行力的团队。</w:t>
      </w:r>
    </w:p>
    <w:sectPr>
      <w:footerReference r:id="rId3" w:type="default"/>
      <w:pgSz w:w="11910" w:h="16840"/>
      <w:pgMar w:top="720" w:right="720" w:bottom="720" w:left="720" w:header="0" w:footer="91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Noto Sans CJK JP Regular">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rPr>
        <w:sz w:val="20"/>
      </w:rPr>
    </w:pPr>
    <w:r>
      <mc:AlternateContent>
        <mc:Choice Requires="wps">
          <w:drawing>
            <wp:anchor distT="0" distB="0" distL="114300" distR="114300" simplePos="0" relativeHeight="503291904" behindDoc="1" locked="0" layoutInCell="1" allowOverlap="1">
              <wp:simplePos x="0" y="0"/>
              <wp:positionH relativeFrom="page">
                <wp:posOffset>3762375</wp:posOffset>
              </wp:positionH>
              <wp:positionV relativeFrom="page">
                <wp:posOffset>9921875</wp:posOffset>
              </wp:positionV>
              <wp:extent cx="107950" cy="1524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07950" cy="152400"/>
                      </a:xfrm>
                      <a:prstGeom prst="rect">
                        <a:avLst/>
                      </a:prstGeom>
                      <a:noFill/>
                      <a:ln>
                        <a:noFill/>
                      </a:ln>
                    </wps:spPr>
                    <wps:txbx>
                      <w:txbxContent>
                        <w:p>
                          <w:pPr>
                            <w:pStyle w:val="2"/>
                            <w:spacing w:before="12"/>
                            <w:ind w:left="40"/>
                            <w:rPr>
                              <w:rFonts w:ascii="Times New Roman"/>
                            </w:rPr>
                          </w:pPr>
                          <w:r>
                            <w:fldChar w:fldCharType="begin"/>
                          </w:r>
                          <w:r>
                            <w:rPr>
                              <w:rFonts w:ascii="Times New Roman"/>
                            </w:rPr>
                            <w:instrText xml:space="preserve"> PAGE </w:instrText>
                          </w:r>
                          <w:r>
                            <w:fldChar w:fldCharType="separate"/>
                          </w:r>
                          <w:r>
                            <w:t>1</w:t>
                          </w:r>
                          <w:r>
                            <w:fldChar w:fldCharType="end"/>
                          </w:r>
                        </w:p>
                      </w:txbxContent>
                    </wps:txbx>
                    <wps:bodyPr lIns="0" tIns="0" rIns="0" bIns="0" upright="1"/>
                  </wps:wsp>
                </a:graphicData>
              </a:graphic>
            </wp:anchor>
          </w:drawing>
        </mc:Choice>
        <mc:Fallback>
          <w:pict>
            <v:shape id="文本框 1025" o:spid="_x0000_s1026" o:spt="202" type="#_x0000_t202" style="position:absolute;left:0pt;margin-left:296.25pt;margin-top:781.25pt;height:12pt;width:8.5pt;mso-position-horizontal-relative:page;mso-position-vertical-relative:page;z-index:-24576;mso-width-relative:page;mso-height-relative:page;" filled="f" stroked="f" coordsize="21600,21600" o:gfxdata="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Yh/gdtkAAAANAQAADwAAAAAA&#10;AAABACAAAAAiAAAAZHJzL2Rvd25yZXYueG1sUEsBAhQAFAAAAAgAh07iQI1JRvGgAQAAJgMAAA4A&#10;AAAAAAAAAQAgAAAAKAEAAGRycy9lMm9Eb2MueG1sUEsFBgAAAAAGAAYAWQEAADoFAAAAAA==&#10;">
              <v:fill on="f" focussize="0,0"/>
              <v:stroke on="f"/>
              <v:imagedata o:title=""/>
              <o:lock v:ext="edit" aspectratio="f"/>
              <v:textbox inset="0mm,0mm,0mm,0mm">
                <w:txbxContent>
                  <w:p>
                    <w:pPr>
                      <w:pStyle w:val="2"/>
                      <w:spacing w:before="12"/>
                      <w:ind w:left="40"/>
                      <w:rPr>
                        <w:rFonts w:ascii="Times New Roman"/>
                      </w:rPr>
                    </w:pPr>
                    <w:r>
                      <w:fldChar w:fldCharType="begin"/>
                    </w:r>
                    <w:r>
                      <w:rPr>
                        <w:rFonts w:ascii="Times New Roman"/>
                      </w:rPr>
                      <w:instrText xml:space="preserve"> PAGE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drawingGridHorizontalSpacing w:val="110"/>
  <w:displayHorizontalDrawingGridEvery w:val="2"/>
  <w:characterSpacingControl w:val="doNotCompress"/>
  <w:hdrShapeDefaults>
    <o:shapelayout v:ext="edit">
      <o:idmap v:ext="edit" data="3,4"/>
    </o:shapelayout>
  </w:hdrShapeDefault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AC3CCD"/>
    <w:rsid w:val="277260F7"/>
    <w:rsid w:val="2AB149E5"/>
    <w:rsid w:val="53FE6E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Noto Sans CJK JP Regular" w:hAnsi="Noto Sans CJK JP Regular" w:eastAsia="Noto Sans CJK JP Regular" w:cs="Noto Sans CJK JP Regular"/>
      <w:sz w:val="22"/>
      <w:szCs w:val="22"/>
      <w:lang w:val="zh-CN" w:eastAsia="zh-CN" w:bidi="zh-CN"/>
    </w:rPr>
  </w:style>
  <w:style w:type="character" w:default="1" w:styleId="4">
    <w:name w:val="Default Paragraph Font"/>
    <w:semiHidden/>
    <w:unhideWhenUsed/>
    <w:uiPriority w:val="1"/>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qFormat/>
    <w:uiPriority w:val="1"/>
    <w:rPr>
      <w:rFonts w:ascii="Noto Sans CJK JP Regular" w:hAnsi="Noto Sans CJK JP Regular" w:eastAsia="Noto Sans CJK JP Regular" w:cs="Noto Sans CJK JP Regular"/>
      <w:sz w:val="18"/>
      <w:szCs w:val="18"/>
      <w:lang w:val="zh-CN" w:eastAsia="zh-CN" w:bidi="zh-CN"/>
    </w:rPr>
  </w:style>
  <w:style w:type="table" w:customStyle="1" w:styleId="5">
    <w:name w:val="Table Normal"/>
    <w:semiHidden/>
    <w:unhideWhenUsed/>
    <w:qFormat/>
    <w:uiPriority w:val="2"/>
    <w:tblPr>
      <w:tblLayout w:type="fixed"/>
      <w:tblCellMar>
        <w:top w:w="0" w:type="dxa"/>
        <w:left w:w="0" w:type="dxa"/>
        <w:bottom w:w="0" w:type="dxa"/>
        <w:right w:w="0" w:type="dxa"/>
      </w:tblCellMar>
    </w:tblPr>
  </w:style>
  <w:style w:type="paragraph" w:styleId="6">
    <w:name w:val="List Paragraph"/>
    <w:basedOn w:val="1"/>
    <w:qFormat/>
    <w:uiPriority w:val="1"/>
    <w:rPr>
      <w:lang w:val="zh-CN" w:eastAsia="zh-CN" w:bidi="zh-CN"/>
    </w:rPr>
  </w:style>
  <w:style w:type="paragraph" w:customStyle="1" w:styleId="7">
    <w:name w:val="Table Paragraph"/>
    <w:basedOn w:val="1"/>
    <w:qFormat/>
    <w:uiPriority w:val="1"/>
    <w:rPr>
      <w:rFonts w:ascii="Noto Sans CJK JP Regular" w:hAnsi="Noto Sans CJK JP Regular" w:eastAsia="Noto Sans CJK JP Regular" w:cs="Noto Sans CJK JP Regular"/>
      <w:lang w:val="zh-CN" w:eastAsia="zh-CN" w:bidi="zh-C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ScaleCrop>false</ScaleCrop>
  <LinksUpToDate>false</LinksUpToDate>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2019-05-07T08:30:00Z</dcterms:created>
  <dc:creator>微软用户</dc:creator>
  <cp:lastModifiedBy>yanyan</cp:lastModifiedBy>
  <dcterms:modified xsi:type="dcterms:W3CDTF">2019-05-07T08:52:40Z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2019-01-22T00:00:00Z</vt:filetime>
  </property>
  <property fmtid="{D5CDD505-2E9C-101B-9397-08002B2CF9AE}" pid="3" name="Creator">
    <vt:lpwstr>Microsoft® Office Word 2007</vt:lpwstr>
  </property>
  <property fmtid="{D5CDD505-2E9C-101B-9397-08002B2CF9AE}" pid="4" name="LastSaved">
    <vt:filetime>2019-05-07T00:00:00Z</vt:filetime>
  </property>
  <property fmtid="{D5CDD505-2E9C-101B-9397-08002B2CF9AE}" pid="5" name="KSOProductBuildVer">
    <vt:lpwstr>2052-11.1.0.8612</vt:lpwstr>
  </property>
</Properties>
</file>