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E6F7C"/>
          <w:sz w:val="44"/>
        </w:rPr>
        <w:t xml:space="preserve">协作者 A 任务单 · 直连接入补齐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 xml:space="preserve">基准：</w:t>
      </w:r>
      <w:r>
        <w:rPr>
          <w:rFonts w:ascii="Microsoft YaHei" w:hAnsi="Microsoft YaHei" w:eastAsia="Microsoft YaHei"/>
          <w:b/>
          <w:color w:val="4A5A63"/>
          <w:sz w:val="19"/>
        </w:rPr>
        <w:t xml:space="preserve">客户 2026-09-08 确认</w:t>
      </w:r>
      <w:r>
        <w:rPr>
          <w:rFonts w:ascii="Microsoft YaHei" w:hAnsi="Microsoft YaHei" w:eastAsia="Microsoft YaHei"/>
          <w:b w:val="0"/>
          <w:color w:val="4A5A63"/>
          <w:sz w:val="19"/>
        </w:rPr>
        <w:t xml:space="preserve"> · 凌云协议 A/B/C · 真实 MQTT 端到端已实测通过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 xml:space="preserve">编制日：2026-09-08　｜　对应《设备直连接入开发计划》P1–P3　｜　B 线已完成部分见第 2 节</w:t>
      </w:r>
    </w:p>
    <w:p>
      <w:r>
        <w:rPr>
          <w:rFonts w:ascii="Microsoft YaHei" w:hAnsi="Microsoft YaHei" w:eastAsia="Microsoft YaHei"/>
          <w:b/>
          <w:color w:val="0E6F7C"/>
          <w:sz w:val="26"/>
        </w:rPr>
        <w:t xml:space="preserve">1　客户 2026-09-08 新确认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"/>
        <w:gridCol w:w="3800"/>
        <w:gridCol w:w="4200"/>
      </w:tblGrid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#</w:t>
            </w:r>
          </w:p>
        </w:tc>
        <w:tc>
          <w:tcPr>
            <w:tcW w:type="dxa" w:w="38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客户原话</w:t>
            </w:r>
          </w:p>
        </w:tc>
        <w:tc>
          <w:tcPr>
            <w:tcW w:type="dxa" w:w="42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对开发的影响</w:t>
            </w:r>
          </w:p>
        </w:tc>
      </w:tr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1</w:t>
            </w:r>
          </w:p>
        </w:tc>
        <w:tc>
          <w:tcPr>
            <w:tcW w:type="dxa" w:w="38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按移动凌云接口协议（A/B/C）开发，里面包含所有设备的数据和交互接口</w:t>
            </w:r>
          </w:p>
        </w:tc>
        <w:tc>
          <w:tcPr>
            <w:tcW w:type="dxa" w:w="42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协议 A/B/C 作为接口依据，与原计划一致</w:t>
            </w:r>
          </w:p>
        </w:tc>
      </w:tr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2</w:t>
            </w:r>
          </w:p>
        </w:tc>
        <w:tc>
          <w:tcPr>
            <w:tcW w:type="dxa" w:w="38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凌云协议过渡，以最终的设备协议为主</w:t>
            </w:r>
          </w:p>
        </w:tc>
        <w:tc>
          <w:tcPr>
            <w:tcW w:type="dxa" w:w="42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雷达、反制继续用厂家原生协议，不改；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凌云侧适配器按来源逐个替换的机制保留</w:t>
            </w:r>
          </w:p>
        </w:tc>
      </w:tr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3</w:t>
            </w:r>
          </w:p>
        </w:tc>
        <w:tc>
          <w:tcPr>
            <w:tcW w:type="dxa" w:w="38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可以先用 MQTT 模拟设备发数据</w:t>
            </w:r>
          </w:p>
        </w:tc>
        <w:tc>
          <w:tcPr>
            <w:tcW w:type="dxa" w:w="42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已完成，见第 2 节</w:t>
            </w:r>
          </w:p>
        </w:tc>
      </w:tr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4</w:t>
            </w:r>
          </w:p>
        </w:tc>
        <w:tc>
          <w:tcPr>
            <w:tcW w:type="dxa" w:w="38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需求确认表其余按默认开发</w:t>
            </w:r>
          </w:p>
        </w:tc>
        <w:tc>
          <w:tcPr>
            <w:tcW w:type="dxa" w:w="42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确认表 50 条右侧默认列即为已确认基线</w:t>
            </w:r>
          </w:p>
        </w:tc>
      </w:tr>
    </w:tbl>
    <w:p>
      <w:r>
        <w:rPr>
          <w:rFonts w:ascii="Microsoft YaHei" w:hAnsi="Microsoft YaHei" w:eastAsia="Microsoft YaHei"/>
          <w:b/>
          <w:color w:val="0E6F7C"/>
          <w:sz w:val="26"/>
        </w:rPr>
        <w:t xml:space="preserve">2　B 线已完成（A 无需动作，但需重新拉取数据集）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 xml:space="preserve">2026-09-07 用真实 mosquitto 走完整链路实测：MQTT 发布 → broker 订阅 → 信封校验 → inbox_message → 融合管线。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0"/>
        <w:gridCol w:w="1800"/>
        <w:gridCol w:w="1400"/>
        <w:gridCol w:w="1400"/>
      </w:tblGrid>
      <w:tr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来路</w:t>
            </w:r>
          </w:p>
        </w:tc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路</w:t>
            </w:r>
          </w:p>
        </w:tc>
        <w:tc>
          <w:tcPr>
            <w:tcW w:type="dxa" w:w="14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帧</w:t>
            </w:r>
          </w:p>
        </w:tc>
        <w:tc>
          <w:tcPr>
            <w:tcW w:type="dxa" w:w="14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观测</w:t>
            </w:r>
          </w:p>
        </w:tc>
      </w:tr>
      <w:tr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方式一 内置回放</w:t>
            </w:r>
          </w:p>
        </w:tc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radar</w:t>
            </w:r>
          </w:p>
        </w:tc>
        <w:tc>
          <w:tcPr>
            <w:tcW w:type="dxa" w:w="14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84</w:t>
            </w:r>
          </w:p>
        </w:tc>
        <w:tc>
          <w:tcPr>
            <w:tcW w:type="dxa" w:w="14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102</w:t>
            </w:r>
          </w:p>
        </w:tc>
      </w:tr>
      <w:tr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方式二 真实 MQTT</w:t>
            </w:r>
          </w:p>
        </w:tc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radar</w:t>
            </w:r>
          </w:p>
        </w:tc>
        <w:tc>
          <w:tcPr>
            <w:tcW w:type="dxa" w:w="14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84</w:t>
            </w:r>
          </w:p>
        </w:tc>
        <w:tc>
          <w:tcPr>
            <w:tcW w:type="dxa" w:w="14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102</w:t>
            </w:r>
          </w:p>
        </w:tc>
      </w:tr>
      <w:tr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方式一 内置回放</w:t>
            </w:r>
          </w:p>
        </w:tc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tdoa</w:t>
            </w:r>
          </w:p>
        </w:tc>
        <w:tc>
          <w:tcPr>
            <w:tcW w:type="dxa" w:w="14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42</w:t>
            </w:r>
          </w:p>
        </w:tc>
        <w:tc>
          <w:tcPr>
            <w:tcW w:type="dxa" w:w="14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42</w:t>
            </w:r>
          </w:p>
        </w:tc>
      </w:tr>
      <w:tr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方式二 真实 MQTT</w:t>
            </w:r>
          </w:p>
        </w:tc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tdoa</w:t>
            </w:r>
          </w:p>
        </w:tc>
        <w:tc>
          <w:tcPr>
            <w:tcW w:type="dxa" w:w="14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42</w:t>
            </w:r>
          </w:p>
        </w:tc>
        <w:tc>
          <w:tcPr>
            <w:tcW w:type="dxa" w:w="14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42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4A5A63"/>
          <w:sz w:val="19"/>
        </w:rPr>
        <w:t xml:space="preserve">两条入口产出完全一致，说明摄取链路本身正确。</w:t>
      </w:r>
    </w:p>
    <w:p>
      <w:r>
        <w:rPr>
          <w:rFonts w:ascii="Microsoft YaHei" w:hAnsi="Microsoft YaHei" w:eastAsia="Microsoft YaHei"/>
          <w:b/>
          <w:color w:val="4A5A63"/>
          <w:sz w:val="19"/>
        </w:rPr>
        <w:t xml:space="preserve">首次实测时 180 条全部被拒，根因是共享模拟数据集与信封校验不一致，已由 B 线修复：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0"/>
        <w:gridCol w:w="3200"/>
        <w:gridCol w:w="2700"/>
      </w:tblGrid>
      <w:tr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缺陷</w:t>
            </w:r>
          </w:p>
        </w:tc>
        <w:tc>
          <w:tcPr>
            <w:tcW w:type="dxa" w:w="32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原因</w:t>
            </w:r>
          </w:p>
        </w:tc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修复</w:t>
            </w:r>
          </w:p>
        </w:tc>
      </w:tr>
      <w:tr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协议 A 138 条 IDENTITY_MISMATCH</w:t>
            </w:r>
          </w:p>
        </w:tc>
        <w:tc>
          <w:tcPr>
            <w:tcW w:type="dxa" w:w="32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payload.deviceId 写死 "S85"，与主题末段 S85R1/T1/A1 不符</w:t>
            </w:r>
          </w:p>
        </w:tc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senseData() 按来源取 deviceId，与导出器同源</w:t>
            </w:r>
          </w:p>
        </w:tc>
      </w:tr>
      <w:tr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光电 BeginTracking 35 条 INVALID_ENVELOPE</w:t>
            </w:r>
          </w:p>
        </w:tc>
        <w:tc>
          <w:tcPr>
            <w:tcW w:type="dxa" w:w="32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缺 codeStatus</w:t>
            </w:r>
          </w:p>
        </w:tc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补 codeStatus = 200</w:t>
            </w:r>
          </w:p>
        </w:tc>
      </w:tr>
      <w:tr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光电 HeartBeat 7 条 INVALID_ENVELOPE</w:t>
            </w:r>
          </w:p>
        </w:tc>
        <w:tc>
          <w:tcPr>
            <w:tcW w:type="dxa" w:w="32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缺 deviceId / codeStatus / cameraStatus</w:t>
            </w:r>
          </w:p>
        </w:tc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三项补齐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4A5A63"/>
          <w:sz w:val="19"/>
        </w:rPr>
        <w:t xml:space="preserve">请重新拉取 docs/直连接入计划/stage85-lingyun-demo.mqtt.ndjson（2026-09-07 21:55 重新导出，180 行，原样发布零改动即可通过）。</w:t>
      </w:r>
    </w:p>
    <w:p>
      <w:r>
        <w:rPr>
          <w:rFonts w:ascii="Microsoft YaHei" w:hAnsi="Microsoft YaHei" w:eastAsia="Microsoft YaHei"/>
          <w:b/>
          <w:color w:val="4A5A63"/>
          <w:sz w:val="19"/>
        </w:rPr>
        <w:t xml:space="preserve">⚠️ 注意：协议 C 的 codeStatus 取 200 才是成功，EoEdgeIngressService 按 != 200 记失败。用 0 会被当作失败。</w:t>
      </w:r>
    </w:p>
    <w:p>
      <w:r>
        <w:rPr>
          <w:rFonts w:ascii="Microsoft YaHei" w:hAnsi="Microsoft YaHei" w:eastAsia="Microsoft YaHei"/>
          <w:b/>
          <w:color w:val="0E6F7C"/>
          <w:sz w:val="26"/>
        </w:rPr>
        <w:t xml:space="preserve">3　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"/>
        <w:gridCol w:w="2600"/>
        <w:gridCol w:w="4600"/>
        <w:gridCol w:w="900"/>
      </w:tblGrid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#</w:t>
            </w:r>
          </w:p>
        </w:tc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任务</w:t>
            </w:r>
          </w:p>
        </w:tc>
        <w:tc>
          <w:tcPr>
            <w:tcW w:type="dxa" w:w="46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为什么要</w:t>
            </w:r>
          </w:p>
        </w:tc>
        <w:tc>
          <w:tcPr>
            <w:tcW w:type="dxa" w:w="9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优先级</w:t>
            </w:r>
          </w:p>
        </w:tc>
      </w:tr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A1</w:t>
            </w:r>
          </w:p>
        </w:tc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协议 A 补 dcd（协议破解）与 rid（RemoteID）两路摄取</w:t>
            </w:r>
          </w:p>
        </w:tc>
        <w:tc>
          <w:tcPr>
            <w:tcW w:type="dxa" w:w="4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这两路是唯一能给出无人机序列号、机型、飞手位置的来源。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不接，确认表 B2/B9 的"身份不匹配"将永远只能标"判不了"，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客户最关心的"认出是谁"无法交付</w:t>
            </w:r>
          </w:p>
        </w:tc>
        <w:tc>
          <w:tcPr>
            <w:tcW w:type="dxa" w:w="9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高</w:t>
            </w:r>
          </w:p>
        </w:tc>
      </w:tr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A2</w:t>
            </w:r>
          </w:p>
        </w:tc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协议 A 补 aoa 摄取</w:t>
            </w:r>
          </w:p>
        </w:tc>
        <w:tc>
          <w:tcPr>
            <w:tcW w:type="dxa" w:w="4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LingyunEnvelope.TYPES 现只有 radar/5ga/tdoa，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AOA 设备登记直接被拒 MQTT_CONFIG_INVALID；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数据集里已有 12 条 AOA 报文无人接收</w:t>
            </w:r>
          </w:p>
        </w:tc>
        <w:tc>
          <w:tcPr>
            <w:tcW w:type="dxa" w:w="9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中</w:t>
            </w:r>
          </w:p>
        </w:tc>
      </w:tr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A3</w:t>
            </w:r>
          </w:p>
        </w:tc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光电跟踪任务触发</w:t>
            </w:r>
          </w:p>
        </w:tc>
        <w:tc>
          <w:tcPr>
            <w:tcW w:type="dxa" w:w="4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协议 C 要求平台先下发 BeginTracking 开任务，设备才上报。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实测 35 条跟踪上报全部 TRACK_NOT_OPEN（此为正确行为）。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融合已写 fusion_event 但无人消费。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按确认表 D6 默认"点选之后再跟踪"，做值班员手点入口即可，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自动触发可后置</w:t>
            </w:r>
          </w:p>
        </w:tc>
        <w:tc>
          <w:tcPr>
            <w:tcW w:type="dxa" w:w="9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中</w:t>
            </w:r>
          </w:p>
        </w:tc>
      </w:tr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A4</w:t>
            </w:r>
          </w:p>
        </w:tc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雷达、反制维持厂家原生协议</w:t>
            </w:r>
          </w:p>
        </w:tc>
        <w:tc>
          <w:tcPr>
            <w:tcW w:type="dxa" w:w="4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客户确认凌云为过渡、以最终设备协议为主。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RadarTcpV300Adapter 与 CountermeasureTcp4ChV20Adapter 已接入，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且雷达是目前唯一真联调过的来源。本条无需动作，仅在契约中写明</w:t>
            </w:r>
          </w:p>
        </w:tc>
        <w:tc>
          <w:tcPr>
            <w:tcW w:type="dxa" w:w="9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无动作</w:t>
            </w:r>
          </w:p>
        </w:tc>
      </w:tr>
    </w:tbl>
    <w:p>
      <w:r>
        <w:rPr>
          <w:rFonts w:ascii="Microsoft YaHei" w:hAnsi="Microsoft YaHei" w:eastAsia="Microsoft YaHei"/>
          <w:b/>
          <w:color w:val="0E6F7C"/>
          <w:sz w:val="26"/>
        </w:rPr>
        <w:t xml:space="preserve">4　边界：按确认表默认，以下不做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6900"/>
      </w:tblGrid>
      <w:tr>
        <w:tc>
          <w:tcPr>
            <w:tcW w:type="dxa" w:w="16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来源</w:t>
            </w:r>
          </w:p>
        </w:tc>
        <w:tc>
          <w:tcPr>
            <w:tcW w:type="dxa" w:w="69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约束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确认表 A4</w:t>
            </w:r>
          </w:p>
        </w:tc>
        <w:tc>
          <w:tcPr>
            <w:tcW w:type="dxa" w:w="69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反制设备平台上只能开、关、加时长；界面不出现卫星导航干扰。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协议 B 虽有更多控制码，按默认不实现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确认表 D7</w:t>
            </w:r>
          </w:p>
        </w:tc>
        <w:tc>
          <w:tcPr>
            <w:tcW w:type="dxa" w:w="69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平台不负责摇云台。协议 B 的云台角度控制码不接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协议 C 原文</w:t>
            </w:r>
          </w:p>
        </w:tc>
        <w:tc>
          <w:tcPr>
            <w:tcW w:type="dxa" w:w="69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标注"暂不支持"的事件（AdjustDeviceInfo、DetectToggle、TrackToggle、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SetHome、MoveHome、AbsMoveByAngle）在接口管理页标"设备协议未提供"，不实现</w:t>
            </w:r>
          </w:p>
        </w:tc>
      </w:tr>
    </w:tbl>
    <w:p>
      <w:r>
        <w:rPr>
          <w:rFonts w:ascii="Microsoft YaHei" w:hAnsi="Microsoft YaHei" w:eastAsia="Microsoft YaHei"/>
          <w:b/>
          <w:color w:val="0E6F7C"/>
          <w:sz w:val="26"/>
        </w:rPr>
        <w:t xml:space="preserve">5　等客户答复才能动的两件事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"/>
        <w:gridCol w:w="5400"/>
        <w:gridCol w:w="2600"/>
      </w:tblGrid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#</w:t>
            </w:r>
          </w:p>
        </w:tc>
        <w:tc>
          <w:tcPr>
            <w:tcW w:type="dxa" w:w="54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事项</w:t>
            </w:r>
          </w:p>
        </w:tc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/>
                <w:color w:val="4A5A63"/>
                <w:sz w:val="17"/>
              </w:rPr>
              <w:t xml:space="preserve">没有时怎么办</w:t>
            </w:r>
          </w:p>
        </w:tc>
      </w:tr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MQTT broker 部署在哪、设备怎么连到它、账号与主题前缀（providerCode）、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每台设备的外部编号与类型对照表。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注意：我们是 MQTT 客户端，订阅 bridge/+/device_data/#；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协议 A 原本由凌云平台分配账号，凌云移除后改由我们分配，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因此需要确认 broker 归谁部署、设备侧如何接入</w:t>
            </w:r>
          </w:p>
        </w:tc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继续用模拟数据集，真接入验收往后挪</w:t>
            </w:r>
          </w:p>
        </w:tc>
      </w:tr>
      <w:tr>
        <w:tc>
          <w:tcPr>
            <w:tcW w:type="dxa" w:w="52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高度基准：协议 A 的 altitude 是海拔还是椭球高，如何换算</w:t>
            </w:r>
          </w:p>
        </w:tc>
        <w:tc>
          <w:tcPr>
            <w:tcW w:type="dxa" w:w="2600"/>
          </w:tcPr>
          <w:p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凌云来源高度不进合法性比较，只显示原始值并标"基准待确认"。</w:t>
            </w:r>
            <w:br/>
            <w:r>
              <w:rPr>
                <w:rFonts w:ascii="Microsoft YaHei" w:hAnsi="Microsoft YaHei" w:eastAsia="Microsoft YaHei"/>
                <w:b w:val="0"/>
                <w:color w:val="333333"/>
                <w:sz w:val="17"/>
              </w:rPr>
              <w:t xml:space="preserve">按确认表 B3 默认"判不了"，不挡开发，但高度类判定不能上线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4A5A63"/>
          <w:sz w:val="19"/>
        </w:rPr>
        <w:t xml:space="preserve"/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