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 w:cs="Noto Sans CJK SC"/>
          <w:b/>
          <w:color w:val="111111"/>
          <w:sz w:val="20"/>
        </w:rPr>
        <w:t>项目研发交付文件</w:t>
      </w:r>
    </w:p>
    <w:p>
      <w:pPr>
        <w:pStyle w:val="Title"/>
      </w:pPr>
      <w:r>
        <w:t>研发任务书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22"/>
        </w:rPr>
        <w:t>电缆在线检测设备与统一质量检测平台  ·  开发人员执行版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版本 V1.0    编制日期 2026年9月18日    适用范围：内部方案与研发执行</w:t>
      </w:r>
    </w:p>
    <w:p>
      <w:pPr>
        <w:pStyle w:val="Heading1"/>
      </w:pPr>
      <w:r>
        <w:t>一、交给开发团队的任务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开发范围分为两条主线：①产品3的设备端检测软件；②统一质量检测平台、浪潮两款ODM设备适配及客户MES输出。产品1、2底层检测软件/算法由浪潮提供，产品3硬件由上海共久电气提供。[S0]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交付物</w:t>
            </w:r>
          </w:p>
        </w:tc>
        <w:tc>
          <w:tcPr>
            <w:tcW w:type="dxa" w:w="765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产品3设备端安装包</w:t>
            </w:r>
          </w:p>
        </w:tc>
        <w:tc>
          <w:tcPr>
            <w:tcW w:type="dxa" w:w="765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能采集真实仪表数据；按批准方法计算与判定；现场交互、报警、缓存和恢复可用。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统一质量检测平台</w:t>
            </w:r>
          </w:p>
        </w:tc>
        <w:tc>
          <w:tcPr>
            <w:tcW w:type="dxa" w:w="765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三款设备、工单盘号、扩展指标、追溯、异常、导入、报告及管理功能可用。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设备与MES适配</w:t>
            </w:r>
          </w:p>
        </w:tc>
        <w:tc>
          <w:tcPr>
            <w:tcW w:type="dxa" w:w="765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两款ODM真实接入、共久链路及客户MES发送确认/重试/对账通过。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工程与交付资料</w:t>
            </w:r>
          </w:p>
        </w:tc>
        <w:tc>
          <w:tcPr>
            <w:tcW w:type="dxa" w:w="765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源代码、接口文档、数据模型、测试证据、部署/升级/回滚及用户运维手册齐备。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执行规则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任务编号、依赖、交付物和验收标准以《03_开发任务台账_V1.0.xlsx》为跟踪基线。角色不等于新增岗位，负责人按现有团队分配；开发估时、实际开始/完成日期需由团队填写。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P0为试点闭环和交付必需；P1为标准版完善；P2为客户按需扩展。任务“已完成”须有代码/文档、测试结果和评审证据，不能仅凭页面完成截图。</w:t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本任务书是当前方案的研发拆解。未确认的测量公式、读取频率、控制边界、存储时长与客户接口列为待确认条件；不得自行补成合同承诺。[D0]</w:t>
      </w:r>
    </w:p>
    <w:p>
      <w:r>
        <w:br w:type="page"/>
      </w:r>
    </w:p>
    <w:p>
      <w:pPr>
        <w:pStyle w:val="Heading1"/>
      </w:pPr>
      <w:r>
        <w:t>二、启动门槛与前10个工作日行动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可并行先做工程骨架、模拟器、数据契约和页面原型；涉及真实测量结论或客户对接的验收，必须等待相应接口、实物或业务规则确认。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134"/>
        <w:gridCol w:w="3061"/>
        <w:gridCol w:w="5443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建议窗口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执行动作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任务编号与输出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D1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确认任务边界并分配角色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B01；签字版范围＋任务责任人；角色可由现有开发兼任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D1—D2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向浪潮、共久、MES方索取输入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B02,B03,B05；逐项缺口/负责人/反馈日期；不等待资料齐全才做框架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D2—D3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确定测量方法和指标口径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B04；方法/阈值/统计窗口清单；未批准项列为阻断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D2—D4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冻结最小数据契约及原型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B06,B07；接口契约v1、数据模型、核心页面原型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D3—D5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建立仓库、模拟器和基础表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F01,F02,F03；可运行本地模拟环境、测试数据与CI检查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D4—D7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先跑通共久采集—本地记录链路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E01,E02,E07；取得协议和设备后完成真实读数验证；缺输入时只验模拟链路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D5—D8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跑通统一接收与新增指标配置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P02,P03；三类模拟数据入库；新增指标不改表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D6—D9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打通现场页和平台最小展示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E04,P01,P04；工单/盘号绑定、实时值/离线状态、基础查询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D8—D10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执行首轮故障和追溯演示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Q01；E07/P03局部；重复、断线、无效值、换盘演示；问题清单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D10</w:t>
            </w:r>
          </w:p>
        </w:tc>
        <w:tc>
          <w:tcPr>
            <w:tcW w:type="dxa" w:w="30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评审真实输入缺口并排后续里程碑</w:t>
            </w:r>
          </w:p>
        </w:tc>
        <w:tc>
          <w:tcPr>
            <w:tcW w:type="dxa" w:w="544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B02—B06复核；更新任务估时、责任人及G1—G4计划；模拟完成不等于真机交付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D1表示项目实际启动后的第1个工作日，不是日历交付承诺。接口资料未到时，用显式SIMULATED数据验证软件链路，并单列真机联调阻断项。</w:t>
      </w:r>
    </w:p>
    <w:p>
      <w:r>
        <w:br w:type="page"/>
      </w:r>
    </w:p>
    <w:p>
      <w:pPr>
        <w:pStyle w:val="Heading1"/>
      </w:pPr>
      <w:r>
        <w:t>三、技术架构与模块边界</w:t>
      </w:r>
    </w:p>
    <w:p>
      <w:pPr>
        <w:pStyle w:val="Heading2"/>
      </w:pPr>
      <w:r>
        <w:t>3.1 推荐逻辑架构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采用“设备端本地服务＋统一接入契约＋厂内部署平台＋MES出站适配”的逻辑拆分。语言、框架和数据库沿用团队可维护的既有技术栈，由技术负责人在B06确定；不为此项目默认引入微服务集群或新平台。[D0]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模块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职责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禁止混入的内容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设备端采集与判定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共久驱动、有效性、计算、任务/计米、现场报警、本地持久化。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不得依赖平台在线才能检测；未经批准不写生产控制寄存器。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设备接入适配层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浪潮产品1/2协议解析与映射；共久自研端按统一契约上传。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不复制供应商算法；不将汇总值伪装成连续明细。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平台业务层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任务身份、指标规则、数据存储、异常、追溯、报告与权限。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不把业务字段写死为三个指标；不以报表修订覆盖原始测量。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MES出站层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客户字段映射、发送、业务确认、补传、重试和对账。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不能阻塞现场检测；不默认兼容所有客户MES。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3.2 部署与接口方向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首期建议工厂本地部署，平台经厂区网络提供浏览器访问。产品3本地界面可通过本地浏览器或团队既有桌面容器实现，现场可离线运行；不同时重做两套独立业务系统。厂外访问和云端汇集不默认开启。</w:t>
      </w:r>
    </w:p>
    <w:p>
      <w:pPr>
        <w:pStyle w:val="Heading2"/>
      </w:pPr>
      <w:r>
        <w:t>3.3 工程结构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建议维护device-edge、platform、adapters、contracts、tests和deploy等清晰模块。统一接口契约与数据字典独立版本；模拟设备和客户真实设备的凭据、地址、数据命名空间隔离。</w:t>
      </w:r>
    </w:p>
    <w:p>
      <w:r>
        <w:br w:type="page"/>
      </w:r>
    </w:p>
    <w:p>
      <w:pPr>
        <w:pStyle w:val="Heading1"/>
      </w:pPr>
      <w:r>
        <w:t>四、数据模型与记录语义</w:t>
      </w:r>
    </w:p>
    <w:p>
      <w:pPr>
        <w:pStyle w:val="Heading2"/>
      </w:pPr>
      <w:r>
        <w:t>4.1 必备业务对象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工厂、产线、工序、设备、产品规格、工单、盘号/线芯、检测任务、指标定义、配方版本、测量记录、异常事件、证据文件、导入批次、质量报告、MES出站记录和审计日志。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一条产线可有多台同类设备；一项指标可有多个数据来源。使用稳定内部主键并保留外部编码。跨工序盘号与计米通过已确认的关联规则对应，不假设不同工序同一个米数就是同一物理位置。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268"/>
        <w:gridCol w:w="3288"/>
        <w:gridCol w:w="408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核心字段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类型/示例含义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record_id / source_record_id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稳定记录键 / 供应商原始键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重发不变；不能只靠设备时间戳去重。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schema_version / device_id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接口版本 / 设备标识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未知版本或设备隔离处理，不静默丢字段。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task_id / order_id / spool_id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任务 / 工单 / 盘号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区分内部键与来源编码；无任务可缓存待关联但不伪绑。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core_id / process_id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线芯 / 工序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按检测对象可空；可空原因需明确。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metric_code / value / unit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指标 / 数值 / 单位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以字典定义；空值不等于0；不在同列混用比例与百分数。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sample_time / received_at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采样时间 / 接收时间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保留时区或UTC偏移；无设备时钟则标注时间来源。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position_m / position_quality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米数 / 位置有效性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无计米为null＋UNKNOWN，不能填0。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data_status / quality_result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数据有效性 / 质量判定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分离保存；无效数据不产生PASS。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source_type / lineage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来源类型 / 原始数据链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DEVICE、DERIVED、IMPORT、MANUAL、SIMULATED区分。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recipe_version / method_id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配方版本 / 测量或计算方法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随记录冻结；变更后旧记录不被静默重算。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window / raw / evidence_refs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统计范围 / 原始值 / 证据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均值含窗口；原始方向值保留；无图像不造图。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建议内部规范：百分指标value以百分数数值表达，如12.5表示12.5%，不混用0.125；允许范围按指标定义，不能统一限定0—100。长度单位统一mm或m。供应商原始报文保留其单位，适配层显式换算并留痕。[D0]</w:t>
      </w:r>
    </w:p>
    <w:p>
      <w:r>
        <w:br w:type="page"/>
      </w:r>
    </w:p>
    <w:p>
      <w:pPr>
        <w:pStyle w:val="Heading1"/>
      </w:pPr>
      <w:r>
        <w:t>五、设备端检测软件开发要求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4"/>
        <w:gridCol w:w="3969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任务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开发要求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关键验收点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E01 实现共久数据采集驱动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实现本次实际供货协议的只读采集、超时、重试和寄存器解析；未经批准不写控制寄存器。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已确认测试向量全通过；真实读数与仪表显示在约定刷新和精度口径下核对一致。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E02 实现数据有效性及时间处理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识别断线、无产品、超量程、无效码、陈旧值、时间异常；保留采样和接收时间。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无效读数不当0、不判合格；不得用上一笔正常值伪装当前实时值。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E03 实现测量计算与版本化判定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实现获确认的不圆度计算方法；保存方向原始值、计算方法、配方快照及判定。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公式未批准时禁止正式不圆度结论；等阈值、分母0、空值和舍入边界有用例。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E04 实现现场检测主界面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实现连接状态、工单/盘号选择、实时外径与不圆度、趋势、阈值线、报警、历史入口。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界面显示当前任务、数据时间、测量方法及无效原因；设备端不依赖平台在线。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E05 实现任务与计米关联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绑定任务/盘号/线芯；接入已确认计米来源，处理复位、倒退和换盘；无计米则标记未知。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换盘不串盘；缺失位置不伪造0米；未验证跨工序长度映射不硬拼同一坐标。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E06 实现现场报警与确认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实现超限与设备故障分级、报警确认、恢复及输出；防抖参数可配置且保留原始超限。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平台断网仍报警；确认不等于质量合格；软件和实际声光输出分别联调。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E07 实现本地持久化及可靠上传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本地先落盘，再写待上传队列；断点续传、重试、重启恢复；监测磁盘容量。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平台断开后记录不丢；恢复补传后平台不重复；磁盘满触发显著故障，禁止静默丢数据。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E08 实现启动守护与诊断打包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实现开机运行、异常恢复、配置备份、版本展示、日志导出和设备校准记录入口。</w:t>
            </w:r>
          </w:p>
        </w:tc>
        <w:tc>
          <w:tcPr>
            <w:tcW w:type="dxa" w:w="368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重启后待上传数据与任务可恢复；不静默继续错误盘号；普通用户不能改通信和规则。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测量公式不得凭名称自行确定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B04需要产出批准的不圆度计算方法和黄金样本。采用哪一分母、按何种方向或窗口取极值、是否只反映两方向差异，均须明确。批准前可展示原始外径及“待确认方法”的试算，不输出正式不圆度合格结论。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仅以两个方向读数无法直接证明符合原参考资料中的360°全截面要求。不得将未测得的周向极值当作真实Dmax/Dmin，也不将几何公式计算描述成已训练的AI算法。[S3，第1页；S6，第1页]</w:t>
      </w:r>
    </w:p>
    <w:p>
      <w:r>
        <w:br w:type="page"/>
      </w:r>
    </w:p>
    <w:p>
      <w:pPr>
        <w:pStyle w:val="Heading1"/>
      </w:pPr>
      <w:r>
        <w:t>六、状态机、报警和质量判断</w:t>
      </w:r>
    </w:p>
    <w:p>
      <w:pPr>
        <w:pStyle w:val="Heading2"/>
      </w:pPr>
      <w:r>
        <w:t>6.1 状态需要分层保存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状态对象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建议状态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操作原则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设备连接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DISCONNECTED / CONNECTING / ONLINE / FAULT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连接成功不代表当前测量数据有效。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检测任务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CREATED / RUNNING / PAUSED / ENDED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开始需有效身份与配方；换盘显式结束/切换；重启后核对任务。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测量有效性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VALID / INVALID / STALE / MISSING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无产品、无效码、量程异常和陈旧值注明原因。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质量判定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PASS / FAIL / NOT_EVALUATED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只有有效数据且存在批准规则才判断；未检测不得合格。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报警与处理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触发/确认/恢复；另存待处理/处理中/已处理/已复核</w:t>
            </w:r>
          </w:p>
        </w:tc>
        <w:tc>
          <w:tcPr>
            <w:tcW w:type="dxa" w:w="396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报警确认不消除原始超限，也不代替产品质量处置。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6.2 报警规则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比较使用完整精度原始值，展示才做小数位格式化。支持明确的比较操作符和受控防抖/持续时间；规则名称、版本及变更原因可查。防抖只改变报警事件组织，不得删除原始超限样本。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10%、3mm、8%来自原客户需求，等于阈值是否合格、间隙是窗口均值还是局部值，仍需在B04确认。不得把客户口头控制值写成所有35kV及以上电缆的统一标准。[S1]</w:t>
      </w:r>
    </w:p>
    <w:p>
      <w:pPr>
        <w:pStyle w:val="Heading2"/>
      </w:pPr>
      <w:r>
        <w:t>6.3 缺测和覆盖率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每盘统计应包括有效样本数、无效/缺测情况、有效检测时间或长度。长度未知时不计算伪“全长度覆盖率”；缺测区间不能用插值补成实测记录。任务结束不等于整盘合格，报告按检测完整性和已批准规则分别呈现。</w:t>
      </w:r>
    </w:p>
    <w:p>
      <w:r>
        <w:br w:type="page"/>
      </w:r>
    </w:p>
    <w:p>
      <w:pPr>
        <w:pStyle w:val="Heading1"/>
      </w:pPr>
      <w:r>
        <w:t>七、浪潮两款ODM产品的接入任务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本方只开发协议适配和业务集成，不重写产品1/2算法。接口能力必须逐项确认，不能从产品宣传页推断已经开放实时值、图像、历史回放或工单写入。[S0、S4]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268"/>
        <w:gridCol w:w="3288"/>
        <w:gridCol w:w="408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任务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开发输出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O01 实现产品1搭盖率接入适配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产品1适配器、字段映射、回放样本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可用字段与能力矩阵一致；汇总值不伪装实时明细；原始供应商字段可追溯。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O02 实现产品2铜丝间隙接入适配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产品2适配器、统计口径、回放样本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样品及字段证明检测对象是铜丝屏蔽；平均间隙与局部最大值分列。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O03 完成两款真机数据与证据联调</w:t>
            </w:r>
          </w:p>
        </w:tc>
        <w:tc>
          <w:tcPr>
            <w:tcW w:type="dxa" w:w="328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联调报告、证据样本、问题闭环</w:t>
            </w:r>
          </w:p>
        </w:tc>
        <w:tc>
          <w:tcPr>
            <w:tcW w:type="dxa" w:w="408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三款设备可在同一工单/盘号体系查询；ODM图像可持久访问；缺项明确留痕。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接口必须覆盖的维度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至少确认设备身份、采样时间来源、业务身份、指标值和单位、统计窗口、数据有效性、源报警、图像引用、方法/软件版本及源记录编号。仅能取得其中部分字段时，按实际能力映射，并记录缺项。</w:t>
      </w:r>
    </w:p>
    <w:p>
      <w:pPr>
        <w:pStyle w:val="Heading2"/>
      </w:pPr>
      <w:r>
        <w:t>产品2的特殊核验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现有《笼绞断丝AI视觉检测设备技术要求》描述笼绞节距、单丝间隙及断丝等检测，不能替代当前铜丝屏蔽间隙产品的能力确认。要求浪潮用实际铜丝屏蔽对象与约定统计范围验证。[S5，第1—2页]</w:t>
      </w:r>
    </w:p>
    <w:p>
      <w:pPr>
        <w:pStyle w:val="Heading2"/>
      </w:pPr>
      <w:r>
        <w:t>图像与控制边界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确认图片访问鉴权、链接有效期和允许存储方式；必要时合法复制到本地证据库，避免供应商临时链接过期。未开放图像时显示无图；产品3无相机时以真实曲线/原始数据为证据。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前两款设备可自带操作软件，其原有检测功能保留；本方平台不默认接管机械运动、开合、升降、PLC启停或工艺控制。任何写控制能力须经过单独授权和现场安全确认。</w:t>
      </w:r>
    </w:p>
    <w:p>
      <w:r>
        <w:br w:type="page"/>
      </w:r>
    </w:p>
    <w:p>
      <w:pPr>
        <w:pStyle w:val="Heading1"/>
      </w:pPr>
      <w:r>
        <w:t>八、平台功能与页面清单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041"/>
        <w:gridCol w:w="6236"/>
        <w:gridCol w:w="136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页面/模块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主要行为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关联任务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总览与设备监控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显示三项重点指标、多设备状态、当前任务、缺测与待处理异常。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档案与检测任务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维护规格/工序/设备；工单、盘号及线芯绑定；任务起止与状态。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指标与配方配置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新增数值指标、单位、来源、判定规则、统计窗口与版本审批。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三类检测专题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搭盖率、铜丝间隙、不圆度分别展示；体现各自统计与测量口径。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历史追溯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按身份、时间、米数和指标检索；进入原始值和证据详情。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异常处理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报警确认、处理、复核和附件；保留原始异常。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文件导入/手填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模板、预校验、错误行、来源、复核和更正审计。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P07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报告中心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每盘报告、统计口径、缺测、异常证据、报告版本与导出。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MES接口管理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映射、待发送/重试/拒绝/已接收、人工处理和对账。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M01,M02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系统管理</w:t>
            </w:r>
          </w:p>
        </w:tc>
        <w:tc>
          <w:tcPr>
            <w:tcW w:type="dxa" w:w="6236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用户角色、审计、设备状态、存储策略、备份及运行日志。</w:t>
            </w:r>
          </w:p>
        </w:tc>
        <w:tc>
          <w:tcPr>
            <w:tcW w:type="dxa" w:w="136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P09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界面必须覆盖的非正常状态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每个检测页面至少定义加载、无数据、数据无效、数据陈旧、设备离线、任务未绑定、权限不足和服务异常。不能仅设计有数据的正常截图。</w:t>
      </w:r>
    </w:p>
    <w:p>
      <w:pPr>
        <w:pStyle w:val="Heading2"/>
      </w:pPr>
      <w:r>
        <w:t>接口与前后端交付方式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原型冻结时同步字段、单位、枚举、分页/筛选和错误码。后端提供可复现样例；前端不私自转换测量口径或判定结果。关键计算放在受控业务/设备端服务，避免多个页面各算一套。</w:t>
      </w:r>
    </w:p>
    <w:p>
      <w:r>
        <w:br w:type="page"/>
      </w:r>
    </w:p>
    <w:p>
      <w:pPr>
        <w:pStyle w:val="Heading1"/>
      </w:pPr>
      <w:r>
        <w:t>九、指标扩展、导入与报告</w:t>
      </w:r>
    </w:p>
    <w:p>
      <w:pPr>
        <w:pStyle w:val="Heading2"/>
      </w:pPr>
      <w:r>
        <w:t>9.1 新指标最小扩展路径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管理员新增数值指标 → 指定单位、来源及工序 → 配置适用规格和规则 → 导入或接收数据 → 在通用查询和追溯中查看 → 进入报告 → 映射到MES。T12必须证明该路径不需要为每个新指标新增专用数据库列。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首期支持受控比较规则及批准的内置计算，不开放任意脚本执行。新协议、特殊数据类型和新视觉算法不等同于配置指标，需要独立适配或开发。</w:t>
      </w:r>
    </w:p>
    <w:p>
      <w:pPr>
        <w:pStyle w:val="Heading2"/>
      </w:pPr>
      <w:r>
        <w:t>9.2 D/E示例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D绝缘偏心度：导入客户已有测偏仪输出，标明设备/文件、检测时间、盘号和数据口径，不由测径外径值推算绝缘偏心度。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E护套厚度比率：保存最薄点厚度A、标称厚度B及各自来源；B&gt;0且输入有效时，按已确认单位计算A/B×100%。派生结果保留两项来源；手填项需记录录入与复核人。95%仅为原需求中的待确认配方值。[S1]</w:t>
      </w:r>
    </w:p>
    <w:p>
      <w:pPr>
        <w:pStyle w:val="Heading2"/>
      </w:pPr>
      <w:r>
        <w:t>9.3 导入校验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先预览后提交；验证编码、单位、时间、必填项、异常值和重复记录；返回具体错误行。导入批次可撤销或更正，但通过版本/作废状态保留历史，不直接抹除原记录。</w:t>
      </w:r>
    </w:p>
    <w:p>
      <w:pPr>
        <w:pStyle w:val="Heading2"/>
      </w:pPr>
      <w:r>
        <w:t>9.4 报告要求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每盘报告至少含项目/工单、规格、盘号/线芯、设备、检测起止、指标和规则、统计窗口、有效检测范围、异常记录、可用证据、处理结果、生成时间与版本。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合格率须有明确分母；不同统计窗口或工序的值不直接混合。SIMULATED数据不得进入正式报告；IMPORT/MANUAL需显示来源。报告是过程质量记录，不等同于第三方机构出具的检测报告。[S3，第1页；D0]</w:t>
      </w:r>
    </w:p>
    <w:p>
      <w:r>
        <w:br w:type="page"/>
      </w:r>
    </w:p>
    <w:p>
      <w:pPr>
        <w:pStyle w:val="Heading1"/>
      </w:pPr>
      <w:r>
        <w:t>十、MES出站接口与可靠交互</w:t>
      </w:r>
    </w:p>
    <w:p>
      <w:pPr>
        <w:pStyle w:val="Heading2"/>
      </w:pPr>
      <w:r>
        <w:t>10.1 首期范围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优先实现测量/异常及每盘汇总按约定粒度向客户MES输出。频率、字段、认证和业务确认由B05/M01冻结。MES下发工单、生产控制和多个客户的专用接口变体不默认包含。</w:t>
      </w:r>
    </w:p>
    <w:p>
      <w:pPr>
        <w:pStyle w:val="Heading2"/>
      </w:pPr>
      <w:r>
        <w:t>10.2 推荐发送状态机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PENDING → SENDING → ACKED；临时网络失败进入RETRY_WAIT；业务拒绝进入REJECTED待修正；超过重试策略进入MANUAL_ACTION。状态变更、次数、响应及操作人员留痕。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发送任务与业务记录在本地事务内可靠关联，避免出现“有测量记录但没有发送任务”的静默遗漏。恢复后重发使用原record_id，不能每次重试生成新记录编号。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异常场景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必须实现的处理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网络不可用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检测继续；队列积压可查；按策略重试和容量告警。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HTTP成功但业务失败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不能标已接收；记录业务错误，按可重试/需修正分类。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批次部分成功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按逐条确认结果更新状态；不能整批全部记成功。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响应丢失后重发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保留稳定业务键；结合接收端幂等与查询确认处理。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映射或主数据缺失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拒绝并显示错误字段；允许修正映射后重发，保留原记录。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对账不一致</w:t>
            </w:r>
          </w:p>
        </w:tc>
        <w:tc>
          <w:tcPr>
            <w:tcW w:type="dxa" w:w="737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按record_id定位缺失/重复/拒绝；保留核对结果和修复记录。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10.3 验收不能只看本方接口调用日志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M03须在客户实际MES中核验三类结果及汇总，完成中断补传和重复发送测试。接收方未提供去重或确认机制时，应形成双方确认的替代办法，不得单方面宣称端到端零重复、零丢失。</w:t>
      </w:r>
    </w:p>
    <w:p>
      <w:r>
        <w:br w:type="page"/>
      </w:r>
    </w:p>
    <w:p>
      <w:pPr>
        <w:pStyle w:val="Heading1"/>
      </w:pPr>
      <w:r>
        <w:t>十一、非功能要求与工程完成标准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项目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内部实施要求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持续运行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在确认采集频率、设备数和访问负载后，至少执行24小时内部连续运行测试；记录延迟、积压、资源和数据缺口。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性能指标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页面刷新、现场报警反馈、上传时延分别测量。原资料≤500ms等指标需确认端到端测量条件后再作为承诺。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容量测算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原始数据日容量≈设备数×实际采样频率×单记录字节×86400；附件另算，另计索引、日志、备份和冗余。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数据保留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按原始、汇总、异常和证据分类确认周期；未确定服务器和数据量前不承诺永久保存全部高频数据。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权限审计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最小权限；规则审批、导入修订、异常处置、报告重出、接口重发均记录操作者和前后状态。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安全配置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接口鉴权、文件访问控制；凭据不硬编码、不放代码库；厂外访问需授权；脱敏诊断日志。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发布恢复</w:t>
            </w:r>
          </w:p>
        </w:tc>
        <w:tc>
          <w:tcPr>
            <w:tcW w:type="dxa" w:w="793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数据库迁移与程序版本配套；离线安装、配置导入、备份恢复和升级回滚可演练。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原线芯资料既有永久保存数据、图片/波形两年，也有两周、360天等不同保留要求。不得把这些要求机械叠加成已满足承诺；应按资料差异和客户实际预算明确分级保留方案。[S3，第3页]</w:t>
      </w:r>
    </w:p>
    <w:p>
      <w:pPr>
        <w:pStyle w:val="Heading2"/>
      </w:pPr>
      <w:r>
        <w:t>任务完成定义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代码已评审并合并；接口/数据结构及配置说明同步；自动与人工测试通过；异常场景验证；提供可复现演示或真实设备证据；未解决限制记入台账。仅“能运行”“有页面”或供应商口头答复不能关闭任务。</w:t>
      </w:r>
    </w:p>
    <w:p>
      <w:r>
        <w:br w:type="page"/>
      </w:r>
    </w:p>
    <w:p>
      <w:pPr>
        <w:pStyle w:val="Heading1"/>
      </w:pPr>
      <w:r>
        <w:t>十二、验收用例：测量、设备与数据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7"/>
        <w:gridCol w:w="3402"/>
        <w:gridCol w:w="464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编号/关联任务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操作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T01</w:t>
              <w:br/>
              <w:t>B01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检查范围和任务表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两款ODM、一款共久硬件＋自研端、平台自研；不存在产品1/2底层算法自研任务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T02</w:t>
              <w:br/>
              <w:t>E01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回放已确认寄存器测试向量并对照实物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方向、倍率、符号/字节序及单位一致；非法帧有错误记录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T03</w:t>
              <w:br/>
              <w:t>E03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使用负责人确认的黄金样本复算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结果在确认容差内；方法版本可追溯；无公式批准不可正式判定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T04</w:t>
              <w:br/>
              <w:t>B04,E03,P02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构造低于、等于、高于阈值及舍入边界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按配置操作符执行；展示舍入不改变原始判定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T05</w:t>
              <w:br/>
              <w:t>E02,P04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断开仪表并注入空值、超量程、陈旧值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显示无效或离线；不补0、不保持为新鲜正常数据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T06</w:t>
              <w:br/>
              <w:t>E05,P01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换盘、计米复位、缺计米、倒退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不串盘；位置质量可查；未知位置不等于0米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T07</w:t>
              <w:br/>
              <w:t>E06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关闭平台网络后制造超限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现场报警仍生效；原始超限和设备故障分别留痕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T08</w:t>
              <w:br/>
              <w:t>E07,P03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阻断网络后恢复并对账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已落盘记录补齐；record_id唯一；不可恢复区间明确标记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T09</w:t>
              <w:br/>
              <w:t>E08,Q02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进程终止/设备重启后再运行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队列不丢；任务状态需安全恢复；不能自动接错盘号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T10</w:t>
              <w:br/>
              <w:t>O01,O02,O03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用实际两款设备采集并核对画面/报告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搭盖率与间隙口径正确；汇总不是明细；非铜丝屏蔽样品不得替代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用例输入、负责人、执行日期、截图/日志及结果填入任务台账。涉及真机的条目必须使用真实设备；模拟器只用于开发回归。</w:t>
      </w:r>
    </w:p>
    <w:p>
      <w:r>
        <w:br w:type="page"/>
      </w:r>
    </w:p>
    <w:p>
      <w:pPr>
        <w:pStyle w:val="Heading1"/>
      </w:pPr>
      <w:r>
        <w:t>十三、验收用例：平台、MES与交付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7"/>
        <w:gridCol w:w="3402"/>
        <w:gridCol w:w="464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编号/关联任务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操作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T11</w:t>
              <w:br/>
              <w:t>P05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随机抽取一条异常向前追溯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找到任务、时间、来源、原始值、配方/方法及可用图像或波形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T12</w:t>
              <w:br/>
              <w:t>P02,P07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配置一个新数值指标并导入样例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无需改数据库列及公共查询主代码；可查询、判定、导出并映射MES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T13</w:t>
              <w:br/>
              <w:t>P07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导入偏心度；录入护套最薄点/标称值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来源、人员、时间可查；比例按确认方法计算；标称≤0为无效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T14</w:t>
              <w:br/>
              <w:t>P08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混合有效、无效、模拟及未检测数据出报告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模拟不能进入正式报告；缺测与未检测显式呈现；统计分母可核算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T15</w:t>
              <w:br/>
              <w:t>P02,P08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更换配方后查看旧盘号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历史记录和已发布报告仍使用旧版本；重算产生新版本及审计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T16</w:t>
              <w:br/>
              <w:t>M01,M02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模拟HTTP成功但业务拒绝/部分接收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只有被业务确认记录标已接收；失败原因、重试和人工处理可见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T17</w:t>
              <w:br/>
              <w:t>M02,M03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多次发同一记录并在MES查询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按双方确认的业务键不重复入账；未确认记录不能计成功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T18</w:t>
              <w:br/>
              <w:t>P09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普通操作员尝试改配方/删除原始异常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拒绝越权；合法修订有人员、时间、前后值与理由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T19</w:t>
              <w:br/>
              <w:t>Q04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按批准负载至少开展24小时内部连续测试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记录延迟、资源、积压、缺测和磁盘增长；容量计算与实测可对照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T20</w:t>
              <w:br/>
              <w:t>P09,Q05</w:t>
            </w:r>
          </w:p>
        </w:tc>
        <w:tc>
          <w:tcPr>
            <w:tcW w:type="dxa" w:w="3402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新环境安装、恢复备份、演练升级失败回滚</w:t>
            </w:r>
          </w:p>
        </w:tc>
        <w:tc>
          <w:tcPr>
            <w:tcW w:type="dxa" w:w="464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7"/>
              </w:rPr>
              <w:t>任务、测量和附件关联完整；配置不带生产密钥；旧数据仍可读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r>
        <w:br w:type="page"/>
      </w:r>
    </w:p>
    <w:p>
      <w:pPr>
        <w:pStyle w:val="Heading1"/>
      </w:pPr>
      <w:r>
        <w:t>十四、任务分组、依赖和阶段评审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871"/>
        <w:gridCol w:w="1474"/>
        <w:gridCol w:w="629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工作包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编号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EDEDED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11111"/>
                <w:sz w:val="18"/>
              </w:rPr>
              <w:t>成果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启动与设计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B01—B07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边界、三方接口、测量口径、编码、架构和原型。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工程基础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F01—F03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工程环境、模拟器、统一数据基础。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产品3设备端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E01—E08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驱动、有效性、计算、界面、任务、报警、缓存、维护。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浪潮ODM接入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O01—O03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产品1/2适配及真机图像和历史数据联调。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统一平台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P01—P10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任务、指标、接收、实时、追溯、异常、导入、报告和管理。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MES对接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M01—M03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字段映射、可靠发送及客户现场对账。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测试与交付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Q01—Q06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回归、故障、真实测量、稳定性、发布与验收。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后续扩展</w:t>
            </w:r>
          </w:p>
        </w:tc>
        <w:tc>
          <w:tcPr>
            <w:tcW w:type="dxa" w:w="147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X01—X02</w:t>
            </w:r>
          </w:p>
        </w:tc>
        <w:tc>
          <w:tcPr>
            <w:tcW w:type="dxa" w:w="629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11111"/>
                <w:sz w:val="18"/>
              </w:rPr>
              <w:t>按客户需求新增设备或识别能力，不默认首期承诺。</w:t>
            </w:r>
          </w:p>
        </w:tc>
      </w:tr>
    </w:tbl>
    <w:p>
      <w:pPr>
        <w:spacing w:after="0"/>
      </w:pPr>
      <w:r>
        <w:rPr>
          <w:rFonts w:ascii="Noto Sans CJK SC" w:hAnsi="Noto Sans CJK SC" w:eastAsia="Noto Sans CJK SC" w:cs="Noto Sans CJK SC"/>
          <w:b w:val="0"/>
          <w:color w:val="111111"/>
        </w:rPr>
      </w:r>
    </w:p>
    <w:p>
      <w:pPr>
        <w:pStyle w:val="Heading2"/>
      </w:pPr>
      <w:r>
        <w:t>不能跳过的依赖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B03/B04未确认：不能关闭E01/E03真实测量验收。B02未确认：O01/O02只能进行模拟开发。B05及接收环境未确认：M03不得按真实对接完成。Q03测量能力未通过：不能用平台功能通过来替代。</w:t>
      </w:r>
    </w:p>
    <w:p>
      <w:pPr>
        <w:pStyle w:val="Heading2"/>
      </w:pPr>
      <w:r>
        <w:t>评审顺序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G0先确定范围和契约；G1完成最小数据闭环；G2补齐追溯/扩展/报告/MES队列；G3集中真机和客户接口验证；G4交付；G5按需求扩展。每一阶段评审都更新接口缺口、风险、工作量和下一批任务。</w:t>
      </w:r>
    </w:p>
    <w:p>
      <w:pPr>
        <w:spacing w:before="80"/>
      </w:pPr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台账共42项任务、14项外部输入确认、20条验收用例。任务人日为空是为留给开发评估，不代表零工作量；计划日期未由本文件擅自承诺。</w:t>
      </w:r>
    </w:p>
    <w:p>
      <w:r>
        <w:br w:type="page"/>
      </w:r>
    </w:p>
    <w:p>
      <w:pPr>
        <w:pStyle w:val="Heading1"/>
      </w:pPr>
      <w:r>
        <w:t>十五、接口确认清单与资料依据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详细I01—I14确认项见任务台账。优先取得三类输入：浪潮两款数据与授权；共久协议、样机和测量边界；客户编码、规则及MES接收机制。</w:t>
      </w:r>
    </w:p>
    <w:p>
      <w:pPr>
        <w:pStyle w:val="Heading2"/>
      </w:pPr>
      <w:r>
        <w:t>资料差异处理记录必须形成</w:t>
      </w:r>
    </w:p>
    <w:p>
      <w:r>
        <w:rPr>
          <w:rFonts w:ascii="Noto Sans CJK SC" w:hAnsi="Noto Sans CJK SC" w:eastAsia="Noto Sans CJK SC" w:cs="Noto Sans CJK SC"/>
          <w:b w:val="0"/>
          <w:color w:val="111111"/>
        </w:rPr>
        <w:t>当前资料中的360°与双向测量、AI算法与几何计算、笼绞与铜丝屏蔽对象、内部扫描与外部读取频率、不同存储周期，均为明确差异。研发负责提出影响，项目负责人会同供应商/客户形成决定；不得由开发人员默默改写验收口径。</w:t>
      </w:r>
    </w:p>
    <w:p>
      <w:pPr>
        <w:pStyle w:val="Heading2"/>
      </w:pPr>
      <w:r>
        <w:t>依据清单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[S0] 本次对话中的项目决策（用户最新确认）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产品1/2浪潮ODM；产品3共久硬件、自研设备端；统一平台及MES自研。优先于早期方案表述。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[S1] 电缆检测设备要求截图及此前完整需求（截图第1页；前文完整需求）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三项重点指标、报警与MES、D/E扩展数据。控制值为客户原始需求，不视为已核实统一标准。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[S2] 浪潮星耀线缆智能产品手册20260422(2)(1).pdf（第3—8页等产品页）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仅作产品及能力方向参考；不替代当前ODM合同、型号及接口验收。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[S3] 线芯AI质检一体机(3)(1).pdf（第1—4页）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原AI线径/圆整度技术要求；含360°、深度学习和存储等条款，与当前双向仪表方案需差异确认。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[S4] 铜带AI一体机技术配置要求(3)(1).docx（第4页；其他硬件条款按供货确认）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支持搭盖统计、图像、配方及数据接口的需求依据；不作供应商实测达标证明。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[S5] 笼绞断丝AI视觉检测设备技术要求(3)(1).docx（第1—2页）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描述笼绞场景，仅作参考；不能作为铜丝屏蔽间隙产品验收依据。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[S6] Opmac 170AL2-2D 技术参数 (1).doc（第1页）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双向测量、分辨率0.01mm、内部扫描600次/秒、RS485/Modbus RTU；定制接口与量程需确认。</w:t>
      </w:r>
    </w:p>
    <w:p>
      <w:r>
        <w:rPr>
          <w:rFonts w:ascii="Noto Sans CJK SC" w:hAnsi="Noto Sans CJK SC" w:eastAsia="Noto Sans CJK SC" w:cs="Noto Sans CJK SC"/>
          <w:b/>
          <w:color w:val="111111"/>
          <w:sz w:val="18"/>
        </w:rPr>
        <w:t>[D0] 本交付包中的架构、任务和测试建议（本文与任务台账）</w:t>
      </w:r>
    </w:p>
    <w:p>
      <w:r>
        <w:rPr>
          <w:rFonts w:ascii="Noto Sans CJK SC" w:hAnsi="Noto Sans CJK SC" w:eastAsia="Noto Sans CJK SC" w:cs="Noto Sans CJK SC"/>
          <w:b w:val="0"/>
          <w:color w:val="111111"/>
          <w:sz w:val="18"/>
        </w:rPr>
        <w:t>为内部研发拆解，不是供应商现有能力、已批准合同范围或客户签署交付期限。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111111"/>
        <w:sz w:val="16"/>
      </w:rPr>
      <w:t xml:space="preserve">内部研发资料  ·  V1.0  ·  2026-09-18    |    第 </w:t>
    </w:r>
    <w:fldSimple w:instr="PAGE"/>
    <w:r>
      <w:rPr>
        <w:rFonts w:ascii="Noto Sans CJK SC" w:hAnsi="Noto Sans CJK SC" w:eastAsia="Noto Sans CJK SC" w:cs="Noto Sans CJK SC"/>
        <w:color w:val="111111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777777"/>
      </w:pBdr>
    </w:pPr>
    <w:r>
      <w:rPr>
        <w:rFonts w:ascii="Noto Sans CJK SC" w:hAnsi="Noto Sans CJK SC" w:eastAsia="Noto Sans CJK SC" w:cs="Noto Sans CJK SC"/>
        <w:color w:val="111111"/>
        <w:sz w:val="16"/>
      </w:rPr>
      <w:t>电缆在线检测与统一质量平台  |  研发任务书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1111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研发任务书：开发人员执行版</dc:title>
  <dc:subject>电缆检测产品方案、研发边界与执行任务</dc:subject>
  <dc:creator>项目组</dc:creator>
  <cp:keywords>浪潮ODM,上海共久,设备端,质量检测平台,MES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