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慧眼智检第一轮开发任务清单</w:t>
      </w:r>
    </w:p>
    <w:p>
      <w:pPr>
        <w:pStyle w:val="Subtitle"/>
      </w:pPr>
      <w:r>
        <w:t>开发人员执行版 V1.0｜2026年10月9日｜依据全局文档 V0.2 与原型代码 cbd8c76</w:t>
      </w:r>
    </w:p>
    <w:p>
      <w:r>
        <w:rPr>
          <w:b w:val="0"/>
        </w:rPr>
        <w:t>请各开发人员按本清单认领任务，提交交付物、自测记录和待确认问题。第一轮目标是完成“登录与权限→基础档案→批准配方→创建并执行任务→一类设备数据接收→实时及历史查询→异常处理与复核”的可运行闭环。先验证一个完整流程，再扩展其余设备和业务。</w:t>
      </w:r>
    </w:p>
    <w:p>
      <w:r>
        <w:rPr>
          <w:b w:val="0"/>
        </w:rPr>
        <w:t>本清单可以直接用于派工。具体姓名、首接设备、交付日期和技术方案尚未确定，由开发人员回报建议，项目负责人确认。列为“必须确认”的内容未得到结论前，只开展不依赖该结论的工作；接单不代表生产规则已经批准。</w:t>
      </w:r>
    </w:p>
    <w:p>
      <w:pPr>
        <w:pStyle w:val="Heading1"/>
      </w:pPr>
      <w:r>
        <w:t>一 执行范围和人员安排</w:t>
      </w:r>
    </w:p>
    <w:p>
      <w:r>
        <w:rPr>
          <w:b w:val="0"/>
        </w:rPr>
        <w:t>所有任务主责均为开发人员。统筹、后端、前端、设备接入是开发职责，可由同一人兼任，不假定团队有专职产品、测试或运维。每个任务指定一名主责；每个业务模块指定唯一合入负责人。项目负责人负责范围和业务结论确认，不作为本表的开发执行人。</w:t>
      </w:r>
    </w:p>
    <w:p>
      <w:r>
        <w:rPr>
          <w:b w:val="0"/>
        </w:rPr>
        <w:t>第一轮默认范围如下，最终由确认项 C01 固定：</w:t>
      </w:r>
    </w:p>
    <w:p>
      <w:pPr>
        <w:pStyle w:val="ListBullet"/>
      </w:pPr>
      <w:r>
        <w:rPr>
          <w:b w:val="0"/>
        </w:rPr>
        <w:t>档案和接口保留三项检测的稳定标识，实际接入优先选择协议和样机条件最齐的一类设备；选择浪潮其中一款或共久，由 C02 确认。</w:t>
      </w:r>
    </w:p>
    <w:p>
      <w:pPr>
        <w:pStyle w:val="ListBullet"/>
      </w:pPr>
      <w:r>
        <w:rPr>
          <w:b w:val="0"/>
        </w:rPr>
        <w:t>实现 M00、M10 的必要基础能力，以及 M01、M03、M02、M04、选定的 M08 或 M09、M05 对本轮流程必需的功能。相关页面只做本轮实际操作，不按27页数量计算交付进度。</w:t>
      </w:r>
    </w:p>
    <w:p>
      <w:pPr>
        <w:pStyle w:val="ListBullet"/>
      </w:pPr>
      <w:r>
        <w:rPr>
          <w:b w:val="0"/>
        </w:rPr>
        <w:t>原型页面参考：登录P01、基础工作台/总览P02/P03、选中检测页P04/P05/P06、任务P07/P08、规格P09、历史P10、报警P13/P14、指标/配方P18/P19、设备P21，以及必要的权限/审计入口P25/P26。</w:t>
      </w:r>
    </w:p>
    <w:p>
      <w:pPr>
        <w:pStyle w:val="ListBullet"/>
      </w:pPr>
      <w:r>
        <w:rPr>
          <w:b w:val="0"/>
        </w:rPr>
        <w:t>报告与模板、每盘汇总、高级分析、正式MES发送、其余两类设备接入、暂停恢复和取消任务，列入后续轮次或条件项。导入补录仍在项目总范围内，首轮仅确定与测量资格的衔接设计，完整实现另排。</w:t>
      </w:r>
    </w:p>
    <w:p>
      <w:pPr>
        <w:pStyle w:val="ListBullet"/>
      </w:pPr>
      <w:r>
        <w:rPr>
          <w:b w:val="0"/>
        </w:rPr>
        <w:t>原型参考代码保持独立。正式页面对未实现功能明确标识或隐藏入口，不显示模拟的“设备在线”“MES成功”作为真实结果。</w:t>
      </w:r>
    </w:p>
    <w:p>
      <w:r>
        <w:rPr>
          <w:b w:val="0"/>
        </w:rPr>
        <w:t>这是首轮范围的收敛建议，不取消总范围。M04仅交付接收与查询部分时，状态记为“首轮子范围待验收/已验收”，整个模块保持未冻结；补录等后续范围完成并验收后再整体冻结。其他只交付部分能力的模块同理。</w:t>
      </w:r>
    </w:p>
    <w:p>
      <w:pPr>
        <w:pStyle w:val="Heading1"/>
      </w:pPr>
      <w:r>
        <w:t>二 任务认领总表</w:t>
      </w:r>
    </w:p>
    <w:p>
      <w:pPr>
        <w:keepNext/>
      </w:pPr>
      <w:r>
        <w:rPr>
          <w:b w:val="0"/>
        </w:rPr>
        <w:t>主责人和复核人均填写开发人员姓名；一人团队填写“自测，无独立复核”。计划日期在确认依赖和估算工作量后填写，不以本表生成日期作为开工或完工承诺。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2721"/>
        <w:gridCol w:w="3061"/>
        <w:gridCol w:w="3118"/>
      </w:tblGrid>
      <w:tr>
        <w:trPr>
          <w:cantSplit/>
          <w:tblHeader/>
        </w:trPr>
        <w:tc>
          <w:tcPr>
            <w:tcW w:type="dxa" w:w="737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721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061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主责开发职责</w:t>
            </w:r>
          </w:p>
        </w:tc>
        <w:tc>
          <w:tcPr>
            <w:tcW w:type="dxa" w:w="3118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认领与排期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9"/>
              </w:rPr>
              <w:t>开发统筹与工程方案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9"/>
              </w:rPr>
              <w:t>指定一名开发兼统筹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R02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设备资料与业务问题确认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设备接入开发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R03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首轮模块设计与接口定稿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各模块开发，统筹开发汇总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各模块姓名另登记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R04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M00 身份权限与审计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平台开发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R05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M10 前端工程与页面装配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前端开发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R06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M01 规格及设备档案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平台开发，前端协作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R07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M03 指标与配方版本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平台开发，前端协作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R08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M02 工单盘号与检测任务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平台开发，前端协作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R09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M04 测量接收与查询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平台开发，前端协作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R10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M08或M09 首接设备适配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设备接入开发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R11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M05 报警处理与复核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平台开发，前端协作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姓名____ 日期____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R12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联调验证与交付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统筹开发组织，各模块开发执行</w:t>
            </w:r>
          </w:p>
        </w:tc>
        <w:tc>
          <w:tcPr>
            <w:tcW w:type="dxa" w:w="3118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主责____ 复核____</w:t>
            </w:r>
          </w:p>
        </w:tc>
      </w:tr>
    </w:tbl>
    <w:p>
      <w:r>
        <w:rPr>
          <w:b w:val="0"/>
        </w:rPr>
        <w:t>R01—R03现在即可开展资料整理和设计；R04—R11在各自前置条件满足后实施；R12从准备验收样例开始，随模块交付持续执行。前端开发承担各模块页面实现时，仍在该模块任务范围内协作，不把全部业务逻辑放进M10。</w:t>
      </w:r>
    </w:p>
    <w:p>
      <w:pPr>
        <w:pStyle w:val="Heading1"/>
      </w:pPr>
      <w:r>
        <w:t>三 必须先确认的事项</w:t>
      </w:r>
    </w:p>
    <w:p>
      <w:pPr>
        <w:keepNext/>
      </w:pPr>
      <w:r>
        <w:rPr>
          <w:b w:val="0"/>
        </w:rPr>
        <w:t>开发人员负责提出明确选项、样例和影响；业务依据由项目负责人协调客户或供应方确认。没有专职质检或产品人员，不等于开发人员可以自行批准测量公式、合格阈值和产品放行。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3175"/>
        <w:gridCol w:w="3969"/>
        <w:gridCol w:w="1757"/>
      </w:tblGrid>
      <w:tr>
        <w:trPr>
          <w:cantSplit/>
          <w:tblHeader/>
        </w:trPr>
        <w:tc>
          <w:tcPr>
            <w:tcW w:type="dxa" w:w="737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175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必须确认什么</w:t>
            </w:r>
          </w:p>
        </w:tc>
        <w:tc>
          <w:tcPr>
            <w:tcW w:type="dxa" w:w="3969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开发人员需要提交什么</w:t>
            </w:r>
          </w:p>
        </w:tc>
        <w:tc>
          <w:tcPr>
            <w:tcW w:type="dxa" w:w="1757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最迟确认时间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C01</w:t>
            </w:r>
          </w:p>
        </w:tc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9"/>
              </w:rPr>
              <w:t>首轮页面与功能、交付为模拟或含真机、负责人和验收人</w:t>
            </w:r>
          </w:p>
        </w:tc>
        <w:tc>
          <w:tcPr>
            <w:tcW w:type="dxa" w:w="396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9"/>
              </w:rPr>
              <w:t>范围表、任务认领、依赖和工期估算；负责人确认</w:t>
            </w:r>
          </w:p>
        </w:tc>
        <w:tc>
          <w:tcPr>
            <w:tcW w:type="dxa" w:w="175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9"/>
              </w:rPr>
              <w:t>正式编码前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C02</w:t>
            </w:r>
          </w:p>
        </w:tc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首接设备、型号、协议版本、样机及接入权限</w:t>
            </w:r>
          </w:p>
        </w:tc>
        <w:tc>
          <w:tcPr>
            <w:tcW w:type="dxa" w:w="396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能力矩阵、真实样报文、缺项和提供日期；供应方资料经负责人核实</w:t>
            </w:r>
          </w:p>
        </w:tc>
        <w:tc>
          <w:tcPr>
            <w:tcW w:type="dxa" w:w="175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R10真机驱动前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C03</w:t>
            </w:r>
          </w:p>
        </w:tc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指标定义、单位、公式、统计窗口、阈值和等号、有效码</w:t>
            </w:r>
          </w:p>
        </w:tc>
        <w:tc>
          <w:tcPr>
            <w:tcW w:type="dxa" w:w="396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正常/边界/异常黄金样本及预期；负责人取得业务依据</w:t>
            </w:r>
          </w:p>
        </w:tc>
        <w:tc>
          <w:tcPr>
            <w:tcW w:type="dxa" w:w="175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R07正式规则及真实质量判定前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C04</w:t>
            </w:r>
          </w:p>
        </w:tc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技术栈精确版本、部署系统、数据库、存储、环境和端口</w:t>
            </w:r>
          </w:p>
        </w:tc>
        <w:tc>
          <w:tcPr>
            <w:tcW w:type="dxa" w:w="396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选型方案、目录、版本锁定、迁移/启动/回滚方案；负责人确认</w:t>
            </w:r>
          </w:p>
        </w:tc>
        <w:tc>
          <w:tcPr>
            <w:tcW w:type="dxa" w:w="175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工程初始化和数据库迁移前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C05</w:t>
            </w:r>
          </w:p>
        </w:tc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工单盘号来源与唯一性、设备占用、任务切换、结束条件、计米与时区</w:t>
            </w:r>
          </w:p>
        </w:tc>
        <w:tc>
          <w:tcPr>
            <w:tcW w:type="dxa" w:w="396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状态图及重复盘号、断线、提前结束、计米复位样例；负责人确认</w:t>
            </w:r>
          </w:p>
        </w:tc>
        <w:tc>
          <w:tcPr>
            <w:tcW w:type="dxa" w:w="175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R08/R09相关功能编码前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C06</w:t>
            </w:r>
          </w:p>
        </w:tc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登录方式、操作/复核权限、数据范围、身份分离</w:t>
            </w:r>
          </w:p>
        </w:tc>
        <w:tc>
          <w:tcPr>
            <w:tcW w:type="dxa" w:w="396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动作权限矩阵、初始账号和凭据交付方式；负责人确认</w:t>
            </w:r>
          </w:p>
        </w:tc>
        <w:tc>
          <w:tcPr>
            <w:tcW w:type="dxa" w:w="175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R04与写操作编码前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C07</w:t>
            </w:r>
          </w:p>
        </w:tc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超限合并、防抖、恢复、处理/复核分离和驳回规则</w:t>
            </w:r>
          </w:p>
        </w:tc>
        <w:tc>
          <w:tcPr>
            <w:tcW w:type="dxa" w:w="396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连续超限及无后续样本场景的预期状态；负责人取得业务确认</w:t>
            </w:r>
          </w:p>
        </w:tc>
        <w:tc>
          <w:tcPr>
            <w:tcW w:type="dxa" w:w="175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R11报警规则编码前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C08</w:t>
            </w:r>
          </w:p>
        </w:tc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设备数、采样与展示频率、延迟、陈旧阈值、保留和恢复目标</w:t>
            </w:r>
          </w:p>
        </w:tc>
        <w:tc>
          <w:tcPr>
            <w:tcW w:type="dxa" w:w="396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首轮负载与容量表、可测量验收值；负责人确认</w:t>
            </w:r>
          </w:p>
        </w:tc>
        <w:tc>
          <w:tcPr>
            <w:tcW w:type="dxa" w:w="175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R09/R10容量设计及R12性能验收前</w:t>
            </w:r>
          </w:p>
        </w:tc>
      </w:tr>
    </w:tbl>
    <w:p>
      <w:r>
        <w:rPr>
          <w:b w:val="0"/>
        </w:rPr>
        <w:t>对应总文档决策：C01→T08/T09；C02→T02/T03；C03→T04；C04→T01/T06；C05→T05中的生产标识、T10/T13；C06→T01/T08；C07→T12；C08→T06/T13。后续MES、导入审核、报告相关T05/T11/T09继续保留，首轮不以占位接口视为完成。</w:t>
      </w:r>
    </w:p>
    <w:p>
      <w:r>
        <w:rPr>
          <w:b w:val="0"/>
        </w:rPr>
        <w:t>每项确认保留“问题、结论、确认人、日期、证据位置、影响任务”。未确认项标“待确认”，不能填“默认同意”。协议或样机未到时，允许用明确标为SIMULATED的数据做内部开发验证；不填写真机通过，也不输出正式质量结论。</w:t>
      </w:r>
    </w:p>
    <w:p>
      <w:pPr>
        <w:pStyle w:val="Heading1"/>
      </w:pPr>
      <w:r>
        <w:t>四 逐项任务卡</w:t>
      </w:r>
    </w:p>
    <w:p>
      <w:pPr>
        <w:pStyle w:val="Heading2"/>
        <w:keepNext/>
      </w:pPr>
      <w:r>
        <w:t>R01 开发统筹与工程方案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由一名开发兼任统筹，汇总C01/C04/C06/C08，确定目录、分支、共享文件归属、配置及部署方案；根据实际人数安排依赖和复核，不预设多人并行。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首轮范围表、技术选型及精确版本、逐人任务表、估算与里程碑、环境清单、统一交付目录约定；更新总说明和模块状态台账。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每个任务有主责和前置条件；每个选型有明确版本；每个页面有本轮/后续结论；无相互等待的任务环；另一名开发能据此说明从哪里开始、改哪些文件、怎么交付。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方案可立即编写；依赖选型的初始化待C04，具体排期待人员和C01确认。</w:t>
      </w:r>
    </w:p>
    <w:p>
      <w:pPr>
        <w:pStyle w:val="Heading2"/>
        <w:keepNext/>
      </w:pPr>
      <w:r>
        <w:t>R02 设备资料与业务问题确认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设备接入开发整理首接候选设备资料，核对读数、时间、序号、有效码、计米、图像、历史补传和任务绑定；把公式/报警等业务疑问写成具体样例交负责人确认。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三类设备资料状态表、首接设备建议及理由、选中设备协议与脱敏样报文、能力差异表、C02/C03/C05/C07问题及结论记录。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至少能解释一个正常、一个无效、一个重复上传样例的来源与字段；每项缺失资料有提供方和预计日期；仅有X/Y外径时不声称已获得全周不圆度。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整理资料即可开始；真实协议需供应方提供，业务口径由负责人取得确认。无真报文时交付资料缺口，协议准备状态仍为未完成。</w:t>
      </w:r>
    </w:p>
    <w:p>
      <w:pPr>
        <w:pStyle w:val="Heading2"/>
        <w:keepNext/>
      </w:pPr>
      <w:r>
        <w:t>R03 首轮模块设计与接口定稿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每个模块开发填写自己的模块文档，统筹开发组织交叉核对。明确表归属、字段类型/单位/空值、权限、状态、幂等、错误、事件、页面及调用关系；落实模拟与真实环境标识。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首轮各模块设计、所需HTTP接口Schema或OpenAPI、事件和报文样例、确定数据库后的迁移设计、页面接口表、可执行验收用例。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前端能据契约开发正常/失败页面；接入端能构造被平台接受和拒绝的报文；同一字段在页面、接口和表中含义一致；接口引用无循环、无跨模块写表；关键疑问进入确认表。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可先出草稿。各模块设计批准后才开对应编码任务；R09资格/版本设计须考虑后续导入，但不提前实现完整补录流程。</w:t>
      </w:r>
    </w:p>
    <w:p>
      <w:pPr>
        <w:pStyle w:val="Heading2"/>
        <w:keepNext/>
      </w:pPr>
      <w:r>
        <w:t>R04 身份权限与审计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实现M00登录会话、服务端动作权限和数据范围、设备上传身份、必要审计；人员与设备权限分开。首轮可采用经批准的简单管理入口。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M00源码、身份与权限接口、所属迁移、初始化说明、配置样例、权限和审计验证记录。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错误凭据不能登录；只读用户写操作被服务端拒绝；越范围读取/上传被拒绝；停用用户后权限失效；操作人取认证身份；日志含真实动作和结果且不含密码/令牌。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C04、C06和M00设计。承接验收AC12/AC24中的身份与权限部分。</w:t>
      </w:r>
    </w:p>
    <w:p>
      <w:pPr>
        <w:pStyle w:val="Heading2"/>
        <w:keepNext/>
      </w:pPr>
      <w:r>
        <w:t>R05 前端工程与页面装配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实现M10导航、会话接入、路由装配、统一请求与错误展示、基础表格和图表组件；接入真实后端。各业务页由对应模块任务交付。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前端可运行工程、锁定依赖、启动/构建说明、环境配置样例、功能注册约定，以及加载/空态/无权限/异常展示实例。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按说明在另一开发环境启动和构建；刷新详情、重新登录和退出正确；接口失败显示错误；未授权动作不可用且后端同样拦截；真实浏览器操作并回读结果。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C04、C06、M00会话契约和M10设计；开发期可用标识明确的接口模拟，联调验收必须切到本轮后端。</w:t>
      </w:r>
    </w:p>
    <w:p>
      <w:pPr>
        <w:pStyle w:val="Heading2"/>
        <w:keepNext/>
      </w:pPr>
      <w:r>
        <w:t>R06 规格及设备档案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实现M01工厂/产线/工序、规格和设备的必要建档、查询、编辑、启停；维护指标适用关系和已核实能力。规格包含电压、芯数、截面积、屏蔽结构。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M01接口、迁移、规格/设备页面、首接设备的可追溯测试档案及模块文档。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新建后刷新和服务重启仍能查询；非法字段和重复编码被拒绝；跨工厂关联被拒绝；禁用档案不能用于新任务；设备在线状态来自运行数据，不能在档案里手工伪造。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C04/C05、规格目录和设备能力的适用部分；R04及M01设计。支撑AC01/AC02。</w:t>
      </w:r>
    </w:p>
    <w:p>
      <w:pPr>
        <w:pStyle w:val="Heading2"/>
        <w:keepNext/>
      </w:pPr>
      <w:r>
        <w:t>R07 指标与配方版本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实现M03首接项目的方法版本、配方草稿、批准/停用和按指定版本查询；显示精度与判定精度分开，预留三项稳定指标标识。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方法/配方接口与页面、迁移、批准快照、阈值边界测试及黄金样本结果；记录原型与正式规则的差异。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指定低于/等于/高于阈值的样例得到批准的预期；无效或无批准方法不判合格；未授权用户不能批准；批准内容不能原地修改；新版本不改旧任务依据。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C03、C06、M03设计及R04/R06公开契约。未确认真实方法时仅交模拟规则验证，不标正式判定通过。承接AC04/AC05/AC06/AC12。</w:t>
      </w:r>
    </w:p>
    <w:p>
      <w:pPr>
        <w:pStyle w:val="Heading2"/>
        <w:keepNext/>
      </w:pPr>
      <w:r>
        <w:t>R08 工单盘号与检测任务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实现M02工单/盘号必要建档和选择、单项目任务创建/开始/结束；创建冻结规则及上下文，开始时校验设备占用与绑定，任务切换保留实际生效信息。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M02接口、迁移、任务列表/详情及操作页、状态迁移表、幂等和并发验证记录。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同名盘号按工厂/工单区分；不适用绑定被拒绝；两任务并发抢同设备只成功一个；重复命令不重复创建；开始不静默换配方；结束后不得重新开始；进度不冒充有效覆盖。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C05/C06、M02设计及R04/R06/R07契约。暂停/恢复/取消未获本轮批准时不开放。承接AC02/AC03/AC04/AC09。</w:t>
      </w:r>
    </w:p>
    <w:p>
      <w:pPr>
        <w:pStyle w:val="Heading2"/>
        <w:keepNext/>
      </w:pPr>
      <w:r>
        <w:t>R09 测量接收与实时历史查询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实现M04认证接收、持久化、逐条回执、稳定键去重、隔离、判定/资格版本、心跳与新鲜度；提供实时曲线、历史筛选及记录详情。业务事件可靠保存供M05消费。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M04接口、迁移、接收样例、实时/历史页面、去重和恢复证据；公开的测量查询、事件、证据访问契约。无图像时显示缺失原因。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同键同内容重发不新增，异内容冲突；相同值的不同合法样本不漏；null不当0；未知绑定按契约隔离/拒绝；重启后记录可查；切换设备/任务不串数据；最新无效值不被旧合格值替代；未持久化不回成功。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C05/C08、M04设计及R04/R07/R08契约；真实判定另需C03。补录未完成不冻结整个M04。承接AC01/AC06—AC09/AC22/AC23的本轮范围。</w:t>
      </w:r>
    </w:p>
    <w:p>
      <w:pPr>
        <w:pStyle w:val="Heading2"/>
        <w:keepNext/>
      </w:pPr>
      <w:r>
        <w:t>R10 首接设备适配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按C02只实施选中分支。选浪潮时实施M08对应一款适配，保留厂商算法结果；选共久时实施M09采集、受控判定、本地落盘、缓存任务及补传。均须正确关联任务、时间、序号和数据有效性。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选中模块源码、驱动/协议版本、配置与运行说明、真实采集样本、断线恢复及重传对账；首接分支之外列明未实现。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平台值可与设备原始输出逐条核对；断线不产生伪造新样本；重传保持原键。M09断网后已落盘测量和报警变化可补传对账；M08按供应方实际补传能力验证，不能把不支持的历史数据声明为可恢复。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C02/C03/C05/C08及上传契约；真机条件不齐先做SIMULATED契约联调，真机验收保持待执行。承接AC08/AC09/AC21的适用部分；不包含PLC或生产控制写入。</w:t>
      </w:r>
    </w:p>
    <w:p>
      <w:pPr>
        <w:pStyle w:val="Heading2"/>
        <w:keepNext/>
      </w:pPr>
      <w:r>
        <w:t>R11 报警处理与复核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实现M05事件消费、报警列表/详情、确认、处理、提交复核、通过/驳回；检测值恢复和人工处置分别记录，处理依据可追溯到源记录和判定版本。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M05接口、迁移、页面、报警策略版本、动作日志及连续超限/重复事件/恢复/驳回验证记录。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超限产生规定报警；同事件重放不重复；恢复不覆盖原始FAIL且不自动复核通过；处理后可复核或驳回；越权操作拒绝；不能手填他人身份；首页、列表、详情状态一致。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C07/C06、M05设计和R09事件契约。承接AC10/AC11/AC12；真实报警输出另按设备能力确认。</w:t>
      </w:r>
    </w:p>
    <w:p>
      <w:pPr>
        <w:pStyle w:val="Heading2"/>
        <w:keepNext/>
      </w:pPr>
      <w:r>
        <w:t>R12 联调验证与交付</w:t>
      </w:r>
    </w:p>
    <w:p>
      <w:pPr>
        <w:pStyle w:val="ListBullet"/>
        <w:keepNext/>
      </w:pPr>
      <w:r>
        <w:rPr>
          <w:b/>
        </w:rPr>
        <w:t>负责什么：</w:t>
      </w:r>
      <w:r>
        <w:rPr>
          <w:b w:val="0"/>
        </w:rPr>
        <w:t xml:space="preserve"> 统筹开发组织联调，各模块开发自测，另一开发交叉复核；一人团队保留自测限制。登记缺陷并交对应模块的B类修复会话，不在联调会话跨模块顺手改代码。</w:t>
      </w:r>
    </w:p>
    <w:p>
      <w:pPr>
        <w:pStyle w:val="ListBullet"/>
        <w:keepNext/>
      </w:pPr>
      <w:r>
        <w:rPr>
          <w:b/>
        </w:rPr>
        <w:t>交付什么：</w:t>
      </w:r>
      <w:r>
        <w:rPr>
          <w:b w:val="0"/>
        </w:rPr>
        <w:t xml:space="preserve"> 可复现构建与提交号、安装/迁移/启动/停止/恢复说明、配置样例、逐项验收记录、浏览器操作证据、已知问题及责任人；更新模块台账的实际状态。</w:t>
      </w:r>
    </w:p>
    <w:p>
      <w:pPr>
        <w:pStyle w:val="ListBullet"/>
        <w:keepNext/>
      </w:pPr>
      <w:r>
        <w:rPr>
          <w:b/>
        </w:rPr>
        <w:t>怎么验收：</w:t>
      </w:r>
      <w:r>
        <w:rPr>
          <w:b w:val="0"/>
        </w:rPr>
        <w:t xml:space="preserve"> 按下一节从新环境完整走通；记录每项输入、预期、实际、环境和证据。模拟、真机、性能分别出结论，不能互相代替；项目负责人据记录确认本轮结果。</w:t>
      </w:r>
    </w:p>
    <w:p>
      <w:pPr>
        <w:pStyle w:val="ListBullet"/>
      </w:pPr>
      <w:r>
        <w:rPr>
          <w:b/>
        </w:rPr>
        <w:t>必须先确认：</w:t>
      </w:r>
      <w:r>
        <w:rPr>
          <w:b w:val="0"/>
        </w:rPr>
        <w:t xml:space="preserve"> C01的验收范围和C08的量化指标。原型的48项自动检查仅为原型已有证据，不抵扣本轮后端、真实权限或设备验证。</w:t>
      </w:r>
    </w:p>
    <w:p>
      <w:pPr>
        <w:pStyle w:val="Heading1"/>
      </w:pPr>
      <w:r>
        <w:t>五 验收操作清单</w:t>
      </w:r>
    </w:p>
    <w:p>
      <w:pPr>
        <w:keepNext/>
      </w:pPr>
      <w:r>
        <w:rPr>
          <w:b w:val="0"/>
        </w:rPr>
        <w:t>以下是本轮需要执行的检查，当前均为待执行。开发人员先自测再提交复核；项目负责人不需要读代码即可按这些步骤查看结果。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3572"/>
        <w:gridCol w:w="5329"/>
      </w:tblGrid>
      <w:tr>
        <w:trPr>
          <w:cantSplit/>
          <w:tblHeader/>
        </w:trPr>
        <w:tc>
          <w:tcPr>
            <w:tcW w:type="dxa" w:w="737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3572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5329"/>
            <w:vAlign w:val="center"/>
            <w:shd w:fill="DCE6F1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9"/>
              </w:rPr>
              <w:t>按交付说明在新环境部署并登录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9"/>
              </w:rPr>
              <w:t>配置、迁移、启动可复现；错误账号失败；只读账号不能写入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新建规格、设备、工单和盘号，选择适用配方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数据可保存并刷新查回；不适用或跨范围绑定被拒绝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创建任务后更新配方，再开始原任务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原任务保持创建快照；新任务明确选择新版本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两个任务争用同设备，重复点击开始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仅一项开始成功；重试不产生重复任务或动作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输入正常、等阈值、超限、空值、无效样本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按批准样例得到预期；空值/无效/未判定均有明确状态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重发相同记录，再发同键异内容记录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前者不重复，后者明确冲突；重启后原记录仍可查询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切换任务/设备、查看最新无效值和历史记录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曲线、表格、详情指向同一来源；不串盘，不拿旧值冒充当前值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制造超限并恢复，再确认、处理、复核或驳回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原FAIL保留，恢复与处置独立；权限和真实操作人正确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模拟网络中断，恢复后核对记录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按批准能力补传并核对稳定键、数量和缺口；无能力部分明确显示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提前结束任务或发生计米中断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按批准规则结束/拒绝；不把进度或任务结束显示为整盘合格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按批准负载运行并恢复备份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记录实测频率、延迟、错误与恢复结果；未批准指标不写性能通过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572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核对交付内容与界面状态</w:t>
            </w:r>
          </w:p>
        </w:tc>
        <w:tc>
          <w:tcPr>
            <w:tcW w:type="dxa" w:w="5329"/>
            <w:vAlign w:val="center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仅已实现功能可执行；模拟标识清楚；无虚假MES确认或正式报告结论</w:t>
            </w:r>
          </w:p>
        </w:tc>
      </w:tr>
    </w:tbl>
    <w:p>
      <w:r>
        <w:rPr>
          <w:b w:val="0"/>
        </w:rPr>
        <w:t>可用契约模拟器完成内部链路验收；真机部分必须用真实设备和报文单独验证。本轮若约定包含真机，则模拟通过只能登记为阶段结果，不能据此关闭本轮。</w:t>
      </w:r>
    </w:p>
    <w:p>
      <w:pPr>
        <w:pStyle w:val="Heading1"/>
      </w:pPr>
      <w:r>
        <w:t>六 执行顺序和交付格式</w:t>
      </w:r>
    </w:p>
    <w:p>
      <w:r>
        <w:rPr>
          <w:b w:val="0"/>
        </w:rPr>
        <w:t>建议顺序：R01与R02先开展，R03按模块形成可批准设计；之后R04/R05搭建基础，R06→R07→R08完成任务链，R09与R10按已冻结上传契约协作，R11接入测量事件，R12完成联调。任务仅在人员、独立目录和契约已具备时并行，不要求为本清单增加人员。</w:t>
      </w:r>
    </w:p>
    <w:p>
      <w:r>
        <w:rPr>
          <w:b w:val="0"/>
        </w:rPr>
        <w:t>每人首次回复填写：认领编号、姓名、预计工作量、前置依赖、预计交付日期、需确认的问题。执行中统一使用“未开始/设计中/开发中/待条件/待复核/已验收”状态；“待条件”必须写清缺什么、影响哪项、谁能提供及预计时间。</w:t>
      </w:r>
    </w:p>
    <w:p>
      <w:pPr>
        <w:keepNext/>
      </w:pPr>
      <w:r>
        <w:rPr>
          <w:b w:val="0"/>
        </w:rPr>
        <w:t>每项交付统一包含以下内容：</w:t>
      </w:r>
    </w:p>
    <w:p>
      <w:pPr>
        <w:pStyle w:val="ListNumber"/>
        <w:keepNext/>
      </w:pPr>
      <w:r>
        <w:rPr>
          <w:b w:val="0"/>
        </w:rPr>
        <w:t>任务编号、实际功能范围、分支及提交号；尚未提交时如实说明。</w:t>
      </w:r>
    </w:p>
    <w:p>
      <w:pPr>
        <w:pStyle w:val="ListNumber"/>
        <w:keepNext/>
      </w:pPr>
      <w:r>
        <w:rPr>
          <w:b w:val="0"/>
        </w:rPr>
        <w:t>源码、模块文档、接口/表变更、配置样例、运行说明。</w:t>
      </w:r>
    </w:p>
    <w:p>
      <w:pPr>
        <w:pStyle w:val="ListNumber"/>
        <w:keepNext/>
      </w:pPr>
      <w:r>
        <w:rPr>
          <w:b w:val="0"/>
        </w:rPr>
        <w:t>自测和复核记录：输入、预期、实际、执行人、环境、证据位置；页面交互提供真实浏览器操作与结果读回。</w:t>
      </w:r>
    </w:p>
    <w:p>
      <w:pPr>
        <w:pStyle w:val="ListNumber"/>
      </w:pPr>
      <w:r>
        <w:rPr>
          <w:b w:val="0"/>
        </w:rPr>
        <w:t>未完成/未验证项、原因、影响及后续责任人；不得仅填“已完成”或“页面已做好”。</w:t>
      </w:r>
    </w:p>
    <w:p>
      <w:r>
        <w:rPr>
          <w:b w:val="0"/>
        </w:rPr>
        <w:t>使用AI时，C负责设计，A负责单模块新开发，B负责已有模块缺陷修复或重构。各模块独立会话，并行使用独立工作目录；共享文件由统筹开发登记后合入。验收完成只冻结明确的交付范围，不能提前冻结仍有计划内功能未实现的整个模块。</w:t>
      </w:r>
    </w:p>
    <w:p>
      <w:pPr>
        <w:pStyle w:val="Heading1"/>
      </w:pPr>
      <w:r>
        <w:t>七 依据和确认记录</w:t>
      </w:r>
    </w:p>
    <w:p>
      <w:r>
        <w:rPr>
          <w:b w:val="0"/>
        </w:rPr>
        <w:t>本清单将第09份文档的工作包收敛为可派发的首轮任务，未修改全局规则的批准状态。执行依据为仓库README、AGENTS.md、.prompt.md，以及docs/01至09和目标模块文档。发生冲突时列出具体差异，在相关决定明确前保持待确认，不自行扩大范围。</w:t>
      </w:r>
    </w:p>
    <w:p>
      <w:r>
        <w:rPr>
          <w:b w:val="0"/>
        </w:rPr>
        <w:t>派发前填写：首接设备____；交付含真机/仅模拟____；统筹开发____；各任务主责见认领表；复核安排____；计划起止____；范围确认人及日期____。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V1.0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慧眼智检    开发任务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69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69" w:lineRule="auto"/>
      <w:outlineLvl w:val="0"/>
    </w:pPr>
    <w:rPr>
      <w:rFonts w:ascii="Arial" w:hAnsi="Arial" w:eastAsia="Microsoft YaHei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9" w:lineRule="auto"/>
      <w:outlineLvl w:val="1"/>
    </w:pPr>
    <w:rPr>
      <w:rFonts w:ascii="Arial" w:hAnsi="Arial" w:eastAsia="Microsoft YaHei"/>
      <w:b/>
      <w:bCs/>
      <w:i w:val="0"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9" w:lineRule="auto"/>
      <w:contextualSpacing/>
    </w:pPr>
    <w:rPr>
      <w:rFonts w:ascii="Arial" w:hAnsi="Arial" w:eastAsia="Microsoft YaHei"/>
      <w:i w:val="0"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69" w:lineRule="auto"/>
    </w:pPr>
    <w:rPr>
      <w:rFonts w:ascii="Arial" w:hAnsi="Arial" w:eastAsia="Microsoft YaHei"/>
      <w:i w:val="0"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Arial" w:hAnsi="Arial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Arial" w:hAnsi="Arial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慧眼智检第一轮开发任务清单</dc:title>
  <dc:subject>开发人员的职责 交付 验收与前置确认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