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color w:val="000000"/>
        </w:rPr>
        <w:t>R01 技术选型与工程方案</w:t>
      </w:r>
    </w:p>
    <w:p>
      <w:r>
        <w:rPr>
          <w:rFonts w:ascii="Arial" w:hAnsi="Arial" w:eastAsia="Microsoft YaHei"/>
          <w:b w:val="0"/>
          <w:color w:val="000000"/>
          <w:sz w:val="18"/>
        </w:rPr>
        <w:t>版本 V1.0｜2026年10月10日｜C类设计交付｜基线 cbd8c76</w:t>
      </w:r>
    </w:p>
    <w:p>
      <w:r>
        <w:rPr>
          <w:rFonts w:ascii="Arial" w:hAnsi="Arial" w:eastAsia="Microsoft YaHei"/>
          <w:b w:val="0"/>
          <w:color w:val="000000"/>
        </w:rPr>
        <w:t xml:space="preserve">推荐采用 </w:t>
      </w:r>
      <w:r>
        <w:rPr>
          <w:rFonts w:ascii="Arial" w:hAnsi="Arial" w:eastAsia="Microsoft YaHei"/>
          <w:b/>
          <w:color w:val="000000"/>
        </w:rPr>
        <w:t>Vue 3＋TypeScript＋Element Plus＋ECharts，Java 21＋Spring Boot＋MyBatis，PostgreSQL</w:t>
      </w:r>
      <w:r>
        <w:rPr>
          <w:rFonts w:ascii="Arial" w:hAnsi="Arial" w:eastAsia="Microsoft YaHei"/>
          <w:b w:val="0"/>
          <w:color w:val="000000"/>
        </w:rPr>
        <w:t>。平台采用一个后端应用、一个前端应用和一个业务数据库，按业务包隔离内部代码。设备采集按协议需要独立部署。</w:t>
      </w:r>
    </w:p>
    <w:p>
      <w:r>
        <w:rPr>
          <w:rFonts w:ascii="Arial" w:hAnsi="Arial" w:eastAsia="Microsoft YaHei"/>
          <w:b w:val="0"/>
          <w:color w:val="000000"/>
        </w:rPr>
        <w:t>项目负责人已明确按这类系统的通用技术栈推荐，并要求“开发一个页面、测试一个页面”。本方案据此把页面工作包作为派工和提测单位，M00—M10继续作为代码、表和接口的归属边界。推荐方案已形成，技术基线尚待确认；工程、正式页面和生产数据库尚未建立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一 为什么适合现有项目</w:t>
      </w:r>
    </w:p>
    <w:p>
      <w:r>
        <w:rPr>
          <w:rFonts w:ascii="Arial" w:hAnsi="Arial" w:eastAsia="Microsoft YaHei"/>
          <w:b w:val="0"/>
          <w:color w:val="000000"/>
        </w:rPr>
        <w:t>原型有27个页面入口，主要是档案表单、任务操作、曲线、历史查询和报警处置。原生HTML/CSS/JavaScript适合确认交互，正式阶段需要复用表单校验、明确接口类型、持久化和服务端权限，因此推荐Vue组件化迁移。保留页面结构、色彩、已有资源和ECharts图表配置；按页改造成Vue组件，不要求重新设计全部界面。</w:t>
      </w:r>
    </w:p>
    <w:p>
      <w:r>
        <w:rPr>
          <w:rFonts w:ascii="Arial" w:hAnsi="Arial" w:eastAsia="Microsoft YaHei"/>
          <w:b w:val="0"/>
          <w:color w:val="000000"/>
        </w:rPr>
        <w:t>原型的localStorage、任意密码、手工在线、采集下一条、模拟MES回执不能作为正式实现。迁移时以第07份页面映射、第08份正式规则差异为依据，避免把原型简化带入后端。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3"/>
        <w:gridCol w:w="3674"/>
        <w:gridCol w:w="4388"/>
      </w:tblGrid>
      <w:tr>
        <w:trPr>
          <w:cantSplit/>
          <w:tblHeader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选择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对本项目的作用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取舍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Java与Spring Boot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管理任务事务、身份权限、审计、版本、接收和定时重试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前后端两种语言，但职责明确，适合长期维护的工厂业务平台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Vue与TypeScript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表格表单组件、路由、页面状态及接口类型检查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不直接复制原型全局可变状态；需要逐页迁移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Element Plus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统一表格、表单、弹窗、分页与反馈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调整主题适配原型，不以组件库默认外观替代原图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PostgreSQL与MyBatis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事务、唯一约束、明确SQL及测量时间查询；复杂筛选可解释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MyBatis是SQL映射工具，不依赖自动建表；迁移独立管理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ECharts 6.0.0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延续原型曲线、阈值线和交互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先保留原版本，升级另行验证图表行为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模块化单体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同一进程内通过公开接口调用，单机也能部署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M00—M10不是11套服务或11个人；规模有证据后再拆服务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Vue官方支持TypeScript，推荐create-vue与Vite；Vite构建本身不代替类型检查，需要单独运行vue-tsc。</w:t>
      </w:r>
      <w:hyperlink r:id="rId11">
        <w:r>
          <w:rPr>
            <w:rFonts w:ascii="Arial" w:hAnsi="Arial" w:eastAsia="Microsoft YaHei"/>
            <w:color w:val="245A81"/>
          </w:rPr>
          <w:t>Vue TypeScript说明</w:t>
        </w:r>
      </w:hyperlink>
      <w:r>
        <w:rPr>
          <w:rFonts w:ascii="Arial" w:hAnsi="Arial" w:eastAsia="Microsoft YaHei"/>
          <w:b w:val="0"/>
          <w:color w:val="000000"/>
        </w:rPr>
        <w:t>。Element Plus面向Vue 3和现代浏览器，首轮验收浏览器建议为现场使用的Chrome或Edge，版本由G00记录。</w:t>
      </w:r>
      <w:hyperlink r:id="rId12">
        <w:r>
          <w:rPr>
            <w:rFonts w:ascii="Arial" w:hAnsi="Arial" w:eastAsia="Microsoft YaHei"/>
            <w:color w:val="245A81"/>
          </w:rPr>
          <w:t>Element Plus安装说明</w:t>
        </w:r>
      </w:hyperlink>
      <w:r>
        <w:rPr>
          <w:rFonts w:ascii="Arial" w:hAnsi="Arial" w:eastAsia="Microsoft YaHei"/>
          <w:b w:val="0"/>
          <w:color w:val="000000"/>
        </w:rPr>
        <w:t>。</w:t>
      </w:r>
    </w:p>
    <w:p>
      <w:r>
        <w:rPr>
          <w:rFonts w:ascii="Arial" w:hAnsi="Arial" w:eastAsia="Microsoft YaHei"/>
          <w:b w:val="0"/>
          <w:color w:val="000000"/>
        </w:rPr>
        <w:t>备选方案：全TypeScript后端可减少语言切换，但目前没有团队只熟悉JavaScript的证据；C#/.NET适合团队已有C#资产或厂商仅供.NET SDK的情况。目前均不作为平台首选。如果设备SDK限制语言，只调整独立采集适配器，不因此重写平台。数据库若客户强制MySQL，应在初始化前重新核对SQL与迁移，不同时维护两套数据库实现。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二 推荐版本与锁定方式</w:t>
      </w:r>
    </w:p>
    <w:p>
      <w:r>
        <w:rPr>
          <w:rFonts w:ascii="Arial" w:hAnsi="Arial" w:eastAsia="Microsoft YaHei"/>
          <w:b w:val="0"/>
          <w:color w:val="000000"/>
        </w:rPr>
        <w:t>以下为2026年10月10日查验官方文档或包元数据后的</w:t>
      </w:r>
      <w:r>
        <w:rPr>
          <w:rFonts w:ascii="Arial" w:hAnsi="Arial" w:eastAsia="Microsoft YaHei"/>
          <w:b/>
          <w:color w:val="000000"/>
        </w:rPr>
        <w:t>候选基线</w:t>
      </w:r>
      <w:r>
        <w:rPr>
          <w:rFonts w:ascii="Arial" w:hAnsi="Arial" w:eastAsia="Microsoft YaHei"/>
          <w:b w:val="0"/>
          <w:color w:val="000000"/>
        </w:rPr>
        <w:t>，尚未在本仓库安装、编译或联调。最终锁定以G00兼容性验证和评审记录为准，不能把“官方范围兼容”写成“本项目已测试通过”。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3"/>
        <w:gridCol w:w="3674"/>
        <w:gridCol w:w="4388"/>
      </w:tblGrid>
      <w:tr>
        <w:trPr>
          <w:cantSplit/>
          <w:tblHeader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候选版本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锁定与理由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Java运行时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Eclipse Temurin 21，候选发行标签jdk-21.0.12.1+1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Java 21作为平台语言基线；G00按目标系统保存安装包、校验值和java -version实录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Spring Boot 4.1.1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parent/BOM固定；Security、Validation、JDBC、Session、测试依赖由同一BOM管理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SQL映射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mybatis-spring-boot-starter 4.0.0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官方4.0系列对应Boot 4.0及以上；不混用面向Boot 3的starter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构建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Maven 3.10.0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Maven Wrapper固定发行版及校验；不采用预览版Maven 4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PostgreSQL 17.11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采用仍受支持的17系列当前补丁候选；单库事务优先，容量需压测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迁移与驱动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Flyway及PostgreSQL JDBC，版本由Boot 4.1.1 BOM解析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G00输出effective-pom和dependency-tree中的精确版本；包含Flyway PostgreSQL支持依赖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前端运行工具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Node.js 24.21.0 LTS，npm采用该发行包自带版本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G00记录npm精确版本；packageManager、运行时文件和package-lock.json一并固定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页面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Vue 3.5.43，TypeScript 5.9.3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当前工具组合选择TS 5.9.3；不因TS 7已发布就跨主要版本升级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路由与状态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Vue Router 4.6.4，Pinia 3.0.4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使用已核对Vue兼容范围的组合；Pinia只放会话和必要跨页状态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构建与检查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Vite 8.3.4，plugin-vue 6.0.9，vue-tsc 3.3.12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构建、类型检查分别执行；Node 24满足已查询的引擎范围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组件与图表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Element Plus 2.14.7，ECharts 6.0.0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图表保留原型基线；图标资源保留原型Tabler 3.35.0并核对许可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前端测试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Vitest 5.0.3，Playwright Test 1.64.0，MSW 3.0.3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分别用于逻辑测试、真实浏览器、网络接口模拟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接口类型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OpenAPI 3.1.0，openapi-typescript 7.13.0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设计契约后生成前端类型；该生成器peer要求TS 5.x，故本组合选TS 5.9.3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Spring Boot 4.1.1支持Java 17—26，Java 21位于其范围内；MyBatis starter 4.0的官方兼容范围覆盖Boot 4.0以上。</w:t>
      </w:r>
      <w:hyperlink r:id="rId13">
        <w:r>
          <w:rPr>
            <w:rFonts w:ascii="Arial" w:hAnsi="Arial" w:eastAsia="Microsoft YaHei"/>
            <w:color w:val="245A81"/>
          </w:rPr>
          <w:t>Spring Boot系统要求</w:t>
        </w:r>
      </w:hyperlink>
      <w:r>
        <w:rPr>
          <w:rFonts w:ascii="Arial" w:hAnsi="Arial" w:eastAsia="Microsoft YaHei"/>
          <w:b w:val="0"/>
          <w:color w:val="000000"/>
        </w:rPr>
        <w:t>、</w:t>
      </w:r>
      <w:hyperlink r:id="rId14">
        <w:r>
          <w:rPr>
            <w:rFonts w:ascii="Arial" w:hAnsi="Arial" w:eastAsia="Microsoft YaHei"/>
            <w:color w:val="245A81"/>
          </w:rPr>
          <w:t>MyBatis兼容表</w:t>
        </w:r>
      </w:hyperlink>
      <w:r>
        <w:rPr>
          <w:rFonts w:ascii="Arial" w:hAnsi="Arial" w:eastAsia="Microsoft YaHei"/>
          <w:b w:val="0"/>
          <w:color w:val="000000"/>
        </w:rPr>
        <w:t>。Maven版本来自</w:t>
      </w:r>
      <w:hyperlink r:id="rId15">
        <w:r>
          <w:rPr>
            <w:rFonts w:ascii="Arial" w:hAnsi="Arial" w:eastAsia="Microsoft YaHei"/>
            <w:color w:val="245A81"/>
          </w:rPr>
          <w:t>官方下载页</w:t>
        </w:r>
      </w:hyperlink>
      <w:r>
        <w:rPr>
          <w:rFonts w:ascii="Arial" w:hAnsi="Arial" w:eastAsia="Microsoft YaHei"/>
          <w:b w:val="0"/>
          <w:color w:val="000000"/>
        </w:rPr>
        <w:t>，JDK候选来自</w:t>
      </w:r>
      <w:hyperlink r:id="rId16">
        <w:r>
          <w:rPr>
            <w:rFonts w:ascii="Arial" w:hAnsi="Arial" w:eastAsia="Microsoft YaHei"/>
            <w:color w:val="245A81"/>
          </w:rPr>
          <w:t>Temurin发行页</w:t>
        </w:r>
      </w:hyperlink>
      <w:r>
        <w:rPr>
          <w:rFonts w:ascii="Arial" w:hAnsi="Arial" w:eastAsia="Microsoft YaHei"/>
          <w:b w:val="0"/>
          <w:color w:val="000000"/>
        </w:rPr>
        <w:t>。</w:t>
      </w:r>
    </w:p>
    <w:p>
      <w:r>
        <w:rPr>
          <w:rFonts w:ascii="Arial" w:hAnsi="Arial" w:eastAsia="Microsoft YaHei"/>
          <w:b w:val="0"/>
          <w:color w:val="000000"/>
        </w:rPr>
        <w:t>PostgreSQL 17官方支持期至2029年11月，补丁应在受支持系列内维护；这不是承诺三年不升级。</w:t>
      </w:r>
      <w:hyperlink r:id="rId17">
        <w:r>
          <w:rPr>
            <w:rFonts w:ascii="Arial" w:hAnsi="Arial" w:eastAsia="Microsoft YaHei"/>
            <w:color w:val="245A81"/>
          </w:rPr>
          <w:t>PostgreSQL版本政策</w:t>
        </w:r>
      </w:hyperlink>
      <w:r>
        <w:rPr>
          <w:rFonts w:ascii="Arial" w:hAnsi="Arial" w:eastAsia="Microsoft YaHei"/>
          <w:b w:val="0"/>
          <w:color w:val="000000"/>
        </w:rPr>
        <w:t>。Node候选见</w:t>
      </w:r>
      <w:hyperlink r:id="rId18">
        <w:r>
          <w:rPr>
            <w:rFonts w:ascii="Arial" w:hAnsi="Arial" w:eastAsia="Microsoft YaHei"/>
            <w:color w:val="245A81"/>
          </w:rPr>
          <w:t>官方下载页</w:t>
        </w:r>
      </w:hyperlink>
      <w:r>
        <w:rPr>
          <w:rFonts w:ascii="Arial" w:hAnsi="Arial" w:eastAsia="Microsoft YaHei"/>
          <w:b w:val="0"/>
          <w:color w:val="000000"/>
        </w:rPr>
        <w:t>。前端候选依据各项目npm注册元数据，例如</w:t>
      </w:r>
      <w:hyperlink r:id="rId19">
        <w:r>
          <w:rPr>
            <w:rFonts w:ascii="Arial" w:hAnsi="Arial" w:eastAsia="Microsoft YaHei"/>
            <w:color w:val="245A81"/>
          </w:rPr>
          <w:t>Vue</w:t>
        </w:r>
      </w:hyperlink>
      <w:r>
        <w:rPr>
          <w:rFonts w:ascii="Arial" w:hAnsi="Arial" w:eastAsia="Microsoft YaHei"/>
          <w:b w:val="0"/>
          <w:color w:val="000000"/>
        </w:rPr>
        <w:t>、</w:t>
      </w:r>
      <w:hyperlink r:id="rId20">
        <w:r>
          <w:rPr>
            <w:rFonts w:ascii="Arial" w:hAnsi="Arial" w:eastAsia="Microsoft YaHei"/>
            <w:color w:val="245A81"/>
          </w:rPr>
          <w:t>Vite</w:t>
        </w:r>
      </w:hyperlink>
      <w:r>
        <w:rPr>
          <w:rFonts w:ascii="Arial" w:hAnsi="Arial" w:eastAsia="Microsoft YaHei"/>
          <w:b w:val="0"/>
          <w:color w:val="000000"/>
        </w:rPr>
        <w:t>、</w:t>
      </w:r>
      <w:hyperlink r:id="rId21">
        <w:r>
          <w:rPr>
            <w:rFonts w:ascii="Arial" w:hAnsi="Arial" w:eastAsia="Microsoft YaHei"/>
            <w:color w:val="245A81"/>
          </w:rPr>
          <w:t>TypeScript</w:t>
        </w:r>
      </w:hyperlink>
      <w:r>
        <w:rPr>
          <w:rFonts w:ascii="Arial" w:hAnsi="Arial" w:eastAsia="Microsoft YaHei"/>
          <w:b w:val="0"/>
          <w:color w:val="000000"/>
        </w:rPr>
        <w:t>、</w:t>
      </w:r>
      <w:hyperlink r:id="rId22">
        <w:r>
          <w:rPr>
            <w:rFonts w:ascii="Arial" w:hAnsi="Arial" w:eastAsia="Microsoft YaHei"/>
            <w:color w:val="245A81"/>
          </w:rPr>
          <w:t>openapi-typescript</w:t>
        </w:r>
      </w:hyperlink>
      <w:r>
        <w:rPr>
          <w:rFonts w:ascii="Arial" w:hAnsi="Arial" w:eastAsia="Microsoft YaHei"/>
          <w:b w:val="0"/>
          <w:color w:val="000000"/>
        </w:rPr>
        <w:t>；G00须对整套依赖重新安装验证并锁文件。</w:t>
      </w:r>
    </w:p>
    <w:p>
      <w:r>
        <w:rPr>
          <w:rFonts w:ascii="Arial" w:hAnsi="Arial" w:eastAsia="Microsoft YaHei"/>
          <w:b w:val="0"/>
          <w:color w:val="000000"/>
        </w:rPr>
        <w:t>设备端默认优先评估Java 21独立进程和SQLite本地队列。SQLite驱动、串口库及厂商SDK的具体版本必须等协议、目标系统与位数明确后由G02锁定；它们不阻塞平台G00。网络开放协议可使用Java适配；仅有Windows专用SDK时保留独立Windows适配进程，由公开上传契约接入平台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三 工程结构与协作边界</w:t>
      </w:r>
    </w:p>
    <w:p>
      <w:r>
        <w:rPr>
          <w:rFonts w:ascii="Arial" w:hAnsi="Arial" w:eastAsia="Microsoft YaHei"/>
          <w:b w:val="0"/>
          <w:color w:val="000000"/>
        </w:rPr>
        <w:t>以下为批准后建立的目标目录，目前不创建业务工程。Java包名候选为com.huiyan.platform，最终由G00固定。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慧眼智检-原生原型/              保留原型与对照资源</w:t>
      </w:r>
    </w:p>
    <w:p>
      <w:pPr>
        <w:keepNext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apps/web/src/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shell/                       M10导航与展示基础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features/m01-catalog/         M01页面、表单、客户端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features/m02-tasks/           其他模块按相同方式组织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composition/                 跨模块页面的展示装配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generated/                   根据契约生成的类型</w:t>
      </w:r>
    </w:p>
    <w:p>
      <w:pPr>
        <w:keepNext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apps/platform/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pom.xml  mvnw  mvnw.cmd</w:t>
      </w:r>
    </w:p>
    <w:p>
      <w:pPr>
        <w:keepNext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src/main/java/com/huiyan/platform/</w:t>
      </w:r>
    </w:p>
    <w:p>
      <w:pPr>
        <w:keepNext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modules/m01catalog/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  api/                     对外接口与DTO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  application/             用例与事务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  domain/                  纯业务规则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  infrastructure/          本模块SQL与仓储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  presentation/            HTTP入口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  composition/queries/       只读页面组合接口</w:t>
      </w:r>
    </w:p>
    <w:p>
      <w:pPr>
        <w:keepNext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 xml:space="preserve">  src/main/resources/db/migration/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apps/device-edge/              仅首接设备确有需要时建立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adapters/inspur/               浪潮协议适配，按实际部署方式建立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contracts/openapi/             HTTP契约与样例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contracts/events/              事件及设备上传契约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tools/fixtures/                隔离测试数据与协议模拟器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tests/e2e/pages/               以Pxx命名的浏览器用例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docs/pages/                    每页工作包及提测证据</w:t>
      </w:r>
    </w:p>
    <w:p>
      <w:pPr>
        <w:keepNext w:val="0"/>
        <w:spacing w:after="0" w:line="240" w:lineRule="auto"/>
      </w:pPr>
      <w:r>
        <w:rPr>
          <w:rFonts w:ascii="Consolas" w:hAnsi="Consolas" w:eastAsia="Microsoft YaHei"/>
          <w:color w:val="000000"/>
          <w:sz w:val="18"/>
        </w:rPr>
        <w:t>deploy/                        经验证的启动、备份和升级材料</w:t>
      </w:r>
    </w:p>
    <w:p>
      <w:r>
        <w:rPr>
          <w:rFonts w:ascii="Arial" w:hAnsi="Arial" w:eastAsia="Microsoft YaHei"/>
          <w:b w:val="0"/>
          <w:color w:val="000000"/>
        </w:rPr>
        <w:t>每页指定一名</w:t>
      </w:r>
      <w:r>
        <w:rPr>
          <w:rFonts w:ascii="Arial" w:hAnsi="Arial" w:eastAsia="Microsoft YaHei"/>
          <w:b/>
          <w:color w:val="000000"/>
        </w:rPr>
        <w:t>主责开发人员</w:t>
      </w:r>
      <w:r>
        <w:rPr>
          <w:rFonts w:ascii="Arial" w:hAnsi="Arial" w:eastAsia="Microsoft YaHei"/>
          <w:b w:val="0"/>
          <w:color w:val="000000"/>
        </w:rPr>
        <w:t>，负责协调该页前端、必要接口、所属表迁移、测试数据及浏览器验证。可由一人全部完成，也可由其他开发协作；不再把“前端做完、后端未接”计为页面业务提测完成。</w:t>
      </w:r>
    </w:p>
    <w:p>
      <w:r>
        <w:rPr>
          <w:rFonts w:ascii="Arial" w:hAnsi="Arial" w:eastAsia="Microsoft YaHei"/>
          <w:b w:val="0"/>
          <w:color w:val="000000"/>
        </w:rPr>
        <w:t>一个A会话实现一个页面工作包，允许修改任务卡明确列出的多个</w:t>
      </w:r>
      <w:r>
        <w:rPr>
          <w:rFonts w:ascii="Arial" w:hAnsi="Arial" w:eastAsia="Microsoft YaHei"/>
          <w:b/>
          <w:color w:val="000000"/>
        </w:rPr>
        <w:t>未冻结模块的必要增量</w:t>
      </w:r>
      <w:r>
        <w:rPr>
          <w:rFonts w:ascii="Arial" w:hAnsi="Arial" w:eastAsia="Microsoft YaHei"/>
          <w:b w:val="0"/>
          <w:color w:val="000000"/>
        </w:rPr>
        <w:t>，但所有代码仍放回所属模块。跨模块调用只走第03份文档的公开接口，不跨表SQL。页面需要M01档案与M04状态时，分别实现或调用各自能力，再由只读组合接口组装。</w:t>
      </w:r>
    </w:p>
    <w:p>
      <w:r>
        <w:rPr>
          <w:rFonts w:ascii="Arial" w:hAnsi="Arial" w:eastAsia="Microsoft YaHei"/>
          <w:b w:val="0"/>
          <w:color w:val="000000"/>
        </w:rPr>
        <w:t>已验收行为、路径和契约按交付子范围冻结，模块剩余范围继续开发。发现已验收页面缺陷交B会话；后续页需要扩展冻结接口时先由C形成兼容变更方案和独立工作包。C继续设计下一页。页面拆分不允许把修旧Bug和新业务混入同一个会话。</w:t>
      </w:r>
    </w:p>
    <w:p>
      <w:r>
        <w:rPr>
          <w:rFonts w:ascii="Arial" w:hAnsi="Arial" w:eastAsia="Microsoft YaHei"/>
          <w:b w:val="0"/>
          <w:color w:val="000000"/>
        </w:rPr>
        <w:t>统筹开发管理依赖锁、路由装配、OpenAPI入口、迁移序号和共享组件。页面任务卡可以明确授权这些共享路径；并行开发使用独立工作目录，按已集成提交起步。无需为11个逻辑模块建立11个工程。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四 数据接口与运行方案</w:t>
      </w:r>
    </w:p>
    <w:p>
      <w:r>
        <w:rPr>
          <w:rFonts w:ascii="Arial" w:hAnsi="Arial" w:eastAsia="Microsoft YaHei"/>
          <w:b/>
          <w:color w:val="000000"/>
        </w:rPr>
        <w:t>业务数据。</w:t>
      </w:r>
      <w:r>
        <w:rPr>
          <w:rFonts w:ascii="Arial" w:hAnsi="Arial" w:eastAsia="Microsoft YaHei"/>
          <w:b w:val="0"/>
          <w:color w:val="000000"/>
        </w:rPr>
        <w:t xml:space="preserve"> PostgreSQL保存业务表与原始测量。ID建议UUID，时间用timestamptz并另存来源时区信息，金额以外的测量也使用BigDecimal和numeric；JSON十进制以字符串传输。质量判断在服务端或批准的设备端完成，前端只格式化显示。规则快照、原始记录、处置和审计各自保留版本。</w:t>
      </w:r>
    </w:p>
    <w:p>
      <w:r>
        <w:rPr>
          <w:rFonts w:ascii="Arial" w:hAnsi="Arial" w:eastAsia="Microsoft YaHei"/>
          <w:b/>
          <w:color w:val="000000"/>
        </w:rPr>
        <w:t>迁移。</w:t>
      </w:r>
      <w:r>
        <w:rPr>
          <w:rFonts w:ascii="Arial" w:hAnsi="Arial" w:eastAsia="Microsoft YaHei"/>
          <w:b w:val="0"/>
          <w:color w:val="000000"/>
        </w:rPr>
        <w:t xml:space="preserve"> Flyway管理增量SQL，文件名建议V202610100001__m01_catalog.sql，序号由统筹登记；已执行迁移不原地改写。不启动全量建表，仅建立当前页与基础能力需要的表。首次初始化、已有库升级、失败恢复分别验证；破坏性迁移另评审，恢复说明不能只写“回滚Git”。</w:t>
      </w:r>
    </w:p>
    <w:p>
      <w:r>
        <w:rPr>
          <w:rFonts w:ascii="Arial" w:hAnsi="Arial" w:eastAsia="Microsoft YaHei"/>
          <w:b/>
          <w:color w:val="000000"/>
        </w:rPr>
        <w:t>登录与权限。</w:t>
      </w:r>
      <w:r>
        <w:rPr>
          <w:rFonts w:ascii="Arial" w:hAnsi="Arial" w:eastAsia="Microsoft YaHei"/>
          <w:b w:val="0"/>
          <w:color w:val="000000"/>
        </w:rPr>
        <w:t xml:space="preserve"> 首期推荐本地账号、Spring Security、服务端会话，使用HttpOnly会话Cookie，生产HTTPS设置Secure与适当SameSite，写请求校验CSRF。推荐Spring Session JDBC保存会话，不为会话单独引入Redis。用户名、动作和工厂范围由后端校验。设备采用独立、可撤销且限定设备范围的凭据；不得混用人员会话或把明文密钥写入仓库。企业SSO如必需，在P01编码前替换方案。</w:t>
      </w:r>
    </w:p>
    <w:p>
      <w:r>
        <w:rPr>
          <w:rFonts w:ascii="Arial" w:hAnsi="Arial" w:eastAsia="Microsoft YaHei"/>
          <w:b/>
          <w:color w:val="000000"/>
        </w:rPr>
        <w:t>跨模块与事件。</w:t>
      </w:r>
      <w:r>
        <w:rPr>
          <w:rFonts w:ascii="Arial" w:hAnsi="Arial" w:eastAsia="Microsoft YaHei"/>
          <w:b w:val="0"/>
          <w:color w:val="000000"/>
        </w:rPr>
        <w:t xml:space="preserve"> 普通调用用同进程公开接口；测量落库与本模块outbox同事务，后台任务投递，消费者按事件ID去重。首轮不引入Kafka或RabbitMQ。接收持久化完成后才回成功，重发保持稳定键。MES未接入时相关块隐藏或标未开通，不能显示模拟成功。</w:t>
      </w:r>
    </w:p>
    <w:p>
      <w:r>
        <w:rPr>
          <w:rFonts w:ascii="Arial" w:hAnsi="Arial" w:eastAsia="Microsoft YaHei"/>
          <w:b/>
          <w:color w:val="000000"/>
        </w:rPr>
        <w:t>实时与历史。</w:t>
      </w:r>
      <w:r>
        <w:rPr>
          <w:rFonts w:ascii="Arial" w:hAnsi="Arial" w:eastAsia="Microsoft YaHei"/>
          <w:b w:val="0"/>
          <w:color w:val="000000"/>
        </w:rPr>
        <w:t xml:space="preserve"> 首轮推荐受控轮询，页面刷新间隔初值可设1秒供内部试验，正式目标待容量确认。设备采样频率、上传频率与页面刷新频率分别配置；不能把每秒一帧理解成每秒一条测量。趋势限制时间窗与点数，缩放查更细数据；原始记录及异常点仍可追溯。测量按设备/任务/时间建立索引；是否分区在容量评估后决定，不凭页面曲线数量估存储。</w:t>
      </w:r>
    </w:p>
    <w:p>
      <w:r>
        <w:rPr>
          <w:rFonts w:ascii="Arial" w:hAnsi="Arial" w:eastAsia="Microsoft YaHei"/>
          <w:b/>
          <w:color w:val="000000"/>
        </w:rPr>
        <w:t>容量估算。</w:t>
      </w:r>
      <w:r>
        <w:rPr>
          <w:rFonts w:ascii="Arial" w:hAnsi="Arial" w:eastAsia="Microsoft YaHei"/>
          <w:b w:val="0"/>
          <w:color w:val="000000"/>
        </w:rPr>
        <w:t xml:space="preserve"> 日记录数＝设备数×每设备实际入库频率×每日运行秒数；磁盘需加上多指标行、索引、事务日志、图像和备份。开发提交实测单条成本与余量，不把未计图像的粗算当采购配置。超时、数据陈旧、补传积压和磁盘不足必须可观察。</w:t>
      </w:r>
    </w:p>
    <w:p>
      <w:r>
        <w:rPr>
          <w:rFonts w:ascii="Arial" w:hAnsi="Arial" w:eastAsia="Microsoft YaHei"/>
          <w:b/>
          <w:color w:val="000000"/>
        </w:rPr>
        <w:t>文件。</w:t>
      </w:r>
      <w:r>
        <w:rPr>
          <w:rFonts w:ascii="Arial" w:hAnsi="Arial" w:eastAsia="Microsoft YaHei"/>
          <w:b w:val="0"/>
          <w:color w:val="000000"/>
        </w:rPr>
        <w:t xml:space="preserve"> 首轮附件用独立持久化目录加数据库元数据、摘要与授权下载；应用更新不能覆盖附件目录。需要多实例或独立对象存储时再评估，不把MinIO列成开工必需依赖。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五 环境部署与交付</w:t>
      </w:r>
    </w:p>
    <w:p>
      <w:r>
        <w:rPr>
          <w:rFonts w:ascii="Arial" w:hAnsi="Arial" w:eastAsia="Microsoft YaHei"/>
          <w:b w:val="0"/>
          <w:color w:val="000000"/>
        </w:rPr>
        <w:t>开发环境支持现有Windows。正式部署优先建议客户允许的Linux LTS服务器，前端静态资源经反向代理访问同源API；后端JAR和PostgreSQL分别运行。若客户只允许Windows，采用JAR与经批准的服务管理方式，另验证开机启动和离线升级。Docker Compose作为允许容器环境的可选交付方式，不作为开发人员必须安装的前提。</w:t>
      </w:r>
    </w:p>
    <w:p>
      <w:r>
        <w:rPr>
          <w:rFonts w:ascii="Arial" w:hAnsi="Arial" w:eastAsia="Microsoft YaHei"/>
          <w:b w:val="0"/>
          <w:color w:val="000000"/>
        </w:rPr>
        <w:t>建议开发端口为前端5173、API 8080、数据库5432；这些只是候选值，G00先检查占用，不停止其他项目。原型4174继续独立。测试与生产通过配置覆盖地址、端口、时区和存储目录，所有凭据走外部配置；不写死在页面。</w:t>
      </w:r>
    </w:p>
    <w:p>
      <w:r>
        <w:rPr>
          <w:rFonts w:ascii="Arial" w:hAnsi="Arial" w:eastAsia="Microsoft YaHei"/>
          <w:b w:val="0"/>
          <w:color w:val="000000"/>
        </w:rPr>
        <w:t>现场包包含前端静态文件、可运行JAR、迁移、依赖与版本清单、配置样例、启动停止和恢复说明。图标、图表库和字体随包交付，不依赖现场能访问公共CDN。无外网时，构建端预备依赖和安装包，验证断外网启动。记录服务健康、数据库连接、采集积压、构建版本与请求追踪号。</w:t>
      </w:r>
    </w:p>
    <w:p>
      <w:r>
        <w:rPr>
          <w:rFonts w:ascii="Arial" w:hAnsi="Arial" w:eastAsia="Microsoft YaHei"/>
          <w:b w:val="0"/>
          <w:color w:val="000000"/>
        </w:rPr>
        <w:t>备份覆盖数据库、附件及必要配置；测试恢复到隔离环境并核对任务—测量—报警关联。恢复点与恢复时间由确认项R01-Q07约定。本轮不承诺高可用集群、无限历史或既定毫秒延迟。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六 三个基础工作包</w:t>
      </w:r>
    </w:p>
    <w:p>
      <w:r>
        <w:rPr>
          <w:rFonts w:ascii="Arial" w:hAnsi="Arial" w:eastAsia="Microsoft YaHei"/>
          <w:b w:val="0"/>
          <w:color w:val="000000"/>
        </w:rPr>
        <w:t>基础包只有无法归到单页的共用设施。每包指定一名开发主责；它们不要求先做完整M00—M10。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7"/>
        <w:gridCol w:w="2551"/>
        <w:gridCol w:w="3266"/>
        <w:gridCol w:w="2551"/>
      </w:tblGrid>
      <w:tr>
        <w:trPr>
          <w:cantSplit/>
          <w:tblHeader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包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负责什么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交付什么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怎么验收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 最小工程底座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依赖兼容、目录、响应/异常、数据库迁移、身份接口骨架、页面测试框架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最小可启动前后端、版本锁、健康检查、隔离测试库、配置样例和实跑命令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干净环境安装构建；vue-tsc通过；Maven验证通过；真实PostgreSQL迁移及重启可查；一个测试页浏览器用例可执行。生产登录行为由P01交付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G01 设备契约模拟与接收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M04真实接收/查询/心跳、outbox；协议模拟器和稳定样本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明确标SIMULATED的可重放数据、正常/超限/无效/重复/乱序/断线场景、任务绑定回执模拟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走真实API与数据库；重复不多存、同键异内容冲突、重启可查、任务不串盘；不能用浏览器数组代替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 首接真机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首接M08或M09协议适配、断线恢复、安装与现场配置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真实样本、配置、端侧版本、对账与缺口说明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与设备原始输出核对；按实际能力验证缓存和补传。模拟通过不关闭真机验收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G01可先使用带来源标识的任务测试夹具和已批准的上传Schema，不依赖P08页面完成；它不会制造正式生产任务。P08依赖G01的真实接收能力，避免互相等待。G02依赖已锁定上传契约、协议与样机，不阻塞P09等纯档案页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七 逐页开发与测试制度</w:t>
      </w:r>
    </w:p>
    <w:p>
      <w:r>
        <w:rPr>
          <w:rFonts w:ascii="Arial" w:hAnsi="Arial" w:eastAsia="Microsoft YaHei"/>
          <w:b w:val="0"/>
          <w:color w:val="000000"/>
        </w:rPr>
        <w:t>完整27页清单、依赖和</w:t>
      </w:r>
      <w:r>
        <w:rPr>
          <w:rFonts w:ascii="Arial" w:hAnsi="Arial" w:eastAsia="Microsoft YaHei"/>
          <w:b/>
          <w:color w:val="000000"/>
        </w:rPr>
        <w:t>当前可测试状态的唯一登记处</w:t>
      </w:r>
      <w:r>
        <w:rPr>
          <w:rFonts w:ascii="Arial" w:hAnsi="Arial" w:eastAsia="Microsoft YaHei"/>
          <w:b w:val="0"/>
          <w:color w:val="000000"/>
        </w:rPr>
        <w:t xml:space="preserve">为 </w:t>
      </w:r>
      <w:hyperlink r:id="rId23">
        <w:r>
          <w:rPr>
            <w:rFonts w:ascii="Arial" w:hAnsi="Arial" w:eastAsia="Microsoft YaHei"/>
            <w:color w:val="245A81"/>
          </w:rPr>
          <w:t>页面开发与测试台账</w:t>
        </w:r>
      </w:hyperlink>
      <w:r>
        <w:rPr>
          <w:rFonts w:ascii="Arial" w:hAnsi="Arial" w:eastAsia="Microsoft YaHei"/>
          <w:b w:val="0"/>
          <w:color w:val="000000"/>
        </w:rPr>
        <w:t>。第07份回答“页面有哪些内容”，第12份回答“哪页现在能测、测到哪一级”。</w:t>
      </w:r>
    </w:p>
    <w:p>
      <w:r>
        <w:rPr>
          <w:rFonts w:ascii="Arial" w:hAnsi="Arial" w:eastAsia="Microsoft YaHei"/>
          <w:b w:val="0"/>
          <w:color w:val="000000"/>
        </w:rPr>
        <w:t>每页经历：设计可评审→设计批准→开发中→指定模式可提测→开发自测通过→开发复核→该子范围验收。可提测不等于测试通过，模拟业务通过不等于真机通过。无独立开发复核时明确写“单人自测”。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7"/>
        <w:gridCol w:w="2551"/>
        <w:gridCol w:w="3266"/>
        <w:gridCol w:w="2551"/>
      </w:tblGrid>
      <w:tr>
        <w:trPr>
          <w:cantSplit/>
          <w:tblHeader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测试模式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测试连接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能证明什么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UI 界面模拟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Vue页＋MSW模拟接口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表单、按钮、导航、空态、错误、冲突提示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后端权限、落库、事务和真机能力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API 业务测试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Vue页＋真实API＋PostgreSQL；设备可用G01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页面业务保存、查询、后端权限、并发及重启持久化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真实设备测量正确和厂商协议能力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HW 真机测试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API环境＋真实适配器与设备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实际采集、身份绑定、有效码、时间、断线恢复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尚未测试的其他型号、其他检测项目或客户MES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API/HW测试启动时禁止加载MSW和原型回退数据，失败必须暴露；测试环境抬头显示来源与构建号。UI测试使用明确的SIMULATED夹具，不能导出正式质量报告。后续MES另设客户联调证据，不以HW标签代替。</w:t>
      </w:r>
    </w:p>
    <w:p>
      <w:r>
        <w:rPr>
          <w:rFonts w:ascii="Arial" w:hAnsi="Arial" w:eastAsia="Microsoft YaHei"/>
          <w:b w:val="0"/>
          <w:color w:val="000000"/>
        </w:rPr>
        <w:t>Playwright按ui-mock、api、hardware分项目或标签，单页用例按Pxx命名；MSW用于网络层模拟，两者能力说明见</w:t>
      </w:r>
      <w:hyperlink r:id="rId24">
        <w:r>
          <w:rPr>
            <w:rFonts w:ascii="Arial" w:hAnsi="Arial" w:eastAsia="Microsoft YaHei"/>
            <w:color w:val="245A81"/>
          </w:rPr>
          <w:t>Playwright项目</w:t>
        </w:r>
      </w:hyperlink>
      <w:r>
        <w:rPr>
          <w:rFonts w:ascii="Arial" w:hAnsi="Arial" w:eastAsia="Microsoft YaHei"/>
          <w:b w:val="0"/>
          <w:color w:val="000000"/>
        </w:rPr>
        <w:t>、</w:t>
      </w:r>
      <w:hyperlink r:id="rId25">
        <w:r>
          <w:rPr>
            <w:rFonts w:ascii="Arial" w:hAnsi="Arial" w:eastAsia="Microsoft YaHei"/>
            <w:color w:val="245A81"/>
          </w:rPr>
          <w:t>MSW文档</w:t>
        </w:r>
      </w:hyperlink>
      <w:r>
        <w:rPr>
          <w:rFonts w:ascii="Arial" w:hAnsi="Arial" w:eastAsia="Microsoft YaHei"/>
          <w:b w:val="0"/>
          <w:color w:val="000000"/>
        </w:rPr>
        <w:t>。计划命令如npx playwright test tests/e2e/pages/P09.spec.ts --project=api，</w:t>
      </w:r>
      <w:r>
        <w:rPr>
          <w:rFonts w:ascii="Arial" w:hAnsi="Arial" w:eastAsia="Microsoft YaHei"/>
          <w:b/>
          <w:color w:val="000000"/>
        </w:rPr>
        <w:t>当前脚本尚未建立，G00负责实现并写入实际README</w:t>
      </w:r>
      <w:r>
        <w:rPr>
          <w:rFonts w:ascii="Arial" w:hAnsi="Arial" w:eastAsia="Microsoft YaHei"/>
          <w:b w:val="0"/>
          <w:color w:val="000000"/>
        </w:rPr>
        <w:t>。</w:t>
      </w:r>
    </w:p>
    <w:p>
      <w:r>
        <w:rPr>
          <w:rFonts w:ascii="Arial" w:hAnsi="Arial" w:eastAsia="Microsoft YaHei"/>
          <w:b w:val="0"/>
          <w:color w:val="000000"/>
        </w:rPr>
        <w:t>后端重点测试规则边界、唯一性、事务、权限和去重；数据库集成使用真实PostgreSQL测试库，有容器条件时可使用Testcontainers，不用H2通过代替PostgreSQL验证。每页至少有真实浏览器正常闭环和关键失败路径；截图只能说明某时刻画面。</w:t>
      </w:r>
    </w:p>
    <w:p>
      <w:r>
        <w:rPr>
          <w:rFonts w:ascii="Arial" w:hAnsi="Arial" w:eastAsia="Microsoft YaHei"/>
          <w:b w:val="0"/>
          <w:color w:val="000000"/>
        </w:rPr>
        <w:t>建议第一批顺序：G00→P01登录→P09规格；P21设备档案、P18指标配置可随后开展；P19配方→P07创建任务→P08任务执行→选中的一个检测页及P10历史→P13/P14报警→P03实时总览→P02工作台。P25用户、P26审计在P01后按人力穿插。总览依赖多个来源，放在基础页面之后更容易真实提测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八 需要项目负责人确认的事项</w:t>
      </w:r>
    </w:p>
    <w:p>
      <w:r>
        <w:rPr>
          <w:rFonts w:ascii="Arial" w:hAnsi="Arial" w:eastAsia="Microsoft YaHei"/>
          <w:b w:val="0"/>
          <w:color w:val="000000"/>
        </w:rPr>
        <w:t>下面为单独的决策清单。技术细节由开发给出验证证据，项目负责人确认方向、范围和条件。当前均未因文档生成而关闭；已明确的“通用技术栈、逐页开发测试”不重复询问。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27"/>
        <w:gridCol w:w="4388"/>
        <w:gridCol w:w="2857"/>
        <w:gridCol w:w="1633"/>
      </w:tblGrid>
      <w:tr>
        <w:trPr>
          <w:cantSplit/>
          <w:tblHeader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建议与待确认内容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最迟影响点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与既有决策对应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R01-Q01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是否采用本方案Java＋Vue＋PostgreSQL与模块化单体；由开发完成候选版本兼容验证后锁定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G00初始化前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C04／T01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R01-Q02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客户服务器是Linux还是仅Windows；能否用容器、是否离线、是否有强制数据库或浏览器要求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G00环境与部署基线；协议库在G02前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C04／T06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R01-Q03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首轮是否按第12份范围；交付要求含真机还是先模拟阶段；主责开发姓名、复核安排、目标日期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分配实施包和给出工期前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C01／T08、T09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R01-Q04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首接搭盖率、间隙或不圆度哪一类；供应方何时提供协议、样报文、SDK和实机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G02及HW提测前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C02／T02、T03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R01-Q05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正式规格目录、测量方法与黄金样本；工单盘号/计米/任务切换；报警合并、处理复核规则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对应页正式规则编码或真实判定前，不一刀切阻塞所有页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C03、C05、C07／T04、T10、T12、T13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R01-Q06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本地账号是否足够；谁能建档/批准配方/结束任务/处理及复核；工厂范围、处理复核是否分人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P01及相关写操作前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C06／T01、T08</w:t>
            </w:r>
          </w:p>
        </w:tc>
      </w:tr>
      <w:tr>
        <w:trPr>
          <w:cantSplit/>
        </w:trPr>
        <w:tc>
          <w:tcPr>
            <w:tcW w:type="dxa" w:w="132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R01-Q07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设备台数、入库频率、并发人数、可接受延迟、保留周期、图像量、备份恢复目标</w:t>
            </w:r>
          </w:p>
        </w:tc>
        <w:tc>
          <w:tcPr>
            <w:tcW w:type="dxa" w:w="285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G01容量设计、G02负载和交付验收前</w:t>
            </w:r>
          </w:p>
        </w:tc>
        <w:tc>
          <w:tcPr>
            <w:tcW w:type="dxa" w:w="163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C08／T06、T13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本文R01-Q01—R01-Q07是负责人确认编号，与第05份查询契约Q01—Q12不同，引用时保留R01前缀。</w:t>
      </w:r>
    </w:p>
    <w:p>
      <w:r>
        <w:rPr>
          <w:rFonts w:ascii="Arial" w:hAnsi="Arial" w:eastAsia="Microsoft YaHei"/>
          <w:b w:val="0"/>
          <w:color w:val="000000"/>
        </w:rPr>
        <w:t>确认记录格式：编号、结论、确认人、日期、依据、受影响页面或基础包。对于R01-Q05/R01-Q07，负责人协调提供业务输入，开发整理样例和测量方案；不要求负责人自己选择SQL库或填写技术实现细节。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九 本次R01完成范围</w:t>
      </w:r>
    </w:p>
    <w:p>
      <w:r>
        <w:rPr>
          <w:rFonts w:ascii="Arial" w:hAnsi="Arial" w:eastAsia="Microsoft YaHei"/>
          <w:b w:val="0"/>
          <w:color w:val="000000"/>
        </w:rPr>
        <w:t>已完成推荐技术方案、候选版本、工程与部署设计、页面派工规则、27页提测台账及P09样例任务卡。版本兼容性只做了文档/元数据核对，尚未安装构建；真实协议、物理DDL、完整OpenAPI、实际人员排期、规则批准与运行验收仍未完成。</w:t>
      </w:r>
    </w:p>
    <w:p>
      <w:r>
        <w:rPr>
          <w:rFonts w:ascii="Arial" w:hAnsi="Arial" w:eastAsia="Microsoft YaHei"/>
          <w:b w:val="0"/>
          <w:color w:val="000000"/>
        </w:rPr>
        <w:t>下一步为确认R01-Q01—R01-Q03及P01所需R01-Q06，由指定开发实施G00，再逐页交付。R01登记为“方案已产出，待确认与认领”，不能标“工程已完成”。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000000"/>
        <w:sz w:val="16"/>
      </w:rPr>
      <w:t xml:space="preserve">待评审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000000"/>
        <w:sz w:val="16"/>
      </w:rPr>
      <w:t>慧眼智检  R01 技术选型与工程方案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Microsoft YaHei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Microsoft YaHe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Microsoft YaHe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Microsoft YaHe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Microsoft YaHe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Microsoft YaHe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Microsoft YaHe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Microsoft YaHe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Microsoft YaHe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Microsoft YaHe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Microsoft YaHe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Microsoft YaHe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Microsoft YaHe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uejs.org/guide/typescript/overview" TargetMode="External"/><Relationship Id="rId12" Type="http://schemas.openxmlformats.org/officeDocument/2006/relationships/hyperlink" Target="https://element-plus.org/en-US/guide/installation.html" TargetMode="External"/><Relationship Id="rId13" Type="http://schemas.openxmlformats.org/officeDocument/2006/relationships/hyperlink" Target="https://docs.spring.io/spring-boot/system-requirements.html" TargetMode="External"/><Relationship Id="rId14" Type="http://schemas.openxmlformats.org/officeDocument/2006/relationships/hyperlink" Target="https://mybatis.org/spring-boot-starter/mybatis-spring-boot-autoconfigure/" TargetMode="External"/><Relationship Id="rId15" Type="http://schemas.openxmlformats.org/officeDocument/2006/relationships/hyperlink" Target="https://maven.apache.org/download.cgi" TargetMode="External"/><Relationship Id="rId16" Type="http://schemas.openxmlformats.org/officeDocument/2006/relationships/hyperlink" Target="https://github.com/adoptium/temurin21-binaries/releases/tag/jdk-21.0.12.1%2B1" TargetMode="External"/><Relationship Id="rId17" Type="http://schemas.openxmlformats.org/officeDocument/2006/relationships/hyperlink" Target="https://www.postgresql.org/support/versioning/" TargetMode="External"/><Relationship Id="rId18" Type="http://schemas.openxmlformats.org/officeDocument/2006/relationships/hyperlink" Target="https://nodejs.org/en/download" TargetMode="External"/><Relationship Id="rId19" Type="http://schemas.openxmlformats.org/officeDocument/2006/relationships/hyperlink" Target="https://registry.npmjs.org/vue/3.5.43" TargetMode="External"/><Relationship Id="rId20" Type="http://schemas.openxmlformats.org/officeDocument/2006/relationships/hyperlink" Target="https://registry.npmjs.org/vite/8.3.4" TargetMode="External"/><Relationship Id="rId21" Type="http://schemas.openxmlformats.org/officeDocument/2006/relationships/hyperlink" Target="https://registry.npmjs.org/typescript/5.9.3" TargetMode="External"/><Relationship Id="rId22" Type="http://schemas.openxmlformats.org/officeDocument/2006/relationships/hyperlink" Target="https://registry.npmjs.org/openapi-typescript/7.13.0" TargetMode="External"/><Relationship Id="rId23" Type="http://schemas.openxmlformats.org/officeDocument/2006/relationships/hyperlink" Target="file:///E:/huiyanzhijian/docs/12_%E9%A1%B5%E9%9D%A2%E5%BC%80%E5%8F%91%E4%B8%8E%E6%B5%8B%E8%AF%95%E5%8F%B0%E8%B4%A6.md" TargetMode="External"/><Relationship Id="rId24" Type="http://schemas.openxmlformats.org/officeDocument/2006/relationships/hyperlink" Target="https://playwright.dev/docs/test-projects" TargetMode="External"/><Relationship Id="rId25" Type="http://schemas.openxmlformats.org/officeDocument/2006/relationships/hyperlink" Target="https://mswjs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R01 技术选型与工程方案</dc:title>
  <dc:subject/>
  <dc:creator>慧眼智检项目文档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