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China has already used export controls on these materials; its current pause on those controls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 a gap that planning and control software can close without a new plant.</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since the US relies fully on imports for 16 critical minerals (USGS). </w:t>
      </w:r>
      <w:r>
        <w:rPr/>
        <w:t xml:space="preserve">New mines are needed for batteries, magnets and the grid, and AI combined with cheaper drilling and faster lab testing lowers the cost of checking each target. The major miners are paying for these new methods through their venture arms, which shows that buyers for the work exist.</w:t>
      </w:r>
    </w:p>
    <w:p>
      <w:pPr>
        <w:pStyle w:val="ListParagraph"/>
        <w:numPr>
          <w:ilvl w:val="0"/>
          <w:numId w:val="3"/>
        </w:numPr>
        <w:spacing w:after="60"/>
      </w:pPr>
      <w:r>
        <w:rPr>
          <w:b/>
        </w:rPr>
        <w:t xml:space="preserve">Headwinds: Most exploration projects never become producing mines, and the few that do take 15 to 19 years. </w:t>
      </w:r>
      <w:r>
        <w:rPr/>
        <w:t xml:space="preserve">By one estimate only about 0.5% of exploration projects succeed (claim), and the wait is long, since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pays staged cash and shares and funds the drilling to earn 51-70% of the project. The explorer keeps a minority stake or a royalty, usually a net smelter return (NSR) of 1-3% of metal sales after transport, and the miner can often buy part of that royalty back at a fixed price (industry option terms). A royalty pays only once someone else has built the mine and it is producing. An explorer that keeps the mine must raise billions, since a new underground copper mine can cost over $2B (Ecofin), and then wait 15 to 19 years for production. In both cases the return is too small, arrives too late or needs too much capital to justify an early equity investment. Selling exploration software to miners has not solved this, and Earth AI says 80 software pilots it ran with miners did not turn into recurring revenue (claim).</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 </w:t>
      </w:r>
      <w:r>
        <w:rPr/>
        <w:t xml:space="preserve">China has already used export controls on these materials, which showed buyers the risk of depending on it. Drones, missiles, motors, EVs and data centers all depend on that supply, so defense and auto buyers will pay for a non-Chinese source and sign long purchase contracts to secure it. Pentagon loans and 10-year purchase commitments with price floors add to that demand.</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Foreign enrichers supplied about 77% of the enrichment bought by US reactor operators in 2025, and Russia alone supplied about 26% (EIA).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on DOE-leased land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and they sell against Chinese prices. </w:t>
      </w:r>
      <w:r>
        <w:rPr/>
        <w:t xml:space="preserve">Chinese refineries take about 6 months to commission, against 2 to 4 years in the West. A Western plant takes about 5 years to build and another 3 to 5 to ramp after permits (claim), and it costs hundreds of millions of dollars before it earns revenue. Prices for many of these materials are set in China, so a US producer competes against Chinese costs. MP Materials, the largest US rare-earth producer, lost $85.9M on $224.4M of revenue in 2025 (company filings).</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Because of that, demand does not depend on a tariff or a single budget cycle. New companies have a real edge here, because restarting old mines that already have permits shortens the timeline, processing scrap and mine waste avoids a new mine altogether, and AI-run process control raises yield in plants that run around the clock. The category is capital-heavy, so the companies that build here pair equity with project debt and long purchase contracts.</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Job shops want faster quotes and delivery than brokers give them, and online ordering makes that possible.</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the biggest metals service center company in North America by revenue, with $14.3B of net sales in 2025, about 310 locations and about 17% of all tons sold by US service centers (Reliance 10-K). The second largest is Ryerson, with $4.6B of net sales in 2025, which merged with Olympic Steel in February 2026 to reach about 160 facilities (Ryerson results). Distributors earn a spread on the metal plus cutting fees, and much of their cash sits in inventory, so even at Reliance's scale the pretax margin was 6.8% in 2025, and Ryerson posted a net loss. Online ordering with instant quotes already exists, so technology does little to set a new distributor apart.</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then competes on price and availability, where the incumbents are bigger. The main tailwind is the tariff, which can reverse, and a margin that exists only because of a tariff is not a sound basis for an investment.</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Reshoring and the growth of US hardware companies are creating demand for metal parts made quickly in the US. </w:t>
      </w:r>
      <w:r>
        <w:rPr/>
        <w:t xml:space="preserve">Fabrication means cutting, bending and welding metal into frames and enclosures, and assembling wire harnesses (the bundles of wires that carry power and signals through an aircraft or missile). Demand comes from defense, drones, space and energy hardware companies, and these buyers pay extra for speed. The shortage of welders and machinists favors plants that automate cutting and bending and use software for quoting, nesting (packing parts onto a sheet to cut scrap) and scheduling.</w:t>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Customers that grow often buy their own machines and take the work in-house.</w:t>
      </w:r>
    </w:p>
    <w:p>
      <w:pPr>
        <w:pStyle w:val="ListParagraph"/>
        <w:numPr>
          <w:ilvl w:val="0"/>
          <w:numId w:val="3"/>
        </w:numPr>
        <w:spacing w:after="60"/>
      </w:pPr>
      <w:r>
        <w:rPr>
          <w:b/>
        </w:rPr>
        <w:t xml:space="preserve">Why we should focus here: Fabrication plants cost far less than precision plants, so companies in this category can grow on their own revenue and reach profit early. </w:t>
      </w:r>
      <w:r>
        <w:rPr/>
        <w:t xml:space="preserve">Owned plants keep more of each sale than shops that route work to partners, and software for quoting and scheduling lets a plant handle many small orders with a small crew. Buyers that pay for speed, low capital needs and early profits make this one of the most attractive categories in the theme.</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the metal or composite parts made to very tight limits by machining, 3D printing, casting or molding that go into missiles, jets, satellites and submarines. </w:t>
      </w:r>
      <w:r>
        <w:rPr/>
        <w:t xml:space="preserve">Today the Pentagon has country-of-origin data for fewer than 10% of the lower-tier suppliers on the F-35 (GAO). Munitions and submarine budgets are rising, and purchase commitments of up to 10 years are now allowed. Primes outsource much of this work to small shops, and as many owners retire, certified capacity is coming up for sale.</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 Much of the munitions money still depends on Congress, and the largest incumbent suppliers are automating.</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which keeps the whole margin but means paying before approval, by buying certified shops from retiring owners at about seven times annual earnings (claim), by running a franchised network in which franchisees buy the machines, or by hosting cells inside a buyer's plant, which shares the cost. Each model trades some margin for less capital, and together they let new companies take share from small, slow shops that cannot keep up with defense demand.</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We limit this category to automated labs that make new molecules for drug programs. BIOSECURE, a law passed in December 2025, limits the use of certain Chinese biotech suppliers, and 79% of 124 biotechs surveyed had a China-based contract manufacturer (BIO). AI that designs molecules and robots that make them bring down the cost of doing this work in the US and Europe. 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 </w:t>
      </w:r>
      <w:r>
        <w:rPr/>
        <w:t xml:space="preserve">The category is young, labs have not disclosed revenue, and drug companies are building their own AI labs. Eli Lilly and NVIDIA plan to invest up to $1B over five years in a joint AI lab for drug discovery (Lilly and NVIDIA, January 2026).</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These labs make small batches of new molecules for drug teams at milligram-to-gram scale and do not develop their own drugs. They are paid per compound delivered, or through milestones and royalties if a molecule advances. Each lab costs tens of millions to build, but it owns the software and the reaction data, and that data improves its designs with every run.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Data centers are on track to use about 945 TWh of power by 2030, up from 415 TWh in 2024, and cooling takes 7% to over 30% of it, which creates demand for new cooling materials. A new material has typically taken 10 to 20 years and more than $100M to develop (claim), and AI design aims to shorten that.</w:t>
      </w:r>
    </w:p>
    <w:p>
      <w:pPr>
        <w:pStyle w:val="ListParagraph"/>
        <w:numPr>
          <w:ilvl w:val="0"/>
          <w:numId w:val="3"/>
        </w:numPr>
        <w:spacing w:after="60"/>
      </w:pPr>
      <w:r>
        <w:rPr>
          <w:b/>
        </w:rPr>
        <w:t xml:space="preserve">Headwinds: Customers take one to five years to qualify a new material, so revenue arrives slowly even after the material works. </w:t>
      </w:r>
      <w:r>
        <w:rPr/>
        <w:t xml:space="preserve">Owned cathode plants cost hundreds of millions of dollars and compete on Chinese prices, and Umicore's battery-materials unit lost money on €436M of revenue (company filings).</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while contract manufacturing keeps the capital need far below that of a refinery.</w:t>
      </w:r>
      <w:r>
        <w:rPr/>
        <w:t xml:space="preserve"/>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and the leading labs report making more than a thousand alloys in about six months (claim). </w:t>
      </w:r>
      <w:r>
        <w:rPr/>
        <w:t xml:space="preserve">Non-Chinese magnets and battery materials, stronger alloys for defense and better cooling for data centers all require new materials.</w:t>
      </w:r>
    </w:p>
    <w:p>
      <w:pPr>
        <w:pStyle w:val="ListParagraph"/>
        <w:numPr>
          <w:ilvl w:val="0"/>
          <w:numId w:val="3"/>
        </w:numPr>
        <w:spacing w:after="60"/>
      </w:pPr>
      <w:r>
        <w:rPr>
          <w:b/>
        </w:rPr>
        <w:t xml:space="preserve">Headwinds: These labs do not yet sell material at volume, and finding a material faster does not shorten the years customers take to qualify it. </w:t>
      </w:r>
      <w:r>
        <w:rPr/>
        <w:t xml:space="preserve">Revenue today comes from paid R&amp;D, licensing, software and government research awards of around $1M, and valuations in the category are high relative to that revenue. Investors note that materials science has not yet had its AlphaFold moment, meaning a single AI breakthrough like the model that predicted protein structures (claim).</w:t>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and about 1.9M US manufacturing jobs are projected to go unfilled by 2033 (Deloitte). </w:t>
      </w:r>
      <w:r>
        <w:rPr/>
        <w:t xml:space="preserve">The US also lags on automation, with 38,428 industrial robots installed in 2025 against 354,226 in China. Cutting machines in existing plants run only about a third of the time (FTI Consulting).</w:t>
      </w:r>
    </w:p>
    <w:p>
      <w:pPr>
        <w:pStyle w:val="ListParagraph"/>
        <w:numPr>
          <w:ilvl w:val="0"/>
          <w:numId w:val="3"/>
        </w:numPr>
        <w:spacing w:after="60"/>
      </w:pPr>
      <w:r>
        <w:rPr>
          <w:b/>
        </w:rPr>
        <w:t xml:space="preserve">Headwinds: Sales to plants are slow, and incumbent vendors bundle software with hardware they have already installed. </w:t>
      </w:r>
      <w:r>
        <w:rPr/>
        <w:t xml:space="preserve">Robots are not yet reliable enough for most factory work, since robot-learning success is 59-66% on short tasks against the 99.9% or more that a factory needs.</w:t>
      </w:r>
    </w:p>
    <w:p>
      <w:pPr>
        <w:pStyle w:val="ListParagraph"/>
        <w:numPr>
          <w:ilvl w:val="0"/>
          <w:numId w:val="3"/>
        </w:numPr>
        <w:spacing w:after="60"/>
      </w:pPr>
      <w:r>
        <w:rPr>
          <w:b/>
        </w:rPr>
        <w:t xml:space="preserve">Why we should focus here: Software and robotics companies do not have to build factories, so their capital goes into product and sales and they can grow faster than plant owners. </w:t>
      </w:r>
      <w:r>
        <w:rPr/>
        <w:t xml:space="preserve">Plant-control software can be paid on the extra output it delivers, factory software sells by subscription, and robot makers sell or rent robot cells.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