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Full-stack fabrication companies own the factory, write the software that runs it and sell the finished parts themselves, so they quote and build faster than a traditional shop and keep the whole margin on each job. </w:t>
      </w:r>
      <w:r>
        <w:rPr/>
        <w:t xml:space="preserve">The model case is 1872, a Cincinnati steel fabricator whose software turns a customer's design file into a build plan and schedule for its robots, and which says it builds "the full stack," meaning the factory, the software and the operating model as one system (1872). Fabrication here means cutting, bending and welding metal into frames and enclosures, and assembling wire harnesses (the bundles of wires that carry power and signals through an aircraft or missile), circuit boards and control panels. Defense, drone, space and energy companies buy these parts and pay extra for speed.</w:t>
      </w:r>
    </w:p>
    <w:p>
      <w:pPr>
        <w:pStyle w:val="ListParagraph"/>
        <w:numPr>
          <w:ilvl w:val="0"/>
          <w:numId w:val="3"/>
        </w:numPr>
        <w:spacing w:after="60"/>
      </w:pPr>
      <w:r>
        <w:rPr>
          <w:b/>
        </w:rPr>
        <w:t xml:space="preserve">Reshoring is bringing new assembly plants to the US, and each one needs local suppliers of frames and harnesses.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Some companies sell their robots as well as their parts, which blurs whether the value sits in the factory or in the equipment. </w:t>
      </w:r>
      <w:r>
        <w:rPr/>
        <w:t xml:space="preserve">Machina Labs is a hybrid that makes metal structures in its own plants and also places its robot cells at customer sites (Machina Labs).</w:t>
      </w:r>
    </w:p>
    <w:p>
      <w:pPr>
        <w:pStyle w:val="ListParagraph"/>
        <w:numPr>
          <w:ilvl w:val="0"/>
          <w:numId w:val="3"/>
        </w:numPr>
        <w:spacing w:after="60"/>
      </w:pPr>
      <w:r>
        <w:rPr>
          <w:b/>
        </w:rPr>
        <w:t xml:space="preserve">Why we should focus here: Full-stack fabrication plants cost far less than precision plants and keep the whole margin on each part, so companies in this category can grow on their own revenue and reach profit early. </w:t>
      </w:r>
      <w:r>
        <w:rPr/>
        <w:t xml:space="preserve">Owning the factory, the software and the customer lets a company price and schedule every job itself, and Protolabs, the closest listed comparison, keeps more margin in its own plants than on work it sends to partner shops. Buyers that pay for speed, low capital needs and early profits make this one of the most attractive categories in the theme.</w:t>
      </w:r>
    </w:p>
    <w:p>
      <w:pPr>
        <w:spacing w:after="100"/>
      </w:pPr>
      <w:r>
        <w:rPr>
          <w:b/>
        </w:rPr>
        <w:t xml:space="preserve">Example companies: </w:t>
      </w:r>
      <w:r>
        <w:rPr/>
        <w:t xml:space="preserve">1872, SendCutSend, Senra Systems, CircuitHub, Foundry Robotics, Podium Automation, Machina 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the metal or composite parts made to very tight limits by machining, 3D printing, casting or molding that go into missiles, jets, satellites and submarines. </w:t>
      </w:r>
      <w:r>
        <w:rPr/>
        <w:t xml:space="preserve">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The IEA expects China still to hold about three-quarters of cathode production in 2035, with the US and Europe together at about 10% (IEA).</w:t>
      </w:r>
    </w:p>
    <w:p>
      <w:pPr>
        <w:pStyle w:val="ListParagraph"/>
        <w:numPr>
          <w:ilvl w:val="0"/>
          <w:numId w:val="3"/>
        </w:numPr>
        <w:spacing w:after="60"/>
      </w:pPr>
      <w:r>
        <w:rPr>
          <w:b/>
        </w:rPr>
        <w:t xml:space="preserve">Data centers are on track to use about 945 TWh of power by 2030, up from 415 TWh in 2024, and cooling takes 7% to over 30% of a site's power, which creates demand for new cooling materials (IEA).</w:t>
      </w:r>
      <w:r>
        <w:rPr/>
        <w:t xml:space="preserve"/>
      </w:r>
    </w:p>
    <w:p>
      <w:pPr>
        <w:pStyle w:val="ListParagraph"/>
        <w:numPr>
          <w:ilvl w:val="0"/>
          <w:numId w:val="3"/>
        </w:numPr>
        <w:spacing w:after="60"/>
      </w:pPr>
      <w:r>
        <w:rPr>
          <w:b/>
        </w:rPr>
        <w:t xml:space="preserve">AI design aims to shorten the 10 to 20 years and more than $100M that a new material has typically taken to develop (claim).</w:t>
      </w:r>
      <w:r>
        <w:rPr/>
        <w:t xml:space="preserve"/>
      </w:r>
    </w:p>
    <w:p>
      <w:pPr>
        <w:pStyle w:val="ListParagraph"/>
        <w:numPr>
          <w:ilvl w:val="0"/>
          <w:numId w:val="3"/>
        </w:numPr>
        <w:spacing w:after="60"/>
      </w:pPr>
      <w:r>
        <w:rPr>
          <w:b/>
        </w:rPr>
        <w:t xml:space="preserve">Headwinds: Customers take one to five years to qualify a new material, so revenue arrives slowly even after the material works.</w:t>
      </w:r>
      <w:r>
        <w:rPr/>
        <w:t xml:space="preserve"/>
      </w:r>
    </w:p>
    <w:p>
      <w:pPr>
        <w:pStyle w:val="ListParagraph"/>
        <w:numPr>
          <w:ilvl w:val="0"/>
          <w:numId w:val="3"/>
        </w:numPr>
        <w:spacing w:after="60"/>
      </w:pPr>
      <w:r>
        <w:rPr>
          <w:b/>
        </w:rPr>
        <w:t xml:space="preserve">Owned cathode plants cost hundreds of millions of dollars and sell at prices set by China's surplus output. </w:t>
      </w:r>
      <w:r>
        <w:rPr/>
        <w:t xml:space="preserve">Umicore, a Belgian leader, saw its battery-materials unit lose money on €436M of revenue (company filings).</w:t>
      </w:r>
    </w:p>
    <w:p>
      <w:pPr>
        <w:pStyle w:val="ListParagraph"/>
        <w:numPr>
          <w:ilvl w:val="0"/>
          <w:numId w:val="3"/>
        </w:numPr>
        <w:spacing w:after="60"/>
      </w:pPr>
      <w:r>
        <w:rPr>
          <w:b/>
        </w:rPr>
        <w:t xml:space="preserve">US demand for some of these materials is softer than forecast as EV sales slow. </w:t>
      </w:r>
      <w:r>
        <w:rPr/>
        <w:t xml:space="preserve">The share of LFP batteries in US EVs almost halved, and makers moved capacity to grid storage (IEA).</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so the buyers for a successful discovery already exist.</w:t>
      </w:r>
      <w:r>
        <w:rPr/>
        <w:t xml:space="preserve"/>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Project Prometheus, Unlimited Industries,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