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What enterprises and the frontier labs are doing in AI agents that finish enterprise work, and which budget pays for that work</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Enterprises are adopting these agents quickly, while OpenAI, Anthropic, Microsoft and Google are moving from selling models toward selling the agents and the deployment work themselves.</w:t>
      </w:r>
    </w:p>
    <w:p>
      <w:pPr>
        <w:pStyle w:val="ListParagraph"/>
        <w:numPr>
          <w:ilvl w:val="0"/>
          <w:numId w:val="2"/>
        </w:numPr>
        <w:spacing w:after="60" w:before="120"/>
      </w:pPr>
      <w:r>
        <w:rPr>
          <w:b/>
        </w:rPr>
        <w:t xml:space="preserve">Agents that finish work get paid from labor and services budgets, which are many times bigger than software budgets and are increasingly controlled by business owners rather than IT</w:t>
      </w:r>
    </w:p>
    <w:p>
      <w:pPr>
        <w:pStyle w:val="ListParagraph"/>
        <w:numPr>
          <w:ilvl w:val="0"/>
          <w:numId w:val="3"/>
        </w:numPr>
        <w:spacing w:after="60"/>
      </w:pPr>
      <w:r>
        <w:rPr/>
        <w:t xml:space="preserve">Companies spend far more paying people and outsourcers to do their work than buying the software those people use. Sequoia estimates that six dollars go to services for every dollar spent on software (Sequoia), Felicis puts labor budgets at 35 times software budgets (Felicis), and US government data counts 17,753,430 office and administrative support workers earning a mean wage of $51,560 (BLS).</w:t>
      </w:r>
    </w:p>
    <w:p>
      <w:pPr>
        <w:pStyle w:val="ListParagraph"/>
        <w:numPr>
          <w:ilvl w:val="0"/>
          <w:numId w:val="3"/>
        </w:numPr>
        <w:spacing w:after="60"/>
      </w:pPr>
      <w:r>
        <w:rPr/>
        <w:t xml:space="preserve">Outsourcing contracts are the first part of that spending to be repriced, because agents can take over work that outsourcers bill by the hour or by the head. HFS expects agent-delivered services to become a $422 billion segment inside the outsourcing market by 2035 (HFS Research), and the Vice President of Client Services at TTEC, a contact center outsourcing company, says agents are moving the industry's billing from a price per worker to a price per use (TTEC interview).</w:t>
      </w:r>
    </w:p>
    <w:p>
      <w:pPr>
        <w:pStyle w:val="ListParagraph"/>
        <w:numPr>
          <w:ilvl w:val="0"/>
          <w:numId w:val="3"/>
        </w:numPr>
        <w:spacing w:after="60"/>
      </w:pPr>
      <w:r>
        <w:rPr/>
        <w:t xml:space="preserve">Decisions about AI spending have moved out of the information technology (IT) department and into the business units that run the work, where an agent is weighed against an outsourcer's invoice. BCG finds that AI spending doubled in a year to 3.3% of revenue and that more than 80% of it now sits outside the enterprise IT budget (BCG), and Sequoia argues that replacing an outsourcing contract with an AI provider is a simple change of vendor, while replacing headcount means reorganizing the company (Sequoia).</w:t>
      </w:r>
    </w:p>
    <w:p>
      <w:pPr>
        <w:pStyle w:val="ListParagraph"/>
        <w:numPr>
          <w:ilvl w:val="0"/>
          <w:numId w:val="2"/>
        </w:numPr>
        <w:spacing w:after="60" w:before="120"/>
      </w:pPr>
      <w:r>
        <w:rPr>
          <w:b/>
        </w:rPr>
        <w:t xml:space="preserve">Almost every big enterprise now runs agents, but few can show a return yet, and buyers still pay for AI mostly by the seat or by usage</w:t>
      </w:r>
    </w:p>
    <w:p>
      <w:pPr>
        <w:pStyle w:val="ListParagraph"/>
        <w:numPr>
          <w:ilvl w:val="0"/>
          <w:numId w:val="3"/>
        </w:numPr>
        <w:spacing w:after="60"/>
      </w:pPr>
      <w:r>
        <w:rPr/>
        <w:t xml:space="preserve">Agent use has spread across big companies quickly, both in surveys of enterprises and in the agent counts the main platforms report.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Returns lag well behind that usage, because most agents that enterprises have built still do simple, narrow and mostly supervised tasks. Only 13% of chief information officers (CIOs) report significant or transformational value from AI (Gartner), only 22% of organizations have scaled AI across multiple business units (Gartner), and Matt Garman, chief executive of Amazon Web Services, describes most enterprise agents as relatively simple and mostly non-autonomous (AWS interview).</w:t>
      </w:r>
    </w:p>
    <w:p>
      <w:pPr>
        <w:pStyle w:val="ListParagraph"/>
        <w:numPr>
          <w:ilvl w:val="0"/>
          <w:numId w:val="3"/>
        </w:numPr>
        <w:spacing w:after="60"/>
      </w:pPr>
      <w:r>
        <w:rPr/>
        <w:t xml:space="preserve">With returns still unproven, buyers distrust savings claims and keep paying the way they always have. For AI features billed separately, decision makers rank per-seat pricing first at 42.3%, ahead of consumption at 36.6% and outcome pricing at 21.1% (Futurum), and ServiceNow's finance chief says its customers are not asking for outcome pricing at all (ServiceNow earnings call). The Vice President of Operations at Health Prime, which runs billing and collections for healthcare providers, says the firm's own cost improvement from AI averages in the low double digits and he dismisses claims of savings above 20% (Health Prime interview).</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 on the strength of fast-growing enterprise revenue</w:t>
      </w:r>
    </w:p>
    <w:p>
      <w:pPr>
        <w:pStyle w:val="ListParagraph"/>
        <w:numPr>
          <w:ilvl w:val="0"/>
          <w:numId w:val="3"/>
        </w:numPr>
        <w:spacing w:after="60"/>
      </w:pPr>
      <w:r>
        <w:rPr/>
        <w:t xml:space="preserve">Businesses now account for most of the revenue at both Anthropic and OpenAI, and that revenue is growing fast. Anthropic reported revenue of $16.29 billion for the first half of 2026, up from $1.16 billion a year earlier, with most of it coming from businesses paying per use (Reuters), and OpenAI's finance chief said in August that enterprise now brings in more revenue than consumers (Unite.AI), with annualized revenue of roughly $50 billion at the end of September (Bloomberg).</w:t>
      </w:r>
    </w:p>
    <w:p>
      <w:pPr>
        <w:pStyle w:val="ListParagraph"/>
        <w:numPr>
          <w:ilvl w:val="0"/>
          <w:numId w:val="3"/>
        </w:numPr>
        <w:spacing w:after="60"/>
      </w:pPr>
      <w:r>
        <w:rPr/>
        <w:t xml:space="preserve">The software that runs agents, which agent platforms used to sell on its own,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On top of that runtime both labs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and acquisitions as well as products. OpenAI formed a majority-owned deployment company with 19 partners that took over a firm of about 150 engineers who build systems on site at customers (OpenAI), Anthropic formed a services firm with Blackstone, Hellman &amp; Friedman and Goldman Sachs aimed at mid-sized companies (Anthropic), and OpenAI's Frontier Alliances bring in BCG, McKinsey, Accenture and Capgemini to deploy its platform (OpenAI). OpenAI made 10 acquisitions of AI companies through September 29 and Anthropic made 5 (Crunchbase via Forbes).</w:t>
      </w:r>
    </w:p>
    <w:p>
      <w:pPr>
        <w:pStyle w:val="ListParagraph"/>
        <w:numPr>
          <w:ilvl w:val="0"/>
          <w:numId w:val="3"/>
        </w:numPr>
        <w:spacing w:after="60"/>
      </w:pPr>
      <w:r>
        <w:rPr/>
        <w:t xml:space="preserve">Buyers are hedging against any single lab by spreading their bets across models and keeping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2"/>
        </w:numPr>
        <w:spacing w:after="60" w:before="120"/>
      </w:pPr>
      <w:r>
        <w:rPr>
          <w:b/>
        </w:rPr>
        <w:t xml:space="preserve">The labs ship templates and tools but leave the work that needs private data, write access to core systems, a license or liability with the buyer and its service providers</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w:t>
      </w:r>
    </w:p>
    <w:p>
      <w:pPr>
        <w:pStyle w:val="ListParagraph"/>
        <w:numPr>
          <w:ilvl w:val="0"/>
          <w:numId w:val="3"/>
        </w:numPr>
        <w:spacing w:after="60"/>
      </w:pPr>
      <w:r>
        <w:rPr/>
        <w:t xml:space="preserve">The data agents work on and the people who answer for a deployment also come from outside the labs. Anthropic's finance plugins pull market data from FactSet, MSCI, S&amp;P Global and LSEG through connectors and plugins those data owners provide (Anthropic), and Cognizant is training more than 18,000 engineers to build and deploy Google's Gemini agents and says they stay accountable through architecture, engineering and last-mile deployment (CIO Dive).</w:t>
      </w:r>
    </w:p>
    <w:p>
      <w:pPr>
        <w:pStyle w:val="Heading1"/>
      </w:pPr>
      <w:r>
        <w:rPr/>
        <w:t xml:space="preserve">2. Interesting categories</w:t>
      </w:r>
    </w:p>
    <w:p>
      <w:pPr>
        <w:spacing w:after="100"/>
      </w:pPr>
      <w:r>
        <w:rPr/>
        <w:t xml:space="preserve">We split the theme into horizontal software that runs agents across a company, regulated verticals where a license or rulebook governs the work, and non-regulated verticals where the work is operational. In each category the lab moves are those OpenAI, Anthropic, Microsoft and Google made from January 2026 onward.</w:t>
      </w:r>
    </w:p>
    <w:p>
      <w:pPr>
        <w:pStyle w:val="Heading2"/>
      </w:pPr>
      <w:r>
        <w:rPr/>
        <w:t xml:space="preserve">A. Horizontal</w:t>
      </w:r>
    </w:p>
    <w:p>
      <w:pPr>
        <w:pStyle w:val="Heading3"/>
      </w:pPr>
      <w:r>
        <w:rPr/>
        <w:t xml:space="preserve">A1. Orchestration and Execution Platforms</w:t>
      </w:r>
    </w:p>
    <w:p>
      <w:pPr>
        <w:spacing w:after="100"/>
      </w:pPr>
      <w:r>
        <w:rPr>
          <w:b/>
        </w:rPr>
        <w:t xml:space="preserve">What is happening:</w:t>
      </w:r>
    </w:p>
    <w:p>
      <w:pPr>
        <w:pStyle w:val="ListParagraph"/>
        <w:numPr>
          <w:ilvl w:val="0"/>
          <w:numId w:val="3"/>
        </w:numPr>
        <w:spacing w:after="60"/>
      </w:pPr>
      <w:r>
        <w:rPr>
          <w:b/>
        </w:rPr>
        <w:t xml:space="preserve">Companies are handing agents real authority faster than they build the controls to govern them. </w:t>
      </w:r>
      <w:r>
        <w:rPr/>
        <w:t xml:space="preserve">In a BCG survey of 1,330 executives, 42% expect agents to hold real decision authority by 2030, yet only 5% have the controls in place (BCG).</w:t>
      </w:r>
    </w:p>
    <w:p>
      <w:pPr>
        <w:pStyle w:val="ListParagraph"/>
        <w:numPr>
          <w:ilvl w:val="0"/>
          <w:numId w:val="3"/>
        </w:numPr>
        <w:spacing w:after="60"/>
      </w:pPr>
      <w:r>
        <w:rPr>
          <w:b/>
        </w:rPr>
        <w:t xml:space="preserve">Custom agent systems built by outside engineers are expensive to keep running, and Gartner expects most of them to be dropped.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OpenAI, Google and Microsoft now each sell a general platform for running and governing agents across a company. </w:t>
      </w:r>
      <w:r>
        <w:rPr/>
        <w:t xml:space="preserve">OpenAI launched Frontier in February with HP, Oracle, State Farm, Thermo Fisher and Uber as first adopters (OpenAI), Google turned Vertex AI into the Gemini Enterprise Agent Platform in April (Google) and says nearly 90% of the Fortune 100 use Gemini Enterprise (Alphabet earnings call), and Microsoft charges $15 per user per month for Agent 365 to govern agents (Microsoft).</w:t>
      </w:r>
    </w:p>
    <w:p>
      <w:pPr>
        <w:pStyle w:val="ListParagraph"/>
        <w:numPr>
          <w:ilvl w:val="0"/>
          <w:numId w:val="3"/>
        </w:numPr>
        <w:spacing w:after="60"/>
      </w:pPr>
      <w:r>
        <w:rPr>
          <w:b/>
        </w:rPr>
        <w:t xml:space="preserve">How likely the labs are to absorb this: High. </w:t>
      </w:r>
      <w:r>
        <w:rPr/>
        <w:t xml:space="preserve">The labs and the big clouds already sell this layer to many of the biggest companies, as the Fortune 100 uptake of Gemini Enterprise shows, and the main limit on them is that buyers want to keep at least part of their control plane outside any single provider.</w:t>
      </w:r>
    </w:p>
    <w:p>
      <w:pPr>
        <w:spacing w:after="100"/>
      </w:pPr>
      <w:r>
        <w:rPr>
          <w:b/>
        </w:rPr>
        <w:t xml:space="preserve">Example companies: </w:t>
      </w:r>
      <w:r>
        <w:rPr/>
        <w:t xml:space="preserve">Duvo, Sycamore</w:t>
      </w:r>
    </w:p>
    <w:p>
      <w:pPr>
        <w:pStyle w:val="Heading3"/>
      </w:pPr>
      <w:r>
        <w:rPr/>
        <w:t xml:space="preserve">A2. Work Context</w:t>
      </w:r>
    </w:p>
    <w:p>
      <w:pPr>
        <w:spacing w:after="100"/>
      </w:pPr>
      <w:r>
        <w:rPr>
          <w:b/>
        </w:rPr>
        <w:t xml:space="preserve">What is happening:</w:t>
      </w:r>
    </w:p>
    <w:p>
      <w:pPr>
        <w:pStyle w:val="ListParagraph"/>
        <w:numPr>
          <w:ilvl w:val="0"/>
          <w:numId w:val="3"/>
        </w:numPr>
        <w:spacing w:after="60"/>
      </w:pPr>
      <w:r>
        <w:rPr>
          <w:b/>
        </w:rPr>
        <w:t xml:space="preserve">Enterprises expect to tailor agents to how their own business works, which requires knowledge about the company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SAP agreed in October to buy a company that maps how work gets done and plans to keep that knowledge inside its own human resources (HR) software. </w:t>
      </w:r>
      <w:r>
        <w:rPr/>
        <w:t xml:space="preserve">SAP says the acquired company is expected to become an intelligent core of its SuccessFactors HR suite (SAP).</w:t>
      </w:r>
    </w:p>
    <w:p>
      <w:pPr>
        <w:pStyle w:val="ListParagraph"/>
        <w:numPr>
          <w:ilvl w:val="0"/>
          <w:numId w:val="3"/>
        </w:numPr>
        <w:spacing w:after="60"/>
      </w:pPr>
      <w:r>
        <w:rPr>
          <w:b/>
        </w:rPr>
        <w:t xml:space="preserve">The labs now bundle company knowledge into the agent platforms they sell to enterprises. </w:t>
      </w:r>
      <w:r>
        <w:rPr/>
        <w:t xml:space="preserve">Frontier includes a business context layer that spans data warehouses, customer relationship management (CRM) systems, ticketing and internal apps (OpenAI), and Anthropic lets administrators package skills and connectors into private plugins for each team (Anthropic).</w:t>
      </w:r>
    </w:p>
    <w:p>
      <w:pPr>
        <w:pStyle w:val="ListParagraph"/>
        <w:numPr>
          <w:ilvl w:val="0"/>
          <w:numId w:val="3"/>
        </w:numPr>
        <w:spacing w:after="60"/>
      </w:pPr>
      <w:r>
        <w:rPr>
          <w:b/>
        </w:rPr>
        <w:t xml:space="preserve">Microsoft grounds its own long-running agent in its Work IQ layer and reports wide uptake among the biggest companies. </w:t>
      </w:r>
      <w:r>
        <w:rPr/>
        <w:t xml:space="preserve">Copilot Cowork, built with Anthropic, became generally available in June, runs on Work IQ and is used by over half of the Fortune 500 (Microsoft).</w:t>
      </w:r>
    </w:p>
    <w:p>
      <w:pPr>
        <w:pStyle w:val="ListParagraph"/>
        <w:numPr>
          <w:ilvl w:val="0"/>
          <w:numId w:val="3"/>
        </w:numPr>
        <w:spacing w:after="60"/>
      </w:pPr>
      <w:r>
        <w:rPr>
          <w:b/>
        </w:rPr>
        <w:t xml:space="preserve">How likely the labs are to absorb this: Medium. </w:t>
      </w:r>
      <w:r>
        <w:rPr/>
        <w:t xml:space="preserve">The labs and Microsoft bundle company knowledge for their own agents and SAP keeps what it buys inside its own suite, but no lab yet sells a knowledge layer that spans every application and serves any model.</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spacing w:after="100"/>
      </w:pPr>
      <w:r>
        <w:rPr>
          <w:b/>
        </w:rPr>
        <w:t xml:space="preserve">What is happening:</w:t>
      </w:r>
    </w:p>
    <w:p>
      <w:pPr>
        <w:pStyle w:val="ListParagraph"/>
        <w:numPr>
          <w:ilvl w:val="0"/>
          <w:numId w:val="3"/>
        </w:numPr>
        <w:spacing w:after="60"/>
      </w:pPr>
      <w:r>
        <w:rPr>
          <w:b/>
        </w:rPr>
        <w:t xml:space="preserve">Prior authorization is the step where a health insurer must approve a treatment before a doctor provides it, and it consumes a big share of staff time on both sides. </w:t>
      </w:r>
      <w:r>
        <w:rPr/>
        <w:t xml:space="preserve">Physicians report 39 prior authorization requests per physician per week and 13 hours a week of physician and staff time spent on them, and insurers running private Medicare Advantage plans received more than 50 million requests in 2023 (AMA and KFF).</w:t>
      </w:r>
    </w:p>
    <w:p>
      <w:pPr>
        <w:pStyle w:val="ListParagraph"/>
        <w:numPr>
          <w:ilvl w:val="0"/>
          <w:numId w:val="3"/>
        </w:numPr>
        <w:spacing w:after="60"/>
      </w:pPr>
      <w:r>
        <w:rPr>
          <w:b/>
        </w:rPr>
        <w:t xml:space="preserve">A federal rule now sets deadlines for those approvals, which makes slow manual review a visible cost for health plans. </w:t>
      </w:r>
      <w:r>
        <w:rPr/>
        <w:t xml:space="preserve">Under a rule from the Centers for Medicare &amp; Medicaid Services (CMS), the US agency that runs Medicare and Medicaid, affected health plans must decide urgent requests within 72 hours and standard ones within seven calendar days from January 1, 2026, give a specific reason for every denial and publish their approval statistics each year (CMS).</w:t>
      </w:r>
    </w:p>
    <w:p>
      <w:pPr>
        <w:pStyle w:val="ListParagraph"/>
        <w:numPr>
          <w:ilvl w:val="0"/>
          <w:numId w:val="3"/>
        </w:numPr>
        <w:spacing w:after="60"/>
      </w:pPr>
      <w:r>
        <w:rPr>
          <w:b/>
        </w:rPr>
        <w:t xml:space="preserve">On the provider side, the dominant electronic health record vendor decides which AI tools run inside big health systems. </w:t>
      </w:r>
      <w:r>
        <w:rPr/>
        <w:t xml:space="preserve">The Vice President of Operations at Health Prime, a firm that runs billing and collections for healthcare providers, says the vendor does not allow outside AI integrations beyond what it already works on (Health Prime interview).</w:t>
      </w:r>
    </w:p>
    <w:p>
      <w:pPr>
        <w:pStyle w:val="ListParagraph"/>
        <w:numPr>
          <w:ilvl w:val="0"/>
          <w:numId w:val="3"/>
        </w:numPr>
        <w:spacing w:after="60"/>
      </w:pPr>
      <w:r>
        <w:rPr>
          <w:b/>
        </w:rPr>
        <w:t xml:space="preserve">Both labs launched healthcare products in January, and both include help with prior authorization. </w:t>
      </w:r>
      <w:r>
        <w:rPr/>
        <w:t xml:space="preserve">OpenAI launched ChatGPT for Healthcare on January 8 with HCA Healthcare, Cedars-Sinai and UCSF and templates that include prior authorization support (OpenAI), and three days later Claude for Healthcare added a connector to CMS coverage data and a customizable prior authorization review template (Anthropic).</w:t>
      </w:r>
    </w:p>
    <w:p>
      <w:pPr>
        <w:pStyle w:val="ListParagraph"/>
        <w:numPr>
          <w:ilvl w:val="0"/>
          <w:numId w:val="3"/>
        </w:numPr>
        <w:spacing w:after="60"/>
      </w:pPr>
      <w:r>
        <w:rPr>
          <w:b/>
        </w:rPr>
        <w:t xml:space="preserve">How likely the labs are to absorb this: Medium. </w:t>
      </w:r>
      <w:r>
        <w:rPr/>
        <w:t xml:space="preserve">Both labs have named health system customers and a prior authorization template, but under the CMS rule the approval decision and its deadline stay with the health plan, and inside hospitals the record vendor limits which outside AI tools can run.</w:t>
      </w:r>
    </w:p>
    <w:p>
      <w:pPr>
        <w:spacing w:after="100"/>
      </w:pPr>
      <w:r>
        <w:rPr>
          <w:b/>
        </w:rPr>
        <w:t xml:space="preserve">Example companies: </w:t>
      </w:r>
      <w:r>
        <w:rPr/>
        <w:t xml:space="preserve">Anterior</w:t>
      </w:r>
    </w:p>
    <w:p>
      <w:pPr>
        <w:pStyle w:val="Heading3"/>
      </w:pPr>
      <w:r>
        <w:rPr/>
        <w:t xml:space="preserve">B2. Insurance Operations</w:t>
      </w:r>
    </w:p>
    <w:p>
      <w:pPr>
        <w:spacing w:after="100"/>
      </w:pPr>
      <w:r>
        <w:rPr>
          <w:b/>
        </w:rPr>
        <w:t xml:space="preserve">What is happening:</w:t>
      </w:r>
    </w:p>
    <w:p>
      <w:pPr>
        <w:pStyle w:val="ListParagraph"/>
        <w:numPr>
          <w:ilvl w:val="0"/>
          <w:numId w:val="3"/>
        </w:numPr>
        <w:spacing w:after="60"/>
      </w:pPr>
      <w:r>
        <w:rPr>
          <w:b/>
        </w:rPr>
        <w:t xml:space="preserve">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Insurance buyers are flooded with agent vendors but keep their data in their own systems. </w:t>
      </w:r>
      <w:r>
        <w:rPr/>
        <w:t xml:space="preserve">The Head of Strategic Partnerships at Accelerant Holdings, a risk exchange serving more than 250 managing general agents (MGAs, firms that write policies on behalf of insurers), says vendors pitch the team two or three times a day and that all of the team's data lives within the company's existing systems (Accelerant interview).</w:t>
      </w:r>
    </w:p>
    <w:p>
      <w:pPr>
        <w:pStyle w:val="ListParagraph"/>
        <w:numPr>
          <w:ilvl w:val="0"/>
          <w:numId w:val="3"/>
        </w:numPr>
        <w:spacing w:after="60"/>
      </w:pPr>
      <w:r>
        <w:rPr>
          <w:b/>
        </w:rPr>
        <w:t xml:space="preserve">Anthropic is building claims agents with Allianz, and State Farm was among the first carriers to adopt OpenAI's agent platform. </w:t>
      </w:r>
      <w:r>
        <w:rPr/>
        <w:t xml:space="preserve">Allianz is co-developing motor and health claims agents with Anthropic (Allianz), State Farm was among the first adopters of OpenAI Frontier (OpenAI), and the listed insurance software company Roadzen is launching underwriting and claims agents on Anthropic's managed agent platform (Roadzen filing).</w:t>
      </w:r>
    </w:p>
    <w:p>
      <w:pPr>
        <w:pStyle w:val="ListParagraph"/>
        <w:numPr>
          <w:ilvl w:val="0"/>
          <w:numId w:val="3"/>
        </w:numPr>
        <w:spacing w:after="60"/>
      </w:pPr>
      <w:r>
        <w:rPr>
          <w:b/>
        </w:rPr>
        <w:t xml:space="preserve">How likely the labs are to absorb this: Medium. </w:t>
      </w:r>
      <w:r>
        <w:rPr/>
        <w:t xml:space="preserve">The labs build claims agents with the biggest carriers and supply the platform that others build on, but no lab sells a packaged insurance product yet, and buyers like Accelerant keep their data inside their own systems.</w:t>
      </w:r>
    </w:p>
    <w:p>
      <w:pPr>
        <w:spacing w:after="100"/>
      </w:pPr>
      <w:r>
        <w:rPr>
          <w:b/>
        </w:rPr>
        <w:t xml:space="preserve">Example companies: </w:t>
      </w:r>
      <w:r>
        <w:rPr/>
        <w:t xml:space="preserve">Notch, Pace, Harper, Strala</w:t>
      </w:r>
    </w:p>
    <w:p>
      <w:pPr>
        <w:pStyle w:val="Heading3"/>
      </w:pPr>
      <w:r>
        <w:rPr/>
        <w:t xml:space="preserve">B3. Lending and Financial Crime</w:t>
      </w:r>
    </w:p>
    <w:p>
      <w:pPr>
        <w:spacing w:after="100"/>
      </w:pPr>
      <w:r>
        <w:rPr>
          <w:b/>
        </w:rPr>
        <w:t xml:space="preserve">What is happening:</w:t>
      </w:r>
    </w:p>
    <w:p>
      <w:pPr>
        <w:pStyle w:val="ListParagraph"/>
        <w:numPr>
          <w:ilvl w:val="0"/>
          <w:numId w:val="3"/>
        </w:numPr>
        <w:spacing w:after="60"/>
      </w:pPr>
      <w:r>
        <w:rPr>
          <w:b/>
        </w:rPr>
        <w:t xml:space="preserve">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The biggest banks either build agents on their own or work directly with the labs on products.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Anthropic and OpenAI now reach the rest of the banks through the companies that run their core banking systems. </w:t>
      </w:r>
      <w:r>
        <w:rPr/>
        <w:t xml:space="preserve">FIS made its anti-money laundering (AML) agent, built with an embedded Anthropic team, available to any US bank in October (FIS), Fiserv launched agentOS with OpenAI as a collaborator and an AML triage agent among its four launch agents (Fiserv), and Anthropic's financial services templates include know your customer (KYC) screening, with Citadel, BNY and FIS among its named customers (Anthropic).</w:t>
      </w:r>
    </w:p>
    <w:p>
      <w:pPr>
        <w:pStyle w:val="ListParagraph"/>
        <w:numPr>
          <w:ilvl w:val="0"/>
          <w:numId w:val="3"/>
        </w:numPr>
        <w:spacing w:after="60"/>
      </w:pPr>
      <w:r>
        <w:rPr>
          <w:b/>
        </w:rPr>
        <w:t xml:space="preserve">The FIS agent recommends a decision and leaves each case with the bank's own investigators. </w:t>
      </w:r>
      <w:r>
        <w:rPr/>
        <w:t xml:space="preserve">The design partner for the FIS agent says "the investigator remains accountable for the final determination" (FIS).</w:t>
      </w:r>
    </w:p>
    <w:p>
      <w:pPr>
        <w:pStyle w:val="ListParagraph"/>
        <w:numPr>
          <w:ilvl w:val="0"/>
          <w:numId w:val="3"/>
        </w:numPr>
        <w:spacing w:after="60"/>
      </w:pPr>
      <w:r>
        <w:rPr>
          <w:b/>
        </w:rPr>
        <w:t xml:space="preserve">How likely the labs are to absorb this: High. </w:t>
      </w:r>
      <w:r>
        <w:rPr/>
        <w:t xml:space="preserve">Through FIS the labs can now reach any US bank with an investigation agent, and their own templates cover KYC screening, though the bank's investigators still own every final determination.</w:t>
      </w:r>
    </w:p>
    <w:p>
      <w:pPr>
        <w:spacing w:after="100"/>
      </w:pPr>
      <w:r>
        <w:rPr>
          <w:b/>
        </w:rPr>
        <w:t xml:space="preserve">Example companies: </w:t>
      </w:r>
      <w:r>
        <w:rPr/>
        <w:t xml:space="preserve">Salient, Bretton AI, Gradient Labs</w:t>
      </w:r>
    </w:p>
    <w:p>
      <w:pPr>
        <w:pStyle w:val="Heading3"/>
      </w:pPr>
      <w:r>
        <w:rPr/>
        <w:t xml:space="preserve">B4. Legal Services</w:t>
      </w:r>
    </w:p>
    <w:p>
      <w:pPr>
        <w:spacing w:after="100"/>
      </w:pPr>
      <w:r>
        <w:rPr>
          <w:b/>
        </w:rPr>
        <w:t xml:space="preserve">What is happening:</w:t>
      </w:r>
    </w:p>
    <w:p>
      <w:pPr>
        <w:pStyle w:val="ListParagraph"/>
        <w:numPr>
          <w:ilvl w:val="0"/>
          <w:numId w:val="3"/>
        </w:numPr>
        <w:spacing w:after="60"/>
      </w:pPr>
      <w:r>
        <w:rPr>
          <w:b/>
        </w:rPr>
        <w:t xml:space="preserve">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version of its newest model, and its engineers now build custom tools inside several of the biggest law firms. </w:t>
      </w:r>
      <w:r>
        <w:rPr/>
        <w:t xml:space="preserve">Astra for Law ships with a legal search index and 26 partner plugins, and OpenAI engineers working on site built tools for Sullivan &amp; Cromwell, Ropes &amp; Gray and Cooley (OpenAI). OpenAI's own usage research shows weekly active enterprise Codex users in legal grew 108-fold from February, faster than in any other function it reported (Unite.AI).</w:t>
      </w:r>
    </w:p>
    <w:p>
      <w:pPr>
        <w:pStyle w:val="ListParagraph"/>
        <w:numPr>
          <w:ilvl w:val="0"/>
          <w:numId w:val="3"/>
        </w:numPr>
        <w:spacing w:after="60"/>
      </w:pPr>
      <w:r>
        <w:rPr>
          <w:b/>
        </w:rPr>
        <w:t xml:space="preserve">Thomson Reuters, the main legal research company, works both with the labs and alongside them. </w:t>
      </w:r>
      <w:r>
        <w:rPr/>
        <w:t xml:space="preserve">Anthropic describes its CoCounsel Legal as a legal agent built on the Claude Agent SDK, Anthropic's software development kit for agents (Anthropic), and in August Thomson Reuters launched Thomson 1.0, a model trained on its own legal research content, while Google expanded Gemini Enterprise for legal professionals (Reuters).</w:t>
      </w:r>
    </w:p>
    <w:p>
      <w:pPr>
        <w:pStyle w:val="ListParagraph"/>
        <w:numPr>
          <w:ilvl w:val="0"/>
          <w:numId w:val="3"/>
        </w:numPr>
        <w:spacing w:after="60"/>
      </w:pPr>
      <w:r>
        <w:rPr>
          <w:b/>
        </w:rPr>
        <w:t xml:space="preserve">How likely the labs are to absorb this: High. </w:t>
      </w:r>
      <w:r>
        <w:rPr/>
        <w:t xml:space="preserve">Both labs sell complete legal products, lab engineers build tools inside top law firms and the main research company built its legal agent on a lab toolkit, which makes legal one of the categories where the labs are most competitive.</w:t>
      </w:r>
    </w:p>
    <w:p>
      <w:pPr>
        <w:spacing w:after="100"/>
      </w:pPr>
      <w:r>
        <w:rPr>
          <w:b/>
        </w:rPr>
        <w:t xml:space="preserve">Example companies: </w:t>
      </w:r>
      <w:r>
        <w:rPr/>
        <w:t xml:space="preserve">Crosby, Lawhive, EvenUp</w:t>
      </w:r>
    </w:p>
    <w:p>
      <w:pPr>
        <w:pStyle w:val="Heading3"/>
      </w:pPr>
      <w:r>
        <w:rPr/>
        <w:t xml:space="preserve">B5. Life Sciences Research</w:t>
      </w:r>
    </w:p>
    <w:p>
      <w:pPr>
        <w:spacing w:after="100"/>
      </w:pPr>
      <w:r>
        <w:rPr>
          <w:b/>
        </w:rPr>
        <w:t xml:space="preserve">What is happening:</w:t>
      </w:r>
    </w:p>
    <w:p>
      <w:pPr>
        <w:pStyle w:val="ListParagraph"/>
        <w:numPr>
          <w:ilvl w:val="0"/>
          <w:numId w:val="3"/>
        </w:numPr>
        <w:spacing w:after="60"/>
      </w:pPr>
      <w:r>
        <w:rPr>
          <w:b/>
        </w:rPr>
        <w:t xml:space="preserve">Drug research is one of the biggest professional budgets in any industry and keeps growing. </w:t>
      </w:r>
      <w:r>
        <w:rPr/>
        <w:t xml:space="preserve">Research and development spending at the biggest pharma companies rose to $190Bn in 2024 from $163Bn in 2023 (IQVIA Institute).</w:t>
      </w:r>
    </w:p>
    <w:p>
      <w:pPr>
        <w:pStyle w:val="ListParagraph"/>
        <w:numPr>
          <w:ilvl w:val="0"/>
          <w:numId w:val="3"/>
        </w:numPr>
        <w:spacing w:after="60"/>
      </w:pPr>
      <w:r>
        <w:rPr>
          <w:b/>
        </w:rPr>
        <w:t xml:space="preserve">Anthropic sells research products straight to drug companies, and research software stocks fell on the day it launched its research workbench. </w:t>
      </w:r>
      <w:r>
        <w:rPr/>
        <w:t xml:space="preserve">Anthropic named Novo Nordisk and Sanofi as customers in January (Anthropic),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OpenAI has its own life sciences model, which left research preview in September and is sold to drug companies through a vetted access program. </w:t>
      </w:r>
      <w:r>
        <w:rPr/>
        <w:t xml:space="preserve">OpenAI launched GPT-Rosalind in April with Amgen and Moderna among its customers and made it generally available to eligible organizations on September 11, alongside a free Codex plugin that connects to more than 50 public databases, literature collections and biology tools (OpenAI).</w:t>
      </w:r>
    </w:p>
    <w:p>
      <w:pPr>
        <w:pStyle w:val="ListParagraph"/>
        <w:numPr>
          <w:ilvl w:val="0"/>
          <w:numId w:val="3"/>
        </w:numPr>
        <w:spacing w:after="60"/>
      </w:pPr>
      <w:r>
        <w:rPr>
          <w:b/>
        </w:rPr>
        <w:t xml:space="preserve">How likely the labs are to absorb this: Medium. </w:t>
      </w:r>
      <w:r>
        <w:rPr/>
        <w:t xml:space="preserve">Both labs sell research models and workbenches to named drug companies and research software shares have already fallen on their launches, but these products are tools for each drug company's own scientists rather than research the labs run themselves.</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spacing w:after="100"/>
      </w:pPr>
      <w:r>
        <w:rPr>
          <w:b/>
        </w:rPr>
        <w:t xml:space="preserve">What is happening:</w:t>
      </w:r>
    </w:p>
    <w:p>
      <w:pPr>
        <w:pStyle w:val="ListParagraph"/>
        <w:numPr>
          <w:ilvl w:val="0"/>
          <w:numId w:val="3"/>
        </w:numPr>
        <w:spacing w:after="60"/>
      </w:pPr>
      <w:r>
        <w:rPr>
          <w:b/>
        </w:rPr>
        <w:t xml:space="preserve">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Oracle now ships 22 agentic applications of its own that act inside the business processes its enterprise resource planning (ERP) suite already runs. </w:t>
      </w:r>
      <w:r>
        <w:rPr/>
        <w:t xml:space="preserve">Oracle launched its Fusion Agentic Applications in March as teams of specialized agents that run on Fusion data (Oracle).</w:t>
      </w:r>
    </w:p>
    <w:p>
      <w:pPr>
        <w:pStyle w:val="ListParagraph"/>
        <w:numPr>
          <w:ilvl w:val="0"/>
          <w:numId w:val="3"/>
        </w:numPr>
        <w:spacing w:after="60"/>
      </w:pPr>
      <w:r>
        <w:rPr>
          <w:b/>
        </w:rPr>
        <w:t xml:space="preserve">OpenAI's procurement agents are still being built and tested inside its own finance team. </w:t>
      </w:r>
      <w:r>
        <w:rPr/>
        <w:t xml:space="preserve">OpenAI is building a procurement agent with PwC for its own finance team (OpenAI) and in September previewed specialist agents that it had tested internally on procurement and invoice processing (OpenAI).</w:t>
      </w:r>
    </w:p>
    <w:p>
      <w:pPr>
        <w:pStyle w:val="ListParagraph"/>
        <w:numPr>
          <w:ilvl w:val="0"/>
          <w:numId w:val="3"/>
        </w:numPr>
        <w:spacing w:after="60"/>
      </w:pPr>
      <w:r>
        <w:rPr>
          <w:b/>
        </w:rPr>
        <w:t xml:space="preserve">How likely the labs are to absorb this: Low. </w:t>
      </w:r>
      <w:r>
        <w:rPr/>
        <w:t xml:space="preserve">OpenAI's procurement work so far is an internal agent and a preview, and Oracle's agents act inside its own ERP, so no lab product yet covers supplier and carrier work that runs across companies.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spacing w:after="100"/>
      </w:pPr>
      <w:r>
        <w:rPr>
          <w:b/>
        </w:rPr>
        <w:t xml:space="preserve">What is happening:</w:t>
      </w:r>
    </w:p>
    <w:p>
      <w:pPr>
        <w:pStyle w:val="ListParagraph"/>
        <w:numPr>
          <w:ilvl w:val="0"/>
          <w:numId w:val="3"/>
        </w:numPr>
        <w:spacing w:after="60"/>
      </w:pPr>
      <w:r>
        <w:rPr>
          <w:b/>
        </w:rPr>
        <w:t xml:space="preserve">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Agents still cost several times more to run than the scripted bots finance teams already use. </w:t>
      </w:r>
      <w:r>
        <w:rPr/>
        <w:t xml:space="preserve">The Vice President of Digital Transformation at Accenture puts a task at $200 or $300 a month on scripted bots and $1,000 or $1,200 a month with AI (Accenture interview).</w:t>
      </w:r>
    </w:p>
    <w:p>
      <w:pPr>
        <w:pStyle w:val="ListParagraph"/>
        <w:numPr>
          <w:ilvl w:val="0"/>
          <w:numId w:val="3"/>
        </w:numPr>
        <w:spacing w:after="60"/>
      </w:pPr>
      <w:r>
        <w:rPr>
          <w:b/>
        </w:rPr>
        <w:t xml:space="preserve">Both labs now go after the in-house monthly close directly, with templates and a big accounting firm as partner.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How likely the labs are to absorb this: Medium. </w:t>
      </w:r>
      <w:r>
        <w:rPr/>
        <w:t xml:space="preserve">Both labs target the monthly close with templates and PwC, but neither has named a finance team running a lab close agent in production, and agents still cost several times more to run than existing bots.</w:t>
      </w:r>
    </w:p>
    <w:p>
      <w:pPr>
        <w:spacing w:after="100"/>
      </w:pPr>
      <w:r>
        <w:rPr>
          <w:b/>
        </w:rPr>
        <w:t xml:space="preserve">Example companies: </w:t>
      </w:r>
      <w:r>
        <w:rPr/>
        <w:t xml:space="preserve">Basis, Niural</w:t>
      </w:r>
    </w:p>
    <w:p>
      <w:pPr>
        <w:pStyle w:val="Heading3"/>
      </w:pPr>
      <w:r>
        <w:rPr/>
        <w:t xml:space="preserve">C3. Customer Service and Sales</w:t>
      </w:r>
    </w:p>
    <w:p>
      <w:pPr>
        <w:spacing w:after="100"/>
      </w:pPr>
      <w:r>
        <w:rPr>
          <w:b/>
        </w:rPr>
        <w:t xml:space="preserve">What is happening:</w:t>
      </w:r>
    </w:p>
    <w:p>
      <w:pPr>
        <w:pStyle w:val="ListParagraph"/>
        <w:numPr>
          <w:ilvl w:val="0"/>
          <w:numId w:val="3"/>
        </w:numPr>
        <w:spacing w:after="60"/>
      </w:pPr>
      <w:r>
        <w:rPr>
          <w:b/>
        </w:rPr>
        <w:t xml:space="preserve">Customer service is the first job agents finish end to end at scale, because a resolved ticket is easy to check and to price. </w:t>
      </w:r>
      <w:r>
        <w:rPr/>
        <w:t xml:space="preserve">OpenAI says its Presence agent, launched in July,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Salesforce now sells finished service work at a published price, and Microsoft launched an AI layer for contact centers that sits on the systems buyers already run. </w:t>
      </w:r>
      <w:r>
        <w:rPr/>
        <w:t xml:space="preserve">Salesforce charges $2 per resolution for its help agent (CX Today), and Microsoft launched Contact Center Intelligence in October on top of existing systems from Cisco and Avaya (Constellation).</w:t>
      </w:r>
    </w:p>
    <w:p>
      <w:pPr>
        <w:pStyle w:val="ListParagraph"/>
        <w:numPr>
          <w:ilvl w:val="0"/>
          <w:numId w:val="3"/>
        </w:numPr>
        <w:spacing w:after="60"/>
      </w:pPr>
      <w:r>
        <w:rPr>
          <w:b/>
        </w:rPr>
        <w:t xml:space="preserve">Some big buyers in Europe still rule the labs out because they cannot see where the labs store data or what they do with it. </w:t>
      </w:r>
      <w:r>
        <w:rPr/>
        <w:t xml:space="preserve">A Senior Vice President at Deutsche Telekom who oversees marketing, procurement, training, ESG (environmental, social and governance) and compliance and evaluates its customer support AI says OpenAI and Anthropic are largely ruled out there over EU data concerns, and that the company runs several specialist vendors and plans to cut to one or two in about 18 months (Deutsche Telekom interview).</w:t>
      </w:r>
    </w:p>
    <w:p>
      <w:pPr>
        <w:pStyle w:val="ListParagraph"/>
        <w:numPr>
          <w:ilvl w:val="0"/>
          <w:numId w:val="3"/>
        </w:numPr>
        <w:spacing w:after="60"/>
      </w:pPr>
      <w:r>
        <w:rPr>
          <w:b/>
        </w:rPr>
        <w:t xml:space="preserve">How likely the labs are to absorb this: High. </w:t>
      </w:r>
      <w:r>
        <w:rPr/>
        <w:t xml:space="preserve">OpenAI, Microsoft and Salesforce already sell finished service work, which makes this the category where the labs and the big software suites are most competitive, and the main limit is European buyers like Deutsche Telekom that rule the labs out over EU data concerns.</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