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Taller 1: Construcción de pipelines en Cloud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Metodología y Estrategias de Control de Versiones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Kanban: </w:t>
      </w:r>
      <w:r>
        <w:rPr>
          <w:rFonts w:ascii="Arial" w:cs="Arial" w:eastAsia="Arial" w:hAnsi="Arial"/>
          <w:sz w:val="24"/>
          <w:szCs w:val="24"/>
        </w:rPr>
        <w:t xml:space="preserve">Para abordar el ciclo de vida de este proyecto, que integra de manera simultánea el desarrollo de la aplicación y el despliegue de infraestructura, el equipo ha adoptado Kanban como metodología ágil. Esta decisión se fundamenta en la necesidad de mantener un flujo de trabajo continuo, flexible y altamente visual. Dado que las tareas de desarrollo (Dev) y operaciones (Ops) comparten dependencias directas, un tablero Kanban permite mapear el flujo de valor a través de estados claros (por ejemplo: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Backlog, En Progreso - Dev, En Progreso - Ops, Pruebas, Listo para Despliegue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Completado</w:t>
      </w:r>
      <w:r>
        <w:rPr>
          <w:rFonts w:ascii="Arial" w:cs="Arial" w:eastAsia="Arial" w:hAnsi="Arial"/>
          <w:sz w:val="24"/>
          <w:szCs w:val="24"/>
        </w:rPr>
        <w:t xml:space="preserve">). Esto facilita la identificación rápida de cuellos de botella, limita el trabajo en curso (WIP) y asegura la entrega continua y estable de valor.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Estrategia de Branching para Desarrolladores</w:t>
      </w:r>
      <w:r>
        <w:rPr>
          <w:rFonts w:ascii="Arial" w:cs="Arial" w:eastAsia="Arial" w:hAnsi="Arial"/>
          <w:sz w:val="24"/>
          <w:szCs w:val="24"/>
        </w:rPr>
        <w:t xml:space="preserve">: Para la gestión del código fuente de los diferentes componentes (microservicios), se implementará la estrategia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Git Flow</w:t>
      </w:r>
      <w:r>
        <w:rPr>
          <w:rFonts w:ascii="Arial" w:cs="Arial" w:eastAsia="Arial" w:hAnsi="Arial"/>
          <w:sz w:val="24"/>
          <w:szCs w:val="24"/>
        </w:rPr>
        <w:t xml:space="preserve">. Esta metodología proporciona un marco robusto y estructurado, lo cual es ideal para gestionar el ciclo de vida de múltiples servicios interconectados y garantizar la estabilidad del sistema. La convención de ramas se define de la siguiente manera: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main</w:t>
      </w:r>
      <w:r>
        <w:rPr>
          <w:rFonts w:ascii="Arial" w:cs="Arial" w:eastAsia="Arial" w:hAnsi="Arial"/>
          <w:sz w:val="24"/>
          <w:szCs w:val="24"/>
        </w:rPr>
        <w:t xml:space="preserve">: Rama principal que contiene exclusivamente código estable y en estado de producción.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</w:t>
      </w:r>
      <w:r>
        <w:rPr>
          <w:rFonts w:ascii="Arial" w:cs="Arial" w:eastAsia="Arial" w:hAnsi="Arial"/>
          <w:sz w:val="24"/>
          <w:szCs w:val="24"/>
        </w:rPr>
        <w:t xml:space="preserve">: Rama de integración donde se unifica y prueba todo el código nuevo antes de su paso a producción.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feature/*</w:t>
      </w:r>
      <w:r>
        <w:rPr>
          <w:rFonts w:ascii="Arial" w:cs="Arial" w:eastAsia="Arial" w:hAnsi="Arial"/>
          <w:sz w:val="24"/>
          <w:szCs w:val="24"/>
        </w:rPr>
        <w:t xml:space="preserve">: Ramas efímeras creadas a partir de develop para aislar el desarrollo de nuevas características o tareas específicas. Al finalizar, se integran de nuevo a develop mediante un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Pull Request</w:t>
      </w:r>
      <w:r>
        <w:rPr>
          <w:rFonts w:ascii="Arial" w:cs="Arial" w:eastAsia="Arial" w:hAnsi="Arial"/>
          <w:sz w:val="24"/>
          <w:szCs w:val="24"/>
        </w:rPr>
        <w:t xml:space="preserve"> (PR) que debe superar las pruebas automatizadas del pipeline.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hotfix/*</w:t>
      </w:r>
      <w:r>
        <w:rPr>
          <w:rFonts w:ascii="Arial" w:cs="Arial" w:eastAsia="Arial" w:hAnsi="Arial"/>
          <w:sz w:val="24"/>
          <w:szCs w:val="24"/>
        </w:rPr>
        <w:t xml:space="preserve">: Ramas de emergencia creadas a partir de main para solucionar errores críticos en producción. Una vez resuelto el fallo, se integran tanto en main como en develop para mantener el historial sincronizado.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Estrategia de Branching para Operaciones</w:t>
      </w:r>
      <w:r>
        <w:rPr>
          <w:rFonts w:ascii="Arial" w:cs="Arial" w:eastAsia="Arial" w:hAnsi="Arial"/>
          <w:sz w:val="24"/>
          <w:szCs w:val="24"/>
        </w:rPr>
        <w:t xml:space="preserve">: Para el manejo seguro de la Infraestructura como Código (IaC), configuraciones de contenedores y definición de pipelines, se adoptará una estrategia de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Ramas por Entorno</w:t>
      </w:r>
      <w:r>
        <w:rPr>
          <w:rFonts w:ascii="Arial" w:cs="Arial" w:eastAsia="Arial" w:hAnsi="Arial"/>
          <w:sz w:val="24"/>
          <w:szCs w:val="24"/>
        </w:rPr>
        <w:t xml:space="preserve"> (Environment-based Branching). Esta separación lógica permite aislar los cambios arquitectónicos y probarlos de manera exhaustiva antes de impactar el sistema principal. La estructura se maneja así: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staging</w:t>
      </w:r>
      <w:r>
        <w:rPr>
          <w:rFonts w:ascii="Arial" w:cs="Arial" w:eastAsia="Arial" w:hAnsi="Arial"/>
          <w:sz w:val="24"/>
          <w:szCs w:val="24"/>
        </w:rPr>
        <w:t xml:space="preserve"> (entorno de pre-producción): Refleja un entorno de pruebas idéntico a producción. Cualquier modificación en los recursos de la nube o en los pipelines se fusiona y despliega primero en esta rama para validar su correcta ejecución junto con la rama develop de la aplicación.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production</w:t>
      </w:r>
      <w:r>
        <w:rPr>
          <w:rFonts w:ascii="Arial" w:cs="Arial" w:eastAsia="Arial" w:hAnsi="Arial"/>
          <w:sz w:val="24"/>
          <w:szCs w:val="24"/>
        </w:rPr>
        <w:t xml:space="preserve"> (entorno principal): Refleja la infraestructura definitiva. Los cambios de infraestructura solo se fusionan hacia esta rama tras haber sido validados exitosamente en staging, desencadenando el pipeline de infraestructura definitivo.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Diseño de la solución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Patrones de Diseño de Nube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Para este proyecto de votación distribuida, se identifican y justifican los siguientes dos patrones de diseño de nube, ambos ya presentes en la implementación del repositorio: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Queue-Based Load Leveling</w:t>
      </w:r>
      <w:r>
        <w:rPr>
          <w:rFonts w:ascii="Arial" w:cs="Arial" w:eastAsia="Arial" w:hAnsi="Arial"/>
          <w:sz w:val="24"/>
          <w:szCs w:val="24"/>
        </w:rPr>
        <w:t xml:space="preserve"> (Nivelación de carga basada en colas)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Justificación en el proyecto: En la aplicación, el servicio de votación (Vote App) recibe las peticiones de los usuarios y las envía a Kafka en lugar de escribirlas directamente en la base de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Valor: Kafka actúa como un amortiguador. Si hay un pico masivo de usuarios votando al mismo tiempo, el sistema no colapsa ni satura la base de datos; la cola en memoria absorbe la carga y el servicio Worker procesa y guarda los votos a su propio ritmo.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Implementación: El servicio Vote (Java / Spring Boot) publica mensajes en el topic "votes" de Kafka. El Worker (Go) consume ese topic de forma asíncrona usando la librería Sarama y persiste cada voto en PostgreSQL.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CQRS</w:t>
      </w:r>
      <w:r>
        <w:rPr>
          <w:rFonts w:ascii="Arial" w:cs="Arial" w:eastAsia="Arial" w:hAnsi="Arial"/>
          <w:sz w:val="24"/>
          <w:szCs w:val="24"/>
        </w:rPr>
        <w:t xml:space="preserve"> (Command and Query Responsibility Segregation / Segregación de Responsabilidades de Comando y Consulta)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Justificación en el proyecto: La arquitectura separa claramente la acción de enviar datos (votar) de la acción de leer datos (ver resultados finales). Esta separación está implementada en el repositorio base y se justifica como patrón de diseño adoptado.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Valor: El servicio Vote se encarga exclusivamente de las operaciones de escritura (comandos) a través de la cola Kafka y el Worker, mientras que el servicio Result se encarga exclusivamente de las operaciones de lectura (consultas) conectándose directamente a la base de datos PostgreSQL. Esto permite escalar ambos servicios de forma independiente (por ejemplo, si mucha gente entra a ver los resultados pero ya nadie está votando).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Implementación: Vote App → Kafka → Worker → PostgreSQL (escritura / Commands). Result App → PostgreSQL (lectura / Queries). Los dos flujos son completamente independientes.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Diagrama de Arquitectura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siguiente figura muestra el diagrama de arquitectura de la solución, con las tecnologías reales utilizadas por cada servicio: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3810000" cy="5334000"/>
            <wp:effectExtent t="0" r="0" b="0" l="0"/>
            <wp:docPr id="1" name="Arquitectura" descr="Arquitectura de microservicios" title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1. Diagrama de arquitectura de la solución de votación distribuida.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flujo de datos sigue el siguiente recorrido: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usuario accede al servicio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voting-app (Java / Spring Boot)</w:t>
      </w:r>
      <w:r>
        <w:rPr>
          <w:rFonts w:ascii="Arial" w:cs="Arial" w:eastAsia="Arial" w:hAnsi="Arial"/>
          <w:sz w:val="24"/>
          <w:szCs w:val="24"/>
        </w:rPr>
        <w:t xml:space="preserve"> en el puerto 8080 y emite su voto.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voto es publicado como mensaje al topic "votes"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Kafka</w:t>
      </w:r>
      <w:r>
        <w:rPr>
          <w:rFonts w:ascii="Arial" w:cs="Arial" w:eastAsia="Arial" w:hAnsi="Arial"/>
          <w:sz w:val="24"/>
          <w:szCs w:val="24"/>
        </w:rPr>
        <w:t xml:space="preserve"> (patrón Queue-Based Load Leveling). Kafka absorbe los picos de tráfico sin saturar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servicio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worker (Go)</w:t>
      </w:r>
      <w:r>
        <w:rPr>
          <w:rFonts w:ascii="Arial" w:cs="Arial" w:eastAsia="Arial" w:hAnsi="Arial"/>
          <w:sz w:val="24"/>
          <w:szCs w:val="24"/>
        </w:rPr>
        <w:t xml:space="preserve"> consume el topic de Kafka de forma asíncrona y persiste cada voto en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Los votos son almacenados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</w:t>
      </w:r>
      <w:r>
        <w:rPr>
          <w:rFonts w:ascii="Arial" w:cs="Arial" w:eastAsia="Arial" w:hAnsi="Arial"/>
          <w:sz w:val="24"/>
          <w:szCs w:val="24"/>
        </w:rPr>
        <w:t xml:space="preserve"> en la tabla "votes".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El servicio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result-app (Node.js)</w:t>
      </w:r>
      <w:r>
        <w:rPr>
          <w:rFonts w:ascii="Arial" w:cs="Arial" w:eastAsia="Arial" w:hAnsi="Arial"/>
          <w:sz w:val="24"/>
          <w:szCs w:val="24"/>
        </w:rPr>
        <w:t xml:space="preserve"> consulta PostgreSQL cada segundo (patrón CQRS — solo lectura) y emite los resultados en tiempo real a los observadores vía Socket.IO en el puerto 4000.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2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D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65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32c7912a89b177b5e75aa1b14577a13a27c3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2026-04-13T04:03:00.011Z</dcterms:created>
  <dcterms:modified xsi:type="dcterms:W3CDTF">2026-04-13T04:03:00.013Z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