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4E5A5A0" w14:textId="633D914E" w:rsidR="00BE3573" w:rsidRPr="00BE3573" w:rsidRDefault="00241192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2071" w:history="1">
            <w:r w:rsidR="00BE3573"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_Toc198402071 \h </w:instrTex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F99E1" w14:textId="26E8DEFE" w:rsidR="00BE3573" w:rsidRPr="00BE3573" w:rsidRDefault="00BE3573" w:rsidP="00BE3573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2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BE3573">
              <w:rPr>
                <w:rStyle w:val="ad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(заказчика проекта)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_Toc198402072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33C3" w14:textId="26059A57" w:rsidR="00BE3573" w:rsidRPr="00BE3573" w:rsidRDefault="00BE3573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3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_Toc198402073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1B6C1" w14:textId="291C63F7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4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Настройка Git и репозитория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_Toc198402074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C7B5" w14:textId="7AD968F1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5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Написание документов в Markdown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_Toc198402075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2A12" w14:textId="559045DC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6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статического веб-сайта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_Toc198402076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BAAD" w14:textId="775C29D2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7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организацией-партнёром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_Toc198402077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E32ED" w14:textId="6D3CB692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8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Техническое руководство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_Toc198402078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46ACA" w14:textId="00C15248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9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_Toc198402079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8C26" w14:textId="0471BD2A" w:rsidR="00241192" w:rsidRPr="00BE3573" w:rsidRDefault="00241192" w:rsidP="00BE357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E35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BE3573" w:rsidRDefault="00241192" w:rsidP="0024119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8402071"/>
      <w:r w:rsidRPr="00BE3573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56EAD9AC" w14:textId="77777777" w:rsidR="00BE3573" w:rsidRDefault="00BE3573" w:rsidP="00241192"/>
    <w:p w14:paraId="3E941F21" w14:textId="77777777" w:rsidR="00BE3573" w:rsidRDefault="00BE3573" w:rsidP="00241192"/>
    <w:p w14:paraId="34E8D630" w14:textId="77777777" w:rsidR="00BE3573" w:rsidRDefault="00BE3573" w:rsidP="00241192"/>
    <w:p w14:paraId="3EA83563" w14:textId="77777777" w:rsidR="00241192" w:rsidRDefault="00241192" w:rsidP="00241192"/>
    <w:p w14:paraId="20D18BA0" w14:textId="364B1D3E" w:rsidR="00241192" w:rsidRPr="00BE3573" w:rsidRDefault="00241192" w:rsidP="002411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8402072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Общая характеристика деятельности организации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Средний чек на услуги технического обслуживания составляет 25 000 рублей. В соответствии со стратегией развития на 2024 год запланировано открытие пяти </w:t>
      </w:r>
      <w:r w:rsidRPr="00E85971">
        <w:rPr>
          <w:sz w:val="28"/>
          <w:szCs w:val="28"/>
        </w:rPr>
        <w:lastRenderedPageBreak/>
        <w:t>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F052D1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E2F074A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0DAC4B0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2BA7B19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D1AD93E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EE6D508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2D34A7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BE3573">
      <w:pPr>
        <w:pStyle w:val="11"/>
        <w:spacing w:line="360" w:lineRule="auto"/>
        <w:jc w:val="both"/>
        <w:rPr>
          <w:sz w:val="28"/>
          <w:szCs w:val="28"/>
        </w:rPr>
      </w:pPr>
    </w:p>
    <w:p w14:paraId="435BF532" w14:textId="77777777" w:rsidR="00241192" w:rsidRPr="00BE3573" w:rsidRDefault="00241192" w:rsidP="0024119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198402073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Описание задания по проектной практике</w:t>
      </w:r>
      <w:bookmarkEnd w:id="2"/>
    </w:p>
    <w:p w14:paraId="1530DE33" w14:textId="26353FE1" w:rsidR="00646B5A" w:rsidRPr="00BE3573" w:rsidRDefault="00646B5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8402074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Настройка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Git</w:t>
      </w:r>
      <w:proofErr w:type="spellEnd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документации. Основные материалы размещены в тематических папках:</w:t>
      </w:r>
    </w:p>
    <w:p w14:paraId="27E00923" w14:textId="77777777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ключевые команды для управления проектом. Работа проводилась как через 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изолированной работы над отдельными задачами была освоена команда создания новой ветки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ветки выполнялось переключение на неё с помощью: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Все внесенные в проект изменения регулярно фиксировались с помощью команды: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 xml:space="preserve">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коммитов изменения отправлялись в удаленный репозиторий командой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актуализации локальной версии проекта применялись команды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>Это позволило поддерживать актуальное состояние репозитория при командной работе.</w:t>
      </w:r>
    </w:p>
    <w:p w14:paraId="212A5803" w14:textId="77777777" w:rsid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" w:name="_Toc198402075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Написание документов в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task/README.md – описание задания для проектной практики, включающее:</w:t>
      </w:r>
    </w:p>
    <w:p w14:paraId="2249FDC1" w14:textId="77777777" w:rsid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 xml:space="preserve">report_interaction_with_partners.md – отчет по взаимодействию с 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партнером проекта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138CF" w14:textId="0A657A1E" w:rsidR="00BE3573" w:rsidRPr="00BE3573" w:rsidRDefault="00BE3573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echnical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guidance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техническое руководство вариативной части задания.</w:t>
      </w:r>
    </w:p>
    <w:p w14:paraId="795BE38D" w14:textId="43760927" w:rsidR="00241192" w:rsidRPr="00BE3573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402076"/>
      <w:r w:rsidRPr="00BE3573">
        <w:rPr>
          <w:rFonts w:ascii="Times New Roman" w:hAnsi="Times New Roman" w:cs="Times New Roman"/>
          <w:b/>
          <w:bCs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отображать сайт на устройствах с различными разрешениями экрана. Для стилизации применены современные технологии CSS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64073" w14:textId="26B44CF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Основной акцентный цве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 для выделения ключевых элементов интерфейса, тогда как темно-серые оттенки обеспечивают комфортную читаемость текстового контента на светлом фоне.</w:t>
      </w:r>
    </w:p>
    <w:p w14:paraId="5AA500B1" w14:textId="71925521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CC965C" wp14:editId="3A4E29CB">
            <wp:extent cx="4678680" cy="2335589"/>
            <wp:effectExtent l="0" t="0" r="0" b="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504D733B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0C38C373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детально раскрывает концепцию сервиса, включая анализ текущей ситуации в автосервисах, преимущества предлагаемого решения и информацию о партнере проекта - сети дилерских техцентров "Аарон Авто"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0695C0" wp14:editId="135D85E3">
            <wp:extent cx="4470682" cy="2217420"/>
            <wp:effectExtent l="0" t="0" r="6350" b="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870" cy="22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761E7737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2171E" wp14:editId="0382F358">
            <wp:extent cx="4823460" cy="2359913"/>
            <wp:effectExtent l="0" t="0" r="0" b="254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458" cy="23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43F2DA1E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1877C148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записями, которые последовательно освещают ключевые этапы работы: старт проекта, промежуточную аттестацию и подготовку к финальной защите.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F20ED1" wp14:editId="130D9869">
            <wp:extent cx="4587240" cy="2260521"/>
            <wp:effectExtent l="0" t="0" r="3810" b="6985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555" cy="2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2D4CDE2E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168D3C2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"Ресурсы" систематизирует полезные материалы, включая техническую документацию, обучающие пособия и нормативные акты, а также предоставляет полную контактную информацию о партнере проекта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«Аарон авто».</w:t>
      </w:r>
      <w:r w:rsidR="00CD7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этой страницы статического сайта представлен на рисунке 5.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EE95D0" wp14:editId="21ABEBF3">
            <wp:extent cx="4632960" cy="2280575"/>
            <wp:effectExtent l="0" t="0" r="0" b="5715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900" cy="22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313B54DC" w:rsidR="00CD7D53" w:rsidRPr="0076780E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BE3573" w:rsidRDefault="00CD7D53" w:rsidP="001F42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402077"/>
      <w:r w:rsidRPr="00BE3573">
        <w:rPr>
          <w:rFonts w:ascii="Times New Roman" w:hAnsi="Times New Roman" w:cs="Times New Roman"/>
          <w:b/>
          <w:bCs/>
          <w:color w:val="000000" w:themeColor="text1"/>
        </w:rPr>
        <w:t>Взаимодействие с организацией-партнёром</w:t>
      </w:r>
      <w:bookmarkEnd w:id="6"/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В ходе выставки участники имели возможность детально ознакомиться с карьерными перспективами, предлагаемыми компаниями-партнерами. </w:t>
      </w:r>
      <w:r w:rsidRPr="001F4263">
        <w:rPr>
          <w:rFonts w:ascii="Times New Roman" w:hAnsi="Times New Roman" w:cs="Times New Roman"/>
          <w:sz w:val="28"/>
          <w:szCs w:val="28"/>
        </w:rPr>
        <w:lastRenderedPageBreak/>
        <w:t>Основными темами для обсуждения стали программы стажировок в ведущих организациях, совместные образовательные инициативы, а также 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CF76B" w14:textId="77777777" w:rsidR="00BE3573" w:rsidRDefault="00BE357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29B81" w14:textId="77777777" w:rsidR="00BE3573" w:rsidRDefault="00BE3573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hyperlink r:id="rId11" w:history="1"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codecrafters-io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build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you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r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own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2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7777777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Application из библиотеки, затем создается асинхронная функция, которая будет обрабатывать команду. Далее экземпляр Application настраивается с использованием токена, и к нему добавляется обработчик для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502D066C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основного алгоритма использовалось </w:t>
      </w:r>
      <w:r w:rsidR="00BE3573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r w:rsidR="00BE3573">
        <w:rPr>
          <w:rFonts w:ascii="Times New Roman" w:hAnsi="Times New Roman" w:cs="Times New Roman"/>
          <w:sz w:val="28"/>
          <w:szCs w:val="28"/>
        </w:rPr>
        <w:t>в рамках дисциплины</w:t>
      </w:r>
      <w:r w:rsidR="00BE3573" w:rsidRPr="00BE3573">
        <w:rPr>
          <w:rFonts w:ascii="Times New Roman" w:hAnsi="Times New Roman" w:cs="Times New Roman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роектная деятельность</w:t>
      </w:r>
      <w:r w:rsidR="00BE3573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проект – «Мастер консультант дилерского автотехцентра» (рисунок 6).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317E4D37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Pr="00BE3573" w:rsidRDefault="00C74628" w:rsidP="00C7462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402078"/>
      <w:r w:rsidRPr="00BE3573">
        <w:rPr>
          <w:rFonts w:ascii="Times New Roman" w:hAnsi="Times New Roman" w:cs="Times New Roman"/>
          <w:b/>
          <w:bCs/>
          <w:color w:val="000000" w:themeColor="text1"/>
        </w:rPr>
        <w:t>Техническое руководство</w:t>
      </w:r>
      <w:bookmarkEnd w:id="7"/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p w14:paraId="55F44D26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2453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5181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1F6B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D17F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26B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D7358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CA672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8C4B3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5E238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4913" w14:textId="78C8EE0E" w:rsidR="0064262F" w:rsidRPr="00BE3573" w:rsidRDefault="0064262F" w:rsidP="0064262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2502F7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 ходе выполнения проектной практики был получен комплексный опыт работы над ИТ-проектом, включающий все этапы от планирования до реализации. Основное внимание уделялось освоению современных инструментов разработки и организации рабочего процесса, что позволило сформировать профессиональные компетенции в области управления проектами и командной работы.</w:t>
      </w:r>
    </w:p>
    <w:p w14:paraId="60EF80DD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Практика началась с настройки рабочей среды и изучения системы контроля версий </w:t>
      </w:r>
      <w:proofErr w:type="spellStart"/>
      <w:r w:rsidRPr="00BE3573">
        <w:rPr>
          <w:color w:val="000000" w:themeColor="text1"/>
          <w:sz w:val="28"/>
          <w:szCs w:val="28"/>
        </w:rPr>
        <w:t>Git</w:t>
      </w:r>
      <w:proofErr w:type="spellEnd"/>
      <w:r w:rsidRPr="00BE3573">
        <w:rPr>
          <w:color w:val="000000" w:themeColor="text1"/>
          <w:sz w:val="28"/>
          <w:szCs w:val="28"/>
        </w:rPr>
        <w:t>, что стало фундаментом для эффективной организации всего рабочего процесса. Были освоены ключевые операции работы с репозиториями, включая создание веток, фиксацию изменений и синхронизацию с удаленным хранилищем. Особое внимание уделялось содержательности сообщений к коммитам, что позволило поддерживать прозрачность истории изменений проекта.</w:t>
      </w:r>
    </w:p>
    <w:p w14:paraId="5F2F94E6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Значительная часть практики посвящалась освоению языка разметки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для оформления проектной документации. В результате были созданы все необходимые документы, включая основной файл README.md, описание задания и отчетные материалы. Работа с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позволила выработать навыки структурированного представления информации и оформления технической документации.</w:t>
      </w:r>
    </w:p>
    <w:p w14:paraId="3F701AA4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Особое значение имел этап разработки статического веб-сайта проекта, в ходе которого были применены на практике знания HTML, CSS и JavaScript. Созданный веб-ресурс соответствует современным требованиям к пользовательским интерфейсам и демонстрирует владение актуальными технологиями веб-разработки.</w:t>
      </w:r>
    </w:p>
    <w:p w14:paraId="4ABACC4F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Важным аспектом практики стало участие в выставке индустриальных партнеров, которое позволило познакомиться с требованиями работодателей и современными тенденциями в ИТ-отрасли. Полученная информация была учтена при доработке проекта и планировании дальнейшего профессионального развития.</w:t>
      </w:r>
    </w:p>
    <w:p w14:paraId="7B3CDE85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E3573">
        <w:rPr>
          <w:color w:val="000000" w:themeColor="text1"/>
          <w:sz w:val="28"/>
          <w:szCs w:val="28"/>
        </w:rPr>
        <w:lastRenderedPageBreak/>
        <w:t>В результате прохождения практики достигнуты все поставленные цели: освоены современные инструменты разработки, получен опыт работы над реальным проектом, развиты профессиональные и коммуникативные навыки. Выполненный проект демонстрирует готовность к решению практических задач в профессиональной деятельности и соответствует требованиям современного ИТ-рынка. Приобретенные знания и навыки будут использованы в дальнейшей учебной и профессиональной деятельности</w:t>
      </w:r>
      <w:r w:rsidRPr="00BE3573">
        <w:rPr>
          <w:color w:val="000000" w:themeColor="text1"/>
        </w:rPr>
        <w:t>.</w:t>
      </w:r>
    </w:p>
    <w:p w14:paraId="7E661E9A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90F20A0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65A12532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70729A3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44FEF09" w14:textId="77777777" w:rsidR="0064262F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1E7B9AB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83B7AB5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7A9D9D9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D8AE2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12F4670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B5ACA1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B4E32D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E8A68A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3079CB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0CEDC9B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CCC53B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7DF4CD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D75664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EFFA8A8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137FAE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75EAF0D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8AB76EE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A0C0232" w14:textId="50BDBEDD" w:rsidR="0064262F" w:rsidRPr="00BE3573" w:rsidRDefault="0064262F" w:rsidP="0064262F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402079"/>
      <w:r w:rsidRPr="00BE35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литературы</w:t>
      </w:r>
      <w:bookmarkEnd w:id="8"/>
    </w:p>
    <w:p w14:paraId="5675095E" w14:textId="2B5EB5B5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5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https://doka.guide/css/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522757" w14:textId="603E3C87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6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https://doka.guide/html/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1BC1F14" w14:textId="0CB9BCE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Python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Telegram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Bot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Официальная документация. – URL: </w:t>
      </w:r>
      <w:hyperlink r:id="rId17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https://docs.python-telegram-bot.org/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9012074" w14:textId="4C908B5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Markdown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8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https://doka.guide/tools/markdown/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46C1FA" w14:textId="7099C42E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Desktop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[Электронный ресурс] //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Docs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URL: </w:t>
      </w:r>
      <w:hyperlink r:id="rId19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https://docs.github.com/ru/desktop/overview/getting-started-with-github-desktop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59A7BBD" w14:textId="6A0FA212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Руководство по разработке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-ботов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Apress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0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https://www.apress.com/gp/book/9781484238241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15A8593C" w14:textId="74C97BA8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Как создать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-бота на Python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FreeCodeCamp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1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https://www.freecodecamp.org/news/how-to-create-a-telegram-bot-using-python/</w:t>
        </w:r>
      </w:hyperlink>
    </w:p>
    <w:p w14:paraId="28025D5B" w14:textId="5F42B263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 </w:t>
      </w:r>
      <w:proofErr w:type="spellStart"/>
      <w:r w:rsidRPr="00BE3573">
        <w:rPr>
          <w:color w:val="000000" w:themeColor="text1"/>
          <w:sz w:val="28"/>
          <w:szCs w:val="28"/>
        </w:rPr>
        <w:t>Bot</w:t>
      </w:r>
      <w:proofErr w:type="spellEnd"/>
      <w:r w:rsidRPr="00BE3573">
        <w:rPr>
          <w:color w:val="000000" w:themeColor="text1"/>
          <w:sz w:val="28"/>
          <w:szCs w:val="28"/>
        </w:rPr>
        <w:t xml:space="preserve"> API [Электронный ресурс] // Официальная документация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2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https://core.telegram.org/bots/api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70C4AA8C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64262F" w:rsidRPr="00BE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E7D"/>
    <w:multiLevelType w:val="multilevel"/>
    <w:tmpl w:val="BC2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D24"/>
    <w:multiLevelType w:val="multilevel"/>
    <w:tmpl w:val="6A4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B25F0"/>
    <w:multiLevelType w:val="multilevel"/>
    <w:tmpl w:val="3F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13BB"/>
    <w:multiLevelType w:val="multilevel"/>
    <w:tmpl w:val="4A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818"/>
    <w:multiLevelType w:val="multilevel"/>
    <w:tmpl w:val="031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54EAB"/>
    <w:multiLevelType w:val="multilevel"/>
    <w:tmpl w:val="CCE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13"/>
  </w:num>
  <w:num w:numId="2" w16cid:durableId="89277744">
    <w:abstractNumId w:val="11"/>
  </w:num>
  <w:num w:numId="3" w16cid:durableId="978723477">
    <w:abstractNumId w:val="9"/>
  </w:num>
  <w:num w:numId="4" w16cid:durableId="1815830155">
    <w:abstractNumId w:val="8"/>
  </w:num>
  <w:num w:numId="5" w16cid:durableId="153031888">
    <w:abstractNumId w:val="5"/>
  </w:num>
  <w:num w:numId="6" w16cid:durableId="787358472">
    <w:abstractNumId w:val="1"/>
  </w:num>
  <w:num w:numId="7" w16cid:durableId="551037647">
    <w:abstractNumId w:val="10"/>
  </w:num>
  <w:num w:numId="8" w16cid:durableId="1194922768">
    <w:abstractNumId w:val="3"/>
  </w:num>
  <w:num w:numId="9" w16cid:durableId="1968780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6091230">
    <w:abstractNumId w:val="2"/>
  </w:num>
  <w:num w:numId="11" w16cid:durableId="1049643292">
    <w:abstractNumId w:val="12"/>
  </w:num>
  <w:num w:numId="12" w16cid:durableId="776876612">
    <w:abstractNumId w:val="6"/>
  </w:num>
  <w:num w:numId="13" w16cid:durableId="1246303426">
    <w:abstractNumId w:val="7"/>
  </w:num>
  <w:num w:numId="14" w16cid:durableId="6567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42160A"/>
    <w:rsid w:val="00632C73"/>
    <w:rsid w:val="0064262F"/>
    <w:rsid w:val="00646B5A"/>
    <w:rsid w:val="006B7EF3"/>
    <w:rsid w:val="00701F12"/>
    <w:rsid w:val="0076780E"/>
    <w:rsid w:val="00920615"/>
    <w:rsid w:val="00A605F3"/>
    <w:rsid w:val="00B2128C"/>
    <w:rsid w:val="00B4544A"/>
    <w:rsid w:val="00BE3573"/>
    <w:rsid w:val="00C74628"/>
    <w:rsid w:val="00C83C55"/>
    <w:rsid w:val="00CD7D53"/>
    <w:rsid w:val="00DA50BA"/>
    <w:rsid w:val="00E02F82"/>
    <w:rsid w:val="00EB15DE"/>
    <w:rsid w:val="00EE3613"/>
    <w:rsid w:val="00F16251"/>
    <w:rsid w:val="00F5746C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BE3573"/>
    <w:pPr>
      <w:tabs>
        <w:tab w:val="right" w:leader="dot" w:pos="9345"/>
      </w:tabs>
      <w:spacing w:after="100" w:line="360" w:lineRule="auto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64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4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how-to-create-a-telegram-bot-using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reecodecamp.org/news/how-to-create-a-telegram-bot-using-python/" TargetMode="External"/><Relationship Id="rId17" Type="http://schemas.openxmlformats.org/officeDocument/2006/relationships/hyperlink" Target="https://docs.python-telegram-bo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html/" TargetMode="External"/><Relationship Id="rId20" Type="http://schemas.openxmlformats.org/officeDocument/2006/relationships/hyperlink" Target="https://www.apress.com/gp/book/978148423824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decrafters-io/build-your-own-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ka.guide/cs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Relationship Id="rId22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23</Pages>
  <Words>4352</Words>
  <Characters>24812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9</cp:revision>
  <dcterms:created xsi:type="dcterms:W3CDTF">2025-05-16T14:20:00Z</dcterms:created>
  <dcterms:modified xsi:type="dcterms:W3CDTF">2025-05-17T17:17:00Z</dcterms:modified>
</cp:coreProperties>
</file>