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31D1" w:rsidRPr="004E31D1" w:rsidRDefault="004E31D1" w:rsidP="004E31D1">
      <w:p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Break-even analysis benefits businesses by clarifying the exact sales volume needed to cover costs, guiding pricing, investment, and risk management decisions. It helps firms set realistic targets, evaluate new ventures, and monitor performance, making it a vital tool for financial planning.</w:t>
      </w:r>
    </w:p>
    <w:p w:rsidR="004E31D1" w:rsidRPr="004E31D1" w:rsidRDefault="004E31D1" w:rsidP="004E31D1">
      <w:pPr>
        <w:spacing w:before="100" w:beforeAutospacing="1" w:after="100" w:afterAutospacing="1" w:line="240" w:lineRule="auto"/>
        <w:outlineLvl w:val="1"/>
        <w:rPr>
          <w:rFonts w:ascii="Times New Roman" w:eastAsia="Times New Roman" w:hAnsi="Times New Roman" w:cs="Times New Roman"/>
          <w:b/>
          <w:bCs/>
          <w:sz w:val="36"/>
          <w:szCs w:val="36"/>
        </w:rPr>
      </w:pPr>
      <w:r w:rsidRPr="004E31D1">
        <w:rPr>
          <w:rFonts w:ascii="Segoe UI Emoji" w:eastAsia="Times New Roman" w:hAnsi="Segoe UI Emoji" w:cs="Segoe UI Emoji"/>
          <w:b/>
          <w:bCs/>
          <w:sz w:val="36"/>
          <w:szCs w:val="36"/>
        </w:rPr>
        <w:t>🔑</w:t>
      </w:r>
      <w:r w:rsidRPr="004E31D1">
        <w:rPr>
          <w:rFonts w:ascii="Times New Roman" w:eastAsia="Times New Roman" w:hAnsi="Times New Roman" w:cs="Times New Roman"/>
          <w:b/>
          <w:bCs/>
          <w:sz w:val="36"/>
          <w:szCs w:val="36"/>
        </w:rPr>
        <w:t xml:space="preserve"> Key Benefits of Break-Even Analysis</w:t>
      </w:r>
    </w:p>
    <w:p w:rsidR="004E31D1" w:rsidRPr="004E31D1" w:rsidRDefault="004E31D1" w:rsidP="004E3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Risk management</w:t>
      </w:r>
      <w:r w:rsidRPr="004E31D1">
        <w:rPr>
          <w:rFonts w:ascii="Times New Roman" w:eastAsia="Times New Roman" w:hAnsi="Times New Roman" w:cs="Times New Roman"/>
          <w:sz w:val="24"/>
          <w:szCs w:val="24"/>
        </w:rPr>
        <w:t xml:space="preserve"> Identifies the minimum sales required to avoid losses, helping businesses assess whether a new product, service, or investment is financially viable. This reduces uncertainty and prevents overcommitment of resources. </w:t>
      </w:r>
    </w:p>
    <w:p w:rsidR="004E31D1" w:rsidRPr="004E31D1" w:rsidRDefault="004E31D1" w:rsidP="004E3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Pricing strategy</w:t>
      </w:r>
      <w:r w:rsidRPr="004E31D1">
        <w:rPr>
          <w:rFonts w:ascii="Times New Roman" w:eastAsia="Times New Roman" w:hAnsi="Times New Roman" w:cs="Times New Roman"/>
          <w:sz w:val="24"/>
          <w:szCs w:val="24"/>
        </w:rPr>
        <w:t xml:space="preserve"> Shows how changes in price or cost structures affect profitability. Businesses can experiment with different pricing models and understand the impact on the break-even point. </w:t>
      </w:r>
    </w:p>
    <w:p w:rsidR="004E31D1" w:rsidRPr="004E31D1" w:rsidRDefault="004E31D1" w:rsidP="004E3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Goal setting</w:t>
      </w:r>
      <w:r w:rsidRPr="004E31D1">
        <w:rPr>
          <w:rFonts w:ascii="Times New Roman" w:eastAsia="Times New Roman" w:hAnsi="Times New Roman" w:cs="Times New Roman"/>
          <w:sz w:val="24"/>
          <w:szCs w:val="24"/>
        </w:rPr>
        <w:t xml:space="preserve"> Provides realistic sales targets and performance benchmarks. Managers can align budgets and expectations with achievable outcomes. </w:t>
      </w:r>
    </w:p>
    <w:p w:rsidR="004E31D1" w:rsidRPr="004E31D1" w:rsidRDefault="004E31D1" w:rsidP="004E3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Scenario evaluation</w:t>
      </w:r>
      <w:r w:rsidRPr="004E31D1">
        <w:rPr>
          <w:rFonts w:ascii="Times New Roman" w:eastAsia="Times New Roman" w:hAnsi="Times New Roman" w:cs="Times New Roman"/>
          <w:sz w:val="24"/>
          <w:szCs w:val="24"/>
        </w:rPr>
        <w:t xml:space="preserve"> Allows businesses to test “what-if” situations—such as entering new markets, changing suppliers, or adjusting production capacity—and compare profitability outcomes. </w:t>
      </w:r>
    </w:p>
    <w:p w:rsidR="004E31D1" w:rsidRPr="004E31D1" w:rsidRDefault="004E31D1" w:rsidP="004E3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Performance monitoring</w:t>
      </w:r>
      <w:r w:rsidRPr="004E31D1">
        <w:rPr>
          <w:rFonts w:ascii="Times New Roman" w:eastAsia="Times New Roman" w:hAnsi="Times New Roman" w:cs="Times New Roman"/>
          <w:sz w:val="24"/>
          <w:szCs w:val="24"/>
        </w:rPr>
        <w:t xml:space="preserve"> Tracks progress toward profitability and highlights areas for efficiency improvements. It helps managers see how sensitive profits are to changes in sales, costs, or prices. </w:t>
      </w:r>
    </w:p>
    <w:p w:rsidR="004E31D1" w:rsidRPr="004E31D1" w:rsidRDefault="004E31D1" w:rsidP="004E3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Cost management</w:t>
      </w:r>
      <w:r w:rsidRPr="004E31D1">
        <w:rPr>
          <w:rFonts w:ascii="Times New Roman" w:eastAsia="Times New Roman" w:hAnsi="Times New Roman" w:cs="Times New Roman"/>
          <w:sz w:val="24"/>
          <w:szCs w:val="24"/>
        </w:rPr>
        <w:t xml:space="preserve"> </w:t>
      </w:r>
      <w:proofErr w:type="gramStart"/>
      <w:r w:rsidRPr="004E31D1">
        <w:rPr>
          <w:rFonts w:ascii="Times New Roman" w:eastAsia="Times New Roman" w:hAnsi="Times New Roman" w:cs="Times New Roman"/>
          <w:sz w:val="24"/>
          <w:szCs w:val="24"/>
        </w:rPr>
        <w:t>By</w:t>
      </w:r>
      <w:proofErr w:type="gramEnd"/>
      <w:r w:rsidRPr="004E31D1">
        <w:rPr>
          <w:rFonts w:ascii="Times New Roman" w:eastAsia="Times New Roman" w:hAnsi="Times New Roman" w:cs="Times New Roman"/>
          <w:sz w:val="24"/>
          <w:szCs w:val="24"/>
        </w:rPr>
        <w:t xml:space="preserve"> distinguishing fixed and variable costs, businesses can identify opportunities to reduce expenses without harming quality, thereby lowering the break-even point. </w:t>
      </w:r>
    </w:p>
    <w:p w:rsidR="004E31D1" w:rsidRPr="004E31D1" w:rsidRDefault="004E31D1" w:rsidP="004E31D1">
      <w:pPr>
        <w:spacing w:before="100" w:beforeAutospacing="1" w:after="100" w:afterAutospacing="1" w:line="240" w:lineRule="auto"/>
        <w:outlineLvl w:val="1"/>
        <w:rPr>
          <w:rFonts w:ascii="Times New Roman" w:eastAsia="Times New Roman" w:hAnsi="Times New Roman" w:cs="Times New Roman"/>
          <w:b/>
          <w:bCs/>
          <w:sz w:val="36"/>
          <w:szCs w:val="36"/>
        </w:rPr>
      </w:pPr>
      <w:r w:rsidRPr="004E31D1">
        <w:rPr>
          <w:rFonts w:ascii="Segoe UI Emoji" w:eastAsia="Times New Roman" w:hAnsi="Segoe UI Emoji" w:cs="Segoe UI Emoji"/>
          <w:b/>
          <w:bCs/>
          <w:sz w:val="36"/>
          <w:szCs w:val="36"/>
        </w:rPr>
        <w:t>📊</w:t>
      </w:r>
      <w:r w:rsidRPr="004E31D1">
        <w:rPr>
          <w:rFonts w:ascii="Times New Roman" w:eastAsia="Times New Roman" w:hAnsi="Times New Roman" w:cs="Times New Roman"/>
          <w:b/>
          <w:bCs/>
          <w:sz w:val="36"/>
          <w:szCs w:val="36"/>
        </w:rPr>
        <w:t xml:space="preserve"> Comparison Table: Benefits of Break-Even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5161"/>
      </w:tblGrid>
      <w:tr w:rsidR="004E31D1" w:rsidRPr="004E31D1" w:rsidTr="004E31D1">
        <w:trPr>
          <w:tblHeader/>
          <w:tblCellSpacing w:w="15" w:type="dxa"/>
        </w:trPr>
        <w:tc>
          <w:tcPr>
            <w:tcW w:w="0" w:type="auto"/>
            <w:vAlign w:val="center"/>
            <w:hideMark/>
          </w:tcPr>
          <w:p w:rsidR="004E31D1" w:rsidRPr="004E31D1" w:rsidRDefault="004E31D1" w:rsidP="004E31D1">
            <w:pPr>
              <w:spacing w:after="0" w:line="240" w:lineRule="auto"/>
              <w:jc w:val="center"/>
              <w:rPr>
                <w:rFonts w:ascii="Times New Roman" w:eastAsia="Times New Roman" w:hAnsi="Times New Roman" w:cs="Times New Roman"/>
                <w:b/>
                <w:bCs/>
                <w:sz w:val="24"/>
                <w:szCs w:val="24"/>
              </w:rPr>
            </w:pPr>
            <w:r w:rsidRPr="004E31D1">
              <w:rPr>
                <w:rFonts w:ascii="Times New Roman" w:eastAsia="Times New Roman" w:hAnsi="Times New Roman" w:cs="Times New Roman"/>
                <w:b/>
                <w:bCs/>
                <w:sz w:val="24"/>
                <w:szCs w:val="24"/>
              </w:rPr>
              <w:t>Benefit</w:t>
            </w:r>
          </w:p>
        </w:tc>
        <w:tc>
          <w:tcPr>
            <w:tcW w:w="0" w:type="auto"/>
            <w:vAlign w:val="center"/>
            <w:hideMark/>
          </w:tcPr>
          <w:p w:rsidR="004E31D1" w:rsidRPr="004E31D1" w:rsidRDefault="004E31D1" w:rsidP="004E31D1">
            <w:pPr>
              <w:spacing w:after="0" w:line="240" w:lineRule="auto"/>
              <w:jc w:val="center"/>
              <w:rPr>
                <w:rFonts w:ascii="Times New Roman" w:eastAsia="Times New Roman" w:hAnsi="Times New Roman" w:cs="Times New Roman"/>
                <w:b/>
                <w:bCs/>
                <w:sz w:val="24"/>
                <w:szCs w:val="24"/>
              </w:rPr>
            </w:pPr>
            <w:r w:rsidRPr="004E31D1">
              <w:rPr>
                <w:rFonts w:ascii="Times New Roman" w:eastAsia="Times New Roman" w:hAnsi="Times New Roman" w:cs="Times New Roman"/>
                <w:b/>
                <w:bCs/>
                <w:sz w:val="24"/>
                <w:szCs w:val="24"/>
              </w:rPr>
              <w:t>Impact on Business</w:t>
            </w:r>
          </w:p>
        </w:tc>
      </w:tr>
      <w:tr w:rsidR="004E31D1" w:rsidRPr="004E31D1" w:rsidTr="004E31D1">
        <w:trPr>
          <w:tblCellSpacing w:w="15" w:type="dxa"/>
        </w:trPr>
        <w:tc>
          <w:tcPr>
            <w:tcW w:w="0" w:type="auto"/>
            <w:vAlign w:val="center"/>
            <w:hideMark/>
          </w:tcPr>
          <w:p w:rsidR="004E31D1" w:rsidRPr="004E31D1" w:rsidRDefault="004E31D1" w:rsidP="004E31D1">
            <w:pPr>
              <w:spacing w:after="0" w:line="240" w:lineRule="auto"/>
              <w:jc w:val="center"/>
              <w:rPr>
                <w:rFonts w:ascii="Times New Roman" w:eastAsia="Times New Roman" w:hAnsi="Times New Roman" w:cs="Times New Roman"/>
                <w:b/>
                <w:bCs/>
                <w:sz w:val="24"/>
                <w:szCs w:val="24"/>
              </w:rPr>
            </w:pPr>
            <w:r w:rsidRPr="004E31D1">
              <w:rPr>
                <w:rFonts w:ascii="Times New Roman" w:eastAsia="Times New Roman" w:hAnsi="Times New Roman" w:cs="Times New Roman"/>
                <w:b/>
                <w:bCs/>
                <w:sz w:val="24"/>
                <w:szCs w:val="24"/>
              </w:rPr>
              <w:t>Risk management</w:t>
            </w:r>
          </w:p>
        </w:tc>
        <w:tc>
          <w:tcPr>
            <w:tcW w:w="0" w:type="auto"/>
            <w:vAlign w:val="center"/>
            <w:hideMark/>
          </w:tcPr>
          <w:p w:rsidR="004E31D1" w:rsidRPr="004E31D1" w:rsidRDefault="004E31D1" w:rsidP="004E31D1">
            <w:pPr>
              <w:spacing w:after="0"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sz w:val="24"/>
                <w:szCs w:val="24"/>
              </w:rPr>
              <w:t>Prevents unprofitable ventures by clarifying viability</w:t>
            </w:r>
          </w:p>
        </w:tc>
      </w:tr>
      <w:tr w:rsidR="004E31D1" w:rsidRPr="004E31D1" w:rsidTr="004E31D1">
        <w:trPr>
          <w:tblCellSpacing w:w="15" w:type="dxa"/>
        </w:trPr>
        <w:tc>
          <w:tcPr>
            <w:tcW w:w="0" w:type="auto"/>
            <w:vAlign w:val="center"/>
            <w:hideMark/>
          </w:tcPr>
          <w:p w:rsidR="004E31D1" w:rsidRPr="004E31D1" w:rsidRDefault="004E31D1" w:rsidP="004E31D1">
            <w:pPr>
              <w:spacing w:after="0" w:line="240" w:lineRule="auto"/>
              <w:jc w:val="center"/>
              <w:rPr>
                <w:rFonts w:ascii="Times New Roman" w:eastAsia="Times New Roman" w:hAnsi="Times New Roman" w:cs="Times New Roman"/>
                <w:b/>
                <w:bCs/>
                <w:sz w:val="24"/>
                <w:szCs w:val="24"/>
              </w:rPr>
            </w:pPr>
            <w:r w:rsidRPr="004E31D1">
              <w:rPr>
                <w:rFonts w:ascii="Times New Roman" w:eastAsia="Times New Roman" w:hAnsi="Times New Roman" w:cs="Times New Roman"/>
                <w:b/>
                <w:bCs/>
                <w:sz w:val="24"/>
                <w:szCs w:val="24"/>
              </w:rPr>
              <w:t>Pricing strategy</w:t>
            </w:r>
          </w:p>
        </w:tc>
        <w:tc>
          <w:tcPr>
            <w:tcW w:w="0" w:type="auto"/>
            <w:vAlign w:val="center"/>
            <w:hideMark/>
          </w:tcPr>
          <w:p w:rsidR="004E31D1" w:rsidRPr="004E31D1" w:rsidRDefault="004E31D1" w:rsidP="004E31D1">
            <w:pPr>
              <w:spacing w:after="0"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sz w:val="24"/>
                <w:szCs w:val="24"/>
              </w:rPr>
              <w:t>Guides optimal pricing decisions</w:t>
            </w:r>
          </w:p>
        </w:tc>
      </w:tr>
      <w:tr w:rsidR="004E31D1" w:rsidRPr="004E31D1" w:rsidTr="004E31D1">
        <w:trPr>
          <w:tblCellSpacing w:w="15" w:type="dxa"/>
        </w:trPr>
        <w:tc>
          <w:tcPr>
            <w:tcW w:w="0" w:type="auto"/>
            <w:vAlign w:val="center"/>
            <w:hideMark/>
          </w:tcPr>
          <w:p w:rsidR="004E31D1" w:rsidRPr="004E31D1" w:rsidRDefault="004E31D1" w:rsidP="004E31D1">
            <w:pPr>
              <w:spacing w:after="0" w:line="240" w:lineRule="auto"/>
              <w:jc w:val="center"/>
              <w:rPr>
                <w:rFonts w:ascii="Times New Roman" w:eastAsia="Times New Roman" w:hAnsi="Times New Roman" w:cs="Times New Roman"/>
                <w:b/>
                <w:bCs/>
                <w:sz w:val="24"/>
                <w:szCs w:val="24"/>
              </w:rPr>
            </w:pPr>
            <w:r w:rsidRPr="004E31D1">
              <w:rPr>
                <w:rFonts w:ascii="Times New Roman" w:eastAsia="Times New Roman" w:hAnsi="Times New Roman" w:cs="Times New Roman"/>
                <w:b/>
                <w:bCs/>
                <w:sz w:val="24"/>
                <w:szCs w:val="24"/>
              </w:rPr>
              <w:t>Goal setting</w:t>
            </w:r>
          </w:p>
        </w:tc>
        <w:tc>
          <w:tcPr>
            <w:tcW w:w="0" w:type="auto"/>
            <w:vAlign w:val="center"/>
            <w:hideMark/>
          </w:tcPr>
          <w:p w:rsidR="004E31D1" w:rsidRPr="004E31D1" w:rsidRDefault="004E31D1" w:rsidP="004E31D1">
            <w:pPr>
              <w:spacing w:after="0"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sz w:val="24"/>
                <w:szCs w:val="24"/>
              </w:rPr>
              <w:t>Establishes realistic sales and budget targets</w:t>
            </w:r>
          </w:p>
        </w:tc>
      </w:tr>
      <w:tr w:rsidR="004E31D1" w:rsidRPr="004E31D1" w:rsidTr="004E31D1">
        <w:trPr>
          <w:tblCellSpacing w:w="15" w:type="dxa"/>
        </w:trPr>
        <w:tc>
          <w:tcPr>
            <w:tcW w:w="0" w:type="auto"/>
            <w:vAlign w:val="center"/>
            <w:hideMark/>
          </w:tcPr>
          <w:p w:rsidR="004E31D1" w:rsidRPr="004E31D1" w:rsidRDefault="004E31D1" w:rsidP="004E31D1">
            <w:pPr>
              <w:spacing w:after="0" w:line="240" w:lineRule="auto"/>
              <w:jc w:val="center"/>
              <w:rPr>
                <w:rFonts w:ascii="Times New Roman" w:eastAsia="Times New Roman" w:hAnsi="Times New Roman" w:cs="Times New Roman"/>
                <w:b/>
                <w:bCs/>
                <w:sz w:val="24"/>
                <w:szCs w:val="24"/>
              </w:rPr>
            </w:pPr>
            <w:r w:rsidRPr="004E31D1">
              <w:rPr>
                <w:rFonts w:ascii="Times New Roman" w:eastAsia="Times New Roman" w:hAnsi="Times New Roman" w:cs="Times New Roman"/>
                <w:b/>
                <w:bCs/>
                <w:sz w:val="24"/>
                <w:szCs w:val="24"/>
              </w:rPr>
              <w:t>Scenario evaluation</w:t>
            </w:r>
          </w:p>
        </w:tc>
        <w:tc>
          <w:tcPr>
            <w:tcW w:w="0" w:type="auto"/>
            <w:vAlign w:val="center"/>
            <w:hideMark/>
          </w:tcPr>
          <w:p w:rsidR="004E31D1" w:rsidRPr="004E31D1" w:rsidRDefault="004E31D1" w:rsidP="004E31D1">
            <w:pPr>
              <w:spacing w:after="0"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sz w:val="24"/>
                <w:szCs w:val="24"/>
              </w:rPr>
              <w:t>Compares different strategic options</w:t>
            </w:r>
          </w:p>
        </w:tc>
      </w:tr>
      <w:tr w:rsidR="004E31D1" w:rsidRPr="004E31D1" w:rsidTr="004E31D1">
        <w:trPr>
          <w:tblCellSpacing w:w="15" w:type="dxa"/>
        </w:trPr>
        <w:tc>
          <w:tcPr>
            <w:tcW w:w="0" w:type="auto"/>
            <w:vAlign w:val="center"/>
            <w:hideMark/>
          </w:tcPr>
          <w:p w:rsidR="004E31D1" w:rsidRPr="004E31D1" w:rsidRDefault="004E31D1" w:rsidP="004E31D1">
            <w:pPr>
              <w:spacing w:after="0" w:line="240" w:lineRule="auto"/>
              <w:jc w:val="center"/>
              <w:rPr>
                <w:rFonts w:ascii="Times New Roman" w:eastAsia="Times New Roman" w:hAnsi="Times New Roman" w:cs="Times New Roman"/>
                <w:b/>
                <w:bCs/>
                <w:sz w:val="24"/>
                <w:szCs w:val="24"/>
              </w:rPr>
            </w:pPr>
            <w:r w:rsidRPr="004E31D1">
              <w:rPr>
                <w:rFonts w:ascii="Times New Roman" w:eastAsia="Times New Roman" w:hAnsi="Times New Roman" w:cs="Times New Roman"/>
                <w:b/>
                <w:bCs/>
                <w:sz w:val="24"/>
                <w:szCs w:val="24"/>
              </w:rPr>
              <w:t>Performance monitoring</w:t>
            </w:r>
          </w:p>
        </w:tc>
        <w:tc>
          <w:tcPr>
            <w:tcW w:w="0" w:type="auto"/>
            <w:vAlign w:val="center"/>
            <w:hideMark/>
          </w:tcPr>
          <w:p w:rsidR="004E31D1" w:rsidRPr="004E31D1" w:rsidRDefault="004E31D1" w:rsidP="004E31D1">
            <w:pPr>
              <w:spacing w:after="0"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sz w:val="24"/>
                <w:szCs w:val="24"/>
              </w:rPr>
              <w:t>Tracks progress and highlights efficiency gaps</w:t>
            </w:r>
          </w:p>
        </w:tc>
      </w:tr>
      <w:tr w:rsidR="004E31D1" w:rsidRPr="004E31D1" w:rsidTr="004E31D1">
        <w:trPr>
          <w:tblCellSpacing w:w="15" w:type="dxa"/>
        </w:trPr>
        <w:tc>
          <w:tcPr>
            <w:tcW w:w="0" w:type="auto"/>
            <w:vAlign w:val="center"/>
            <w:hideMark/>
          </w:tcPr>
          <w:p w:rsidR="004E31D1" w:rsidRPr="004E31D1" w:rsidRDefault="004E31D1" w:rsidP="004E31D1">
            <w:pPr>
              <w:spacing w:after="0" w:line="240" w:lineRule="auto"/>
              <w:jc w:val="center"/>
              <w:rPr>
                <w:rFonts w:ascii="Times New Roman" w:eastAsia="Times New Roman" w:hAnsi="Times New Roman" w:cs="Times New Roman"/>
                <w:b/>
                <w:bCs/>
                <w:sz w:val="24"/>
                <w:szCs w:val="24"/>
              </w:rPr>
            </w:pPr>
            <w:r w:rsidRPr="004E31D1">
              <w:rPr>
                <w:rFonts w:ascii="Times New Roman" w:eastAsia="Times New Roman" w:hAnsi="Times New Roman" w:cs="Times New Roman"/>
                <w:b/>
                <w:bCs/>
                <w:sz w:val="24"/>
                <w:szCs w:val="24"/>
              </w:rPr>
              <w:t>Cost management</w:t>
            </w:r>
          </w:p>
        </w:tc>
        <w:tc>
          <w:tcPr>
            <w:tcW w:w="0" w:type="auto"/>
            <w:vAlign w:val="center"/>
            <w:hideMark/>
          </w:tcPr>
          <w:p w:rsidR="004E31D1" w:rsidRPr="004E31D1" w:rsidRDefault="004E31D1" w:rsidP="004E31D1">
            <w:pPr>
              <w:spacing w:after="0"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sz w:val="24"/>
                <w:szCs w:val="24"/>
              </w:rPr>
              <w:t>Identifies cost-saving opportunities</w:t>
            </w:r>
          </w:p>
        </w:tc>
      </w:tr>
    </w:tbl>
    <w:p w:rsidR="004E31D1" w:rsidRPr="004E31D1" w:rsidRDefault="004E31D1" w:rsidP="004E31D1">
      <w:pPr>
        <w:spacing w:before="100" w:beforeAutospacing="1" w:after="100" w:afterAutospacing="1" w:line="240" w:lineRule="auto"/>
        <w:outlineLvl w:val="1"/>
        <w:rPr>
          <w:rFonts w:ascii="Times New Roman" w:eastAsia="Times New Roman" w:hAnsi="Times New Roman" w:cs="Times New Roman"/>
          <w:b/>
          <w:bCs/>
          <w:sz w:val="36"/>
          <w:szCs w:val="36"/>
        </w:rPr>
      </w:pPr>
      <w:r w:rsidRPr="004E31D1">
        <w:rPr>
          <w:rFonts w:ascii="Segoe UI Emoji" w:eastAsia="Times New Roman" w:hAnsi="Segoe UI Emoji" w:cs="Segoe UI Emoji"/>
          <w:b/>
          <w:bCs/>
          <w:sz w:val="36"/>
          <w:szCs w:val="36"/>
        </w:rPr>
        <w:t>⚠️</w:t>
      </w:r>
      <w:r w:rsidRPr="004E31D1">
        <w:rPr>
          <w:rFonts w:ascii="Times New Roman" w:eastAsia="Times New Roman" w:hAnsi="Times New Roman" w:cs="Times New Roman"/>
          <w:b/>
          <w:bCs/>
          <w:sz w:val="36"/>
          <w:szCs w:val="36"/>
        </w:rPr>
        <w:t xml:space="preserve"> Limitations to Consider</w:t>
      </w:r>
    </w:p>
    <w:p w:rsidR="004E31D1" w:rsidRPr="004E31D1" w:rsidRDefault="004E31D1" w:rsidP="004E3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Ignores market demand and competition</w:t>
      </w:r>
      <w:r w:rsidRPr="004E31D1">
        <w:rPr>
          <w:rFonts w:ascii="Times New Roman" w:eastAsia="Times New Roman" w:hAnsi="Times New Roman" w:cs="Times New Roman"/>
          <w:sz w:val="24"/>
          <w:szCs w:val="24"/>
        </w:rPr>
        <w:t xml:space="preserve"> – reaching break-even doesn’t guarantee sales will materialize.</w:t>
      </w:r>
    </w:p>
    <w:p w:rsidR="004E31D1" w:rsidRPr="004E31D1" w:rsidRDefault="004E31D1" w:rsidP="004E3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Assumes constant costs and prices</w:t>
      </w:r>
      <w:r w:rsidRPr="004E31D1">
        <w:rPr>
          <w:rFonts w:ascii="Times New Roman" w:eastAsia="Times New Roman" w:hAnsi="Times New Roman" w:cs="Times New Roman"/>
          <w:sz w:val="24"/>
          <w:szCs w:val="24"/>
        </w:rPr>
        <w:t xml:space="preserve"> – in reality, costs fluctuate and discounts may apply.</w:t>
      </w:r>
    </w:p>
    <w:p w:rsidR="004E31D1" w:rsidRPr="004E31D1" w:rsidRDefault="004E31D1" w:rsidP="004E3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b/>
          <w:bCs/>
          <w:sz w:val="24"/>
          <w:szCs w:val="24"/>
        </w:rPr>
        <w:t>Doesn’t account for external risks</w:t>
      </w:r>
      <w:r w:rsidRPr="004E31D1">
        <w:rPr>
          <w:rFonts w:ascii="Times New Roman" w:eastAsia="Times New Roman" w:hAnsi="Times New Roman" w:cs="Times New Roman"/>
          <w:sz w:val="24"/>
          <w:szCs w:val="24"/>
        </w:rPr>
        <w:t xml:space="preserve"> – such as economic downturns or regulatory changes. </w:t>
      </w:r>
    </w:p>
    <w:p w:rsidR="004E31D1" w:rsidRPr="004E31D1" w:rsidRDefault="004E31D1" w:rsidP="004E31D1">
      <w:pPr>
        <w:spacing w:before="100" w:beforeAutospacing="1" w:after="100" w:afterAutospacing="1" w:line="240" w:lineRule="auto"/>
        <w:outlineLvl w:val="1"/>
        <w:rPr>
          <w:rFonts w:ascii="Times New Roman" w:eastAsia="Times New Roman" w:hAnsi="Times New Roman" w:cs="Times New Roman"/>
          <w:b/>
          <w:bCs/>
          <w:sz w:val="36"/>
          <w:szCs w:val="36"/>
        </w:rPr>
      </w:pPr>
      <w:r w:rsidRPr="004E31D1">
        <w:rPr>
          <w:rFonts w:ascii="Segoe UI Emoji" w:eastAsia="Times New Roman" w:hAnsi="Segoe UI Emoji" w:cs="Segoe UI Emoji"/>
          <w:b/>
          <w:bCs/>
          <w:sz w:val="36"/>
          <w:szCs w:val="36"/>
        </w:rPr>
        <w:lastRenderedPageBreak/>
        <w:t>✅</w:t>
      </w:r>
      <w:r w:rsidRPr="004E31D1">
        <w:rPr>
          <w:rFonts w:ascii="Times New Roman" w:eastAsia="Times New Roman" w:hAnsi="Times New Roman" w:cs="Times New Roman"/>
          <w:b/>
          <w:bCs/>
          <w:sz w:val="36"/>
          <w:szCs w:val="36"/>
        </w:rPr>
        <w:t xml:space="preserve"> Conclusion</w:t>
      </w:r>
    </w:p>
    <w:p w:rsidR="004E31D1" w:rsidRPr="004E31D1" w:rsidRDefault="004E31D1" w:rsidP="004E31D1">
      <w:p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sz w:val="24"/>
          <w:szCs w:val="24"/>
        </w:rPr>
        <w:t xml:space="preserve">Break-even analysis is a </w:t>
      </w:r>
      <w:r w:rsidRPr="004E31D1">
        <w:rPr>
          <w:rFonts w:ascii="Times New Roman" w:eastAsia="Times New Roman" w:hAnsi="Times New Roman" w:cs="Times New Roman"/>
          <w:b/>
          <w:bCs/>
          <w:sz w:val="24"/>
          <w:szCs w:val="24"/>
        </w:rPr>
        <w:t>powerful planning tool</w:t>
      </w:r>
      <w:r w:rsidRPr="004E31D1">
        <w:rPr>
          <w:rFonts w:ascii="Times New Roman" w:eastAsia="Times New Roman" w:hAnsi="Times New Roman" w:cs="Times New Roman"/>
          <w:sz w:val="24"/>
          <w:szCs w:val="24"/>
        </w:rPr>
        <w:t xml:space="preserve"> that helps businesses in Lilongwe and globally make informed decisions about pricing, investment, and operations. While it should not be used in isolation, combining it with market research and competitor analysis makes it a cornerstone of effective financial management.</w:t>
      </w:r>
    </w:p>
    <w:p w:rsidR="004E31D1" w:rsidRPr="004E31D1" w:rsidRDefault="004E31D1" w:rsidP="004E31D1">
      <w:pPr>
        <w:spacing w:before="100" w:beforeAutospacing="1" w:after="100" w:afterAutospacing="1" w:line="240" w:lineRule="auto"/>
        <w:rPr>
          <w:rFonts w:ascii="Times New Roman" w:eastAsia="Times New Roman" w:hAnsi="Times New Roman" w:cs="Times New Roman"/>
          <w:sz w:val="24"/>
          <w:szCs w:val="24"/>
        </w:rPr>
      </w:pPr>
      <w:r w:rsidRPr="004E31D1">
        <w:rPr>
          <w:rFonts w:ascii="Times New Roman" w:eastAsia="Times New Roman" w:hAnsi="Times New Roman" w:cs="Times New Roman"/>
          <w:sz w:val="24"/>
          <w:szCs w:val="24"/>
        </w:rPr>
        <w:t xml:space="preserve">Would you like me to expand on how break-even analysis specifically supports </w:t>
      </w:r>
      <w:r w:rsidRPr="004E31D1">
        <w:rPr>
          <w:rFonts w:ascii="Times New Roman" w:eastAsia="Times New Roman" w:hAnsi="Times New Roman" w:cs="Times New Roman"/>
          <w:b/>
          <w:bCs/>
          <w:sz w:val="24"/>
          <w:szCs w:val="24"/>
        </w:rPr>
        <w:t>small businesses</w:t>
      </w:r>
      <w:r w:rsidRPr="004E31D1">
        <w:rPr>
          <w:rFonts w:ascii="Times New Roman" w:eastAsia="Times New Roman" w:hAnsi="Times New Roman" w:cs="Times New Roman"/>
          <w:sz w:val="24"/>
          <w:szCs w:val="24"/>
        </w:rPr>
        <w:t xml:space="preserve"> or </w:t>
      </w:r>
      <w:r w:rsidRPr="004E31D1">
        <w:rPr>
          <w:rFonts w:ascii="Times New Roman" w:eastAsia="Times New Roman" w:hAnsi="Times New Roman" w:cs="Times New Roman"/>
          <w:b/>
          <w:bCs/>
          <w:sz w:val="24"/>
          <w:szCs w:val="24"/>
        </w:rPr>
        <w:t>large corporations</w:t>
      </w:r>
      <w:r w:rsidRPr="004E31D1">
        <w:rPr>
          <w:rFonts w:ascii="Times New Roman" w:eastAsia="Times New Roman" w:hAnsi="Times New Roman" w:cs="Times New Roman"/>
          <w:sz w:val="24"/>
          <w:szCs w:val="24"/>
        </w:rPr>
        <w:t>?</w:t>
      </w:r>
    </w:p>
    <w:p w:rsidR="004E31D1" w:rsidRDefault="004E31D1">
      <w:bookmarkStart w:id="0" w:name="_GoBack"/>
      <w:bookmarkEnd w:id="0"/>
    </w:p>
    <w:sectPr w:rsidR="004E3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8C278B"/>
    <w:multiLevelType w:val="multilevel"/>
    <w:tmpl w:val="8C5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67D93"/>
    <w:multiLevelType w:val="multilevel"/>
    <w:tmpl w:val="8C3A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1D1"/>
    <w:rsid w:val="004E3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6C08E-B5D4-48AF-A429-FC6B51471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136368">
      <w:bodyDiv w:val="1"/>
      <w:marLeft w:val="0"/>
      <w:marRight w:val="0"/>
      <w:marTop w:val="0"/>
      <w:marBottom w:val="0"/>
      <w:divBdr>
        <w:top w:val="none" w:sz="0" w:space="0" w:color="auto"/>
        <w:left w:val="none" w:sz="0" w:space="0" w:color="auto"/>
        <w:bottom w:val="none" w:sz="0" w:space="0" w:color="auto"/>
        <w:right w:val="none" w:sz="0" w:space="0" w:color="auto"/>
      </w:divBdr>
      <w:divsChild>
        <w:div w:id="1613632669">
          <w:marLeft w:val="0"/>
          <w:marRight w:val="0"/>
          <w:marTop w:val="0"/>
          <w:marBottom w:val="0"/>
          <w:divBdr>
            <w:top w:val="none" w:sz="0" w:space="0" w:color="auto"/>
            <w:left w:val="none" w:sz="0" w:space="0" w:color="auto"/>
            <w:bottom w:val="none" w:sz="0" w:space="0" w:color="auto"/>
            <w:right w:val="none" w:sz="0" w:space="0" w:color="auto"/>
          </w:divBdr>
          <w:divsChild>
            <w:div w:id="139616846">
              <w:marLeft w:val="0"/>
              <w:marRight w:val="0"/>
              <w:marTop w:val="0"/>
              <w:marBottom w:val="0"/>
              <w:divBdr>
                <w:top w:val="none" w:sz="0" w:space="0" w:color="auto"/>
                <w:left w:val="none" w:sz="0" w:space="0" w:color="auto"/>
                <w:bottom w:val="none" w:sz="0" w:space="0" w:color="auto"/>
                <w:right w:val="none" w:sz="0" w:space="0" w:color="auto"/>
              </w:divBdr>
              <w:divsChild>
                <w:div w:id="397482967">
                  <w:marLeft w:val="0"/>
                  <w:marRight w:val="0"/>
                  <w:marTop w:val="0"/>
                  <w:marBottom w:val="0"/>
                  <w:divBdr>
                    <w:top w:val="none" w:sz="0" w:space="0" w:color="auto"/>
                    <w:left w:val="none" w:sz="0" w:space="0" w:color="auto"/>
                    <w:bottom w:val="none" w:sz="0" w:space="0" w:color="auto"/>
                    <w:right w:val="none" w:sz="0" w:space="0" w:color="auto"/>
                  </w:divBdr>
                  <w:divsChild>
                    <w:div w:id="906650635">
                      <w:marLeft w:val="0"/>
                      <w:marRight w:val="0"/>
                      <w:marTop w:val="0"/>
                      <w:marBottom w:val="0"/>
                      <w:divBdr>
                        <w:top w:val="none" w:sz="0" w:space="0" w:color="auto"/>
                        <w:left w:val="none" w:sz="0" w:space="0" w:color="auto"/>
                        <w:bottom w:val="none" w:sz="0" w:space="0" w:color="auto"/>
                        <w:right w:val="none" w:sz="0" w:space="0" w:color="auto"/>
                      </w:divBdr>
                      <w:divsChild>
                        <w:div w:id="93031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2026-09-15T15:15:00Z</dcterms:created>
  <dcterms:modified xsi:type="dcterms:W3CDTF">2026-09-15T15:16:00Z</dcterms:modified>
</cp:coreProperties>
</file>