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អត្ថបទនេះ បង្ហាញអំពីការអនុវត្តការវាយតម្លៃភាពងាយរងគ្រោះ និងការធ្វើតេស្តការជ្រៀតចូល (VAPT) លើ neuralsh.com ដែលជាវេទិកាស្វែងរកដោយប្រើបញ្ញាសិប្បនិម្មិត ដំណើរការដោយ Prestige Alliance Co., Ltd.។ ការអនុវត្តនេះ ត្រូវបានប្រព្រឹត្ត​ក្នុងអំឡុងការហ្វឹកហ្វឺនរយៈពេល ៤ ខែ ចាប់ពីខែកុម្ភៈ ដល់ ខែឧសភា ឆ្នាំ ២០២៦ ដោយប្រើប្រាស់វិធីសាស្ត្របំបែចខ្មៅ (Black-box) ដែលផ្អែកលើ OWASP Testing Guide ចែកចេញជា ៥ ដំណាក់កាល ។ ភាពងាយរងគ្រោះចំនួន ១៧ ត្រូវបានរកឃើញ ចែកចេញជា ៤ វិកល្ប ៤ ខ្ពស់ ៦ មធ្យម និង ៣ ទាប ។ ក្នុងចំណោមការរកឃើញដ៏ធ្ងន់ធ្ងរ គឺ​មាន​ ផ្ទាំងអ្នកគ្រប់គ្រង WHM ដែលអាចចូលប្រើប្រាស់ជាសាធារណៈ ច្រកទ្វារ MySQL ត្រូវបានបង្ហាញលើអ៊ីនធឺណិត ផ្ទាំងបណ្តាញ MikroTik ដែលត្រូវបានបង្ហាញ និង ការរំលំ WAF Cloudflare តាមការបង្ហាញអាសយដ្ឋាន IP ដើម ។ ការរំលំប្រព័ន្ធគ្រប់គ្រងចំនួនស្នើសុំ ត្រូវបានបញ្ជាក់ ដោយអត្រាជោគជ័យ ១០០ ភាគរយ ដោយប្រើ X-Forwarded-For header spoofing ។ របាយការណ៍ VAPT ពេញលេញ ដែលមានអនុសាសន៍កែប្រែ ត្រូវបានប្រគល់ជូនដល់ Prestige Alliance Co., Ltd.។</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Une approche boîte noire a été suivie, simulant un attaquant externe sans connaissance préalable du système cible, en conformité avec le guide de test OWASP. L'engagement a été structuré en cinq phases séquentielles : reconnaissance, analyse et énumération, évaluation des vulnérabilités, exploitation et post-exploitation.</w:t>
      </w:r>
    </w:p>
    <w:p>
      <w:pPr>
        <w:spacing w:line="360" w:lineRule="auto" w:after="120"/>
        <w:ind w:firstLine="0"/>
        <w:jc w:val="both"/>
      </w:pPr>
      <w:r>
        <w:rPr>
          <w:rFonts w:ascii="Times New Roman" w:hAnsi="Times New Roman"/>
          <w:sz w:val="24"/>
        </w:rPr>
        <w:t xml:space="preserve">Dix-sept vulnérabilités ont été identifiées : quatre Critiques, quatre Élevées, six Moyennes et trois Faibles. Les résultats critiques comprennent un panneau d'administration WHM accessible publiquement, un port MySQL exposé sur Internet, un panneau d'administration réseau MikroTik et un contournement du pare-feu applicatif Cloudflare par divulgation de l'adresse IP d'origine. Deux chaînes d'exploitation ont été confirmées : un contournement de la limitation de débit atteignant un taux de réussite de 100 % via la falsification d'en-têtes HTTP, et une génération illimitée de jetons JWT via un point d'accès non authentifié. Un rapport complet incluant des recommandations de remédiation, classées par score </w:t>
      </w:r>
      <w:r>
        <w:rPr>
          <w:rFonts w:ascii="Times New Roman" w:hAnsi="Times New Roman"/>
          <w:b/>
          <w:sz w:val="24"/>
        </w:rPr>
        <w:t>CVSS v3.1</w:t>
      </w:r>
      <w:r>
        <w:rPr>
          <w:rFonts w:ascii="Times New Roman" w:hAnsi="Times New Roman"/>
          <w:sz w:val="24"/>
        </w:rPr>
        <w:t>, a été remis aux parties prenantes.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