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I would like to express my sincere gratitude to the President of the Institution of Technology of Cambodia, the Head of the Department of General Studies and Natural Sciences, and my academic supervisor for their continuous guidance and support throughout this internship programme.</w:t>
      </w:r>
    </w:p>
    <w:p>
      <w:pPr>
        <w:spacing w:line="360" w:lineRule="auto" w:after="120"/>
        <w:ind w:firstLine="720"/>
        <w:jc w:val="both"/>
      </w:pPr>
      <w:r>
        <w:rPr>
          <w:rFonts w:ascii="Times New Roman" w:hAnsi="Times New Roman"/>
          <w:sz w:val="24"/>
        </w:rPr>
        <w:t>I am deeply grateful to the management and technical team at Prestige Alliance Co., Ltd. for providing the opportunity to conduct this vulnerability assessment and penetration testing engagement on neuralsh.com, and for their professional guidance during the internship period.</w:t>
      </w:r>
    </w:p>
    <w:p>
      <w:pPr>
        <w:spacing w:line="360" w:lineRule="auto" w:after="120"/>
        <w:ind w:firstLine="720"/>
        <w:jc w:val="both"/>
      </w:pPr>
      <w:r>
        <w:rPr>
          <w:rFonts w:ascii="Times New Roman" w:hAnsi="Times New Roman"/>
          <w:sz w:val="24"/>
        </w:rPr>
        <w:t>I also extend my appreciation to all colleagues and peers who provided feedback during the preparation of this report.</w:t>
      </w:r>
    </w:p>
    <w:p>
      <w:pPr>
        <w:pStyle w:val="Heading1"/>
        <w:jc w:val="center"/>
      </w:pPr>
      <w:r>
        <w:rPr>
          <w:rFonts w:ascii="Khmer OS" w:hAnsi="Khmer OS"/>
          <w:b/>
          <w:color w:val="000000"/>
          <w:sz w:val="32"/>
        </w:rPr>
        <w:t>មូលដ្ឋានទេច</w:t>
      </w:r>
    </w:p>
    <w:p>
      <w:pPr>
        <w:spacing w:line="360" w:lineRule="auto" w:after="120"/>
        <w:ind w:firstLine="720"/>
        <w:jc w:val="both"/>
      </w:pPr>
      <w:r>
        <w:rPr>
          <w:rFonts w:ascii="Khmer OS" w:hAnsi="Khmer OS"/>
          <w:i/>
          <w:color w:val="808080"/>
          <w:sz w:val="24"/>
        </w:rPr>
        <w:t>[បញ្ចូលសរុបខ្លឹមសារជាភាសាខ្មែររបស់អ្នកនៅទីនេះ — paste your Khmer summary here]</w:t>
      </w:r>
    </w:p>
    <w:p>
      <w:pPr>
        <w:pStyle w:val="Heading1"/>
        <w:jc w:val="center"/>
      </w:pPr>
      <w:r>
        <w:rPr>
          <w:rFonts w:ascii="Times New Roman" w:hAnsi="Times New Roman"/>
          <w:b/>
          <w:i w:val="0"/>
          <w:sz w:val="32"/>
        </w:rPr>
        <w:t>ABSTRACT</w:t>
      </w:r>
    </w:p>
    <w:p>
      <w:pPr>
        <w:spacing w:line="360" w:lineRule="auto" w:after="120"/>
        <w:ind w:firstLine="720"/>
        <w:jc w:val="both"/>
      </w:pPr>
      <w:r>
        <w:rPr>
          <w:rFonts w:ascii="Times New Roman" w:hAnsi="Times New Roman"/>
          <w:sz w:val="24"/>
        </w:rPr>
        <w:t>This report presents a comprehensive Vulnerability Assessment and Penetration Testing (VAPT) engagement conducted on neuralsh.com, an AI-powered neural search platform, as part of an internship at Prestige Alliance Co., Ltd. The assessment was authorized in writing prior to testing, and all activities were conducted in accordance with the OWASP Testing Guide and established ethical hacking standards.</w:t>
      </w:r>
    </w:p>
    <w:p>
      <w:pPr>
        <w:spacing w:line="360" w:lineRule="auto" w:after="120"/>
        <w:ind w:firstLine="720"/>
        <w:jc w:val="both"/>
      </w:pPr>
      <w:r>
        <w:rPr>
          <w:rFonts w:ascii="Times New Roman" w:hAnsi="Times New Roman"/>
          <w:sz w:val="24"/>
        </w:rPr>
        <w:t>A black-box methodology was applied, simulating an external attacker with no prior knowledge of the target system. The engagement followed the complete penetration testing lifecycle: reconnaissance, scanning, enumeration, exploitation, post-exploitation, and reporting. Twenty distinct vulnerabilities were discovered: four Critical, five High, seven Medium, and four Low severity findings. Critical findings include a publicly exposed MySQL database, a MikroTik network router administration panel, a cPanel hosting control panel, and a WHM root server administration panel — all accessible from the public internet without IP restriction.</w:t>
      </w:r>
    </w:p>
    <w:p>
      <w:pPr>
        <w:spacing w:line="360" w:lineRule="auto" w:after="120"/>
        <w:ind w:firstLine="720"/>
        <w:jc w:val="both"/>
      </w:pPr>
      <w:r>
        <w:rPr>
          <w:rFonts w:ascii="Times New Roman" w:hAnsi="Times New Roman"/>
          <w:sz w:val="24"/>
        </w:rPr>
        <w:t>A rate-limiting control was successfully bypassed via HTTP header spoofing, enabling unlimited API token generation. A follow-up verification scan conducted on ten June 2026 confirmed all original findings remained unpatched and identified three additional findings.</w:t>
      </w:r>
    </w:p>
    <w:p>
      <w:pPr>
        <w:spacing w:line="360" w:lineRule="auto" w:after="120"/>
        <w:ind w:firstLine="720"/>
        <w:jc w:val="both"/>
      </w:pPr>
      <w:r>
        <w:rPr>
          <w:rFonts w:ascii="Times New Roman" w:hAnsi="Times New Roman"/>
          <w:sz w:val="24"/>
        </w:rPr>
        <w:t>Keywords: Penetration Testing, VAPT, Web Application Security, OWASP, Rate Limiting Bypass, JWT Analysis, cPanel Exposure, MikroTik, Black Box Testing, CVSS v3.1</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pgSz w:w="11905" w:h="16837"/>
          <w:pgMar w:top="1133" w:right="1133" w:bottom="1133" w:left="1700"/>
          <w:pgNumType w:fmt="decimal" w:start="1"/>
        </w:sectPr>
      </w:pPr>
    </w:p>
    <w:p>
      <w:pPr>
        <w:pStyle w:val="Heading1"/>
        <w:jc w:val="center"/>
      </w:pPr>
      <w:r>
        <w:rPr>
          <w:rFonts w:ascii="Times New Roman" w:hAnsi="Times New Roman"/>
          <w:b/>
          <w:i w:val="0"/>
          <w:sz w:val="32"/>
        </w:rPr>
        <w:t>VULNERABILITY ASSESSMENT AND PENETRATION TESTING (VAPT) ON A WEB APPLICATION</w:t>
      </w:r>
    </w:p>
    <w:p>
      <w:pPr>
        <w:pStyle w:val="Heading2"/>
        <w:jc w:val="left"/>
      </w:pPr>
      <w:r>
        <w:rPr>
          <w:rFonts w:ascii="Times New Roman" w:hAnsi="Times New Roman"/>
          <w:b/>
          <w:i w:val="0"/>
          <w:sz w:val="28"/>
        </w:rPr>
        <w:t>A Case Study of neuralsh.com</w:t>
      </w:r>
    </w:p>
    <w:p>
      <w:pPr>
        <w:pStyle w:val="Heading2"/>
        <w:jc w:val="left"/>
      </w:pPr>
      <w:r>
        <w:rPr>
          <w:rFonts w:ascii="Times New Roman" w:hAnsi="Times New Roman"/>
          <w:b/>
          <w:i w:val="0"/>
          <w:sz w:val="28"/>
        </w:rPr>
        <w:t>Declaration</w:t>
      </w:r>
    </w:p>
    <w:p>
      <w:pPr>
        <w:spacing w:line="360" w:lineRule="auto" w:after="120"/>
        <w:ind w:firstLine="720"/>
        <w:jc w:val="both"/>
      </w:pPr>
      <w:r>
        <w:rPr>
          <w:rFonts w:ascii="Times New Roman" w:hAnsi="Times New Roman"/>
          <w:sz w:val="24"/>
        </w:rPr>
        <w:t>I declare that this thesis is my own work and has been carried out with full written authorization from the owner of the target system. All penetration testing activities described herein were conducted ethically, responsibly, and within the agreed scope of engagement. No unauthorized access was attempted against any system not explicitly listed in this document.</w:t>
      </w:r>
    </w:p>
    <w:p>
      <w:pPr>
        <w:pStyle w:val="Heading2"/>
        <w:jc w:val="left"/>
      </w:pPr>
      <w:r>
        <w:rPr>
          <w:rFonts w:ascii="Times New Roman" w:hAnsi="Times New Roman"/>
          <w:b/>
          <w:i w:val="0"/>
          <w:sz w:val="28"/>
        </w:rPr>
        <w:t>Abstract</w:t>
      </w:r>
    </w:p>
    <w:p>
      <w:pPr>
        <w:spacing w:line="360" w:lineRule="auto" w:after="120"/>
        <w:ind w:firstLine="720"/>
        <w:jc w:val="both"/>
      </w:pPr>
      <w:r>
        <w:rPr>
          <w:rFonts w:ascii="Times New Roman" w:hAnsi="Times New Roman"/>
          <w:sz w:val="24"/>
        </w:rPr>
        <w:t xml:space="preserve">This thesis presents a comprehensive Vulnerability Assessment and Penetration Testing (VAPT) engagement conducted on </w:t>
      </w:r>
      <w:r>
        <w:rPr>
          <w:rFonts w:ascii="Times New Roman" w:hAnsi="Times New Roman"/>
          <w:b/>
          <w:sz w:val="24"/>
        </w:rPr>
        <w:t>neuralsh.com</w:t>
      </w:r>
      <w:r>
        <w:rPr>
          <w:rFonts w:ascii="Times New Roman" w:hAnsi="Times New Roman"/>
          <w:sz w:val="24"/>
        </w:rPr>
        <w:t>, an AI-powered neural search platform. The assessment was authorized in writing prior to testing, and all activities were conducted in accordance with established ethical hacking standards and the OWASP Testing Guide.</w:t>
      </w:r>
    </w:p>
    <w:p>
      <w:pPr>
        <w:spacing w:line="360" w:lineRule="auto" w:after="120"/>
        <w:ind w:firstLine="720"/>
        <w:jc w:val="both"/>
      </w:pPr>
      <w:r>
        <w:rPr>
          <w:rFonts w:ascii="Times New Roman" w:hAnsi="Times New Roman"/>
          <w:sz w:val="24"/>
        </w:rPr>
        <w:t>The assessment followed the complete penetration testing lifecycle: reconnaissance, scanning, enumeration, exploitation, post-exploitation, and reporting. A black-box methodology was applied as the primary testing approach, simulating an external attacker with no prior knowledge of the target system.</w:t>
      </w:r>
    </w:p>
    <w:p>
      <w:pPr>
        <w:spacing w:line="360" w:lineRule="auto" w:after="120"/>
        <w:ind w:firstLine="720"/>
        <w:jc w:val="both"/>
      </w:pPr>
      <w:r>
        <w:rPr>
          <w:rFonts w:ascii="Times New Roman" w:hAnsi="Times New Roman"/>
          <w:sz w:val="24"/>
        </w:rPr>
        <w:t xml:space="preserve">The findings reveal significant and immediate security risks across the platform. Twenty (20) distinct vulnerabilities were discovered: </w:t>
      </w:r>
      <w:r>
        <w:rPr>
          <w:rFonts w:ascii="Times New Roman" w:hAnsi="Times New Roman"/>
          <w:b/>
          <w:sz w:val="24"/>
        </w:rPr>
        <w:t>4 Critical, 5 High, 7 Medium, and 4 Low</w:t>
      </w:r>
      <w:r>
        <w:rPr>
          <w:rFonts w:ascii="Times New Roman" w:hAnsi="Times New Roman"/>
          <w:sz w:val="24"/>
        </w:rPr>
        <w:t xml:space="preserve"> severity findings. Critical findings include a publicly exposed MySQL database, MikroTik network router administration panel, cPanel hosting control panel, and WHM root server administration panel — all accessible from the public internet without IP restriction. A rate-limiting control was successfully bypassed via HTTP header spoofing, enabling unlimited API token generation. A follow-up verification scan conducted on 10 June 2026 confirmed all original findings remained unpatched and identified three additional findings: newly exposed cPanel service ports (2078, 2091), SMTP port 25 transitioning from filtered to open, and confirmed identification of a named co-tenant (onesala.com) sharing the same physical server infrastructure.</w:t>
      </w:r>
    </w:p>
    <w:p>
      <w:pPr>
        <w:spacing w:line="360" w:lineRule="auto" w:after="120"/>
        <w:ind w:firstLine="720"/>
        <w:jc w:val="both"/>
      </w:pPr>
      <w:r>
        <w:rPr>
          <w:rFonts w:ascii="Times New Roman" w:hAnsi="Times New Roman"/>
          <w:sz w:val="24"/>
        </w:rPr>
        <w:t>This thesis documents the complete methodology, evidence, exploitation results, risk analysis using CVSS v3.1 scoring, and a full remediation roadmap.</w:t>
      </w:r>
    </w:p>
    <w:p>
      <w:pPr>
        <w:pStyle w:val="Heading2"/>
        <w:jc w:val="left"/>
      </w:pPr>
      <w:r>
        <w:rPr>
          <w:rFonts w:ascii="Times New Roman" w:hAnsi="Times New Roman"/>
          <w:b/>
          <w:i w:val="0"/>
          <w:sz w:val="28"/>
        </w:rPr>
        <w:t>Table of Contents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Introduction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Concepts of Penetration Testing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Research Methodology and Tools</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Implementation and Deployment</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Results, Analysis and Remediation</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Conclusion</w:t>
      </w:r>
    </w:p>
    <w:p>
      <w:pPr>
        <w:spacing w:line="360" w:lineRule="auto" w:after="120"/>
        <w:ind w:firstLine="720"/>
        <w:jc w:val="both"/>
      </w:pPr>
      <w:r>
        <w:rPr>
          <w:rFonts w:ascii="Times New Roman" w:hAnsi="Times New Roman"/>
          <w:sz w:val="24"/>
        </w:rPr>
        <w:t>+ References</w:t>
      </w:r>
    </w:p>
    <w:p>
      <w:pPr>
        <w:spacing w:line="360" w:lineRule="auto" w:after="120"/>
        <w:ind w:firstLine="720"/>
        <w:jc w:val="both"/>
      </w:pPr>
      <w:r>
        <w:rPr>
          <w:rFonts w:ascii="Times New Roman" w:hAnsi="Times New Roman"/>
          <w:sz w:val="24"/>
        </w:rPr>
        <w:t>+ Appendices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2880000" cy="1289953"/>
            <wp:docPr id="2" name="Picture 2"/>
            <wp:cNvGraphicFramePr>
              <a:graphicFrameLocks noChangeAspect="1"/>
            </wp:cNvGraphicFramePr>
            <a:graphic>
              <a:graphicData uri="http://schemas.openxmlformats.org/drawingml/2006/picture">
                <pic:pic>
                  <pic:nvPicPr>
                    <pic:cNvPr id="0" name="map.png"/>
                    <pic:cNvPicPr/>
                  </pic:nvPicPr>
                  <pic:blipFill>
                    <a:blip r:embed="rId10"/>
                    <a:stretch>
                      <a:fillRect/>
                    </a:stretch>
                  </pic:blipFill>
                  <pic:spPr>
                    <a:xfrm>
                      <a:off x="0" y="0"/>
                      <a:ext cx="2880000" cy="1289953"/>
                    </a:xfrm>
                    <a:prstGeom prst="rect"/>
                  </pic:spPr>
                </pic:pic>
              </a:graphicData>
            </a:graphic>
          </wp:inline>
        </w:drawing>
      </w:r>
    </w:p>
    <w:p>
      <w:pPr>
        <w:spacing w:after="240"/>
        <w:ind w:firstLine="0"/>
        <w:jc w:val="center"/>
      </w:pPr>
      <w:r>
        <w:rPr>
          <w:rFonts w:ascii="Times New Roman" w:hAnsi="Times New Roman"/>
          <w:b w:val="0"/>
          <w:i/>
          <w:sz w:val="20"/>
        </w:rPr>
        <w:t>Figure 2: Prestige Alliance office location</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3" name="Picture 3"/>
            <wp:cNvGraphicFramePr>
              <a:graphicFrameLocks noChangeAspect="1"/>
            </wp:cNvGraphicFramePr>
            <a:graphic>
              <a:graphicData uri="http://schemas.openxmlformats.org/drawingml/2006/picture">
                <pic:pic>
                  <pic:nvPicPr>
                    <pic:cNvPr id="0" name="htb_logo_fixed.png"/>
                    <pic:cNvPicPr/>
                  </pic:nvPicPr>
                  <pic:blipFill>
                    <a:blip r:embed="rId11"/>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3: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4" name="Picture 4"/>
            <wp:cNvGraphicFramePr>
              <a:graphicFrameLocks noChangeAspect="1"/>
            </wp:cNvGraphicFramePr>
            <a:graphic>
              <a:graphicData uri="http://schemas.openxmlformats.org/drawingml/2006/picture">
                <pic:pic>
                  <pic:nvPicPr>
                    <pic:cNvPr id="0" name="cpts_logo.png"/>
                    <pic:cNvPicPr/>
                  </pic:nvPicPr>
                  <pic:blipFill>
                    <a:blip r:embed="rId12"/>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4: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we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2880000" cy="1346264"/>
            <wp:docPr id="6" name="Picture 6"/>
            <wp:cNvGraphicFramePr>
              <a:graphicFrameLocks noChangeAspect="1"/>
            </wp:cNvGraphicFramePr>
            <a:graphic>
              <a:graphicData uri="http://schemas.openxmlformats.org/drawingml/2006/picture">
                <pic:pic>
                  <pic:nvPicPr>
                    <pic:cNvPr id="0" name="pentest_flow.drawio.png"/>
                    <pic:cNvPicPr/>
                  </pic:nvPicPr>
                  <pic:blipFill>
                    <a:blip r:embed="rId14"/>
                    <a:stretch>
                      <a:fillRect/>
                    </a:stretch>
                  </pic:blipFill>
                  <pic:spPr>
                    <a:xfrm>
                      <a:off x="0" y="0"/>
                      <a:ext cx="2880000" cy="1346264"/>
                    </a:xfrm>
                    <a:prstGeom prst="rect"/>
                  </pic:spPr>
                </pic:pic>
              </a:graphicData>
            </a:graphic>
          </wp:inline>
        </w:drawing>
      </w:r>
    </w:p>
    <w:p>
      <w:pPr>
        <w:spacing w:after="240"/>
        <w:ind w:firstLine="0"/>
        <w:jc w:val="center"/>
      </w:pPr>
      <w:r>
        <w:rPr>
          <w:rFonts w:ascii="Times New Roman" w:hAnsi="Times New Roman"/>
          <w:b w:val="0"/>
          <w:i/>
          <w:sz w:val="20"/>
        </w:rPr>
        <w:t>Figure 6: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7" name="Picture 7"/>
            <wp:cNvGraphicFramePr>
              <a:graphicFrameLocks noChangeAspect="1"/>
            </wp:cNvGraphicFramePr>
            <a:graphic>
              <a:graphicData uri="http://schemas.openxmlformats.org/drawingml/2006/picture">
                <pic:pic>
                  <pic:nvPicPr>
                    <pic:cNvPr id="0" name="owasp_logo.png"/>
                    <pic:cNvPicPr/>
                  </pic:nvPicPr>
                  <pic:blipFill>
                    <a:blip r:embed="rId15"/>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7: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8" name="Picture 8"/>
            <wp:cNvGraphicFramePr>
              <a:graphicFrameLocks noChangeAspect="1"/>
            </wp:cNvGraphicFramePr>
            <a:graphic>
              <a:graphicData uri="http://schemas.openxmlformats.org/drawingml/2006/picture">
                <pic:pic>
                  <pic:nvPicPr>
                    <pic:cNvPr id="0" name="nist_logo.png"/>
                    <pic:cNvPicPr/>
                  </pic:nvPicPr>
                  <pic:blipFill>
                    <a:blip r:embed="rId16"/>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8: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9" name="Picture 9"/>
            <wp:cNvGraphicFramePr>
              <a:graphicFrameLocks noChangeAspect="1"/>
            </wp:cNvGraphicFramePr>
            <a:graphic>
              <a:graphicData uri="http://schemas.openxmlformats.org/drawingml/2006/picture">
                <pic:pic>
                  <pic:nvPicPr>
                    <pic:cNvPr id="0" name="cvss_logo.png"/>
                    <pic:cNvPicPr/>
                  </pic:nvPicPr>
                  <pic:blipFill>
                    <a:blip r:embed="rId17"/>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9: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0" name="Picture 10"/>
            <wp:cNvGraphicFramePr>
              <a:graphicFrameLocks noChangeAspect="1"/>
            </wp:cNvGraphicFramePr>
            <a:graphic>
              <a:graphicData uri="http://schemas.openxmlformats.org/drawingml/2006/picture">
                <pic:pic>
                  <pic:nvPicPr>
                    <pic:cNvPr id="0" name="nmap_logo.png"/>
                    <pic:cNvPicPr/>
                  </pic:nvPicPr>
                  <pic:blipFill>
                    <a:blip r:embed="rId18"/>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10: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ikto_logo_fixed.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2" name="Picture 12"/>
            <wp:cNvGraphicFramePr>
              <a:graphicFrameLocks noChangeAspect="1"/>
            </wp:cNvGraphicFramePr>
            <a:graphic>
              <a:graphicData uri="http://schemas.openxmlformats.org/drawingml/2006/picture">
                <pic:pic>
                  <pic:nvPicPr>
                    <pic:cNvPr id="0" name="shodan_logo_fixed.png"/>
                    <pic:cNvPicPr/>
                  </pic:nvPicPr>
                  <pic:blipFill>
                    <a:blip r:embed="rId20"/>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12: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3" name="Picture 13"/>
            <wp:cNvGraphicFramePr>
              <a:graphicFrameLocks noChangeAspect="1"/>
            </wp:cNvGraphicFramePr>
            <a:graphic>
              <a:graphicData uri="http://schemas.openxmlformats.org/drawingml/2006/picture">
                <pic:pic>
                  <pic:nvPicPr>
                    <pic:cNvPr id="0" name="burpsuite_logo.png"/>
                    <pic:cNvPicPr/>
                  </pic:nvPicPr>
                  <pic:blipFill>
                    <a:blip r:embed="rId21"/>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13: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4" name="Picture 14"/>
            <wp:cNvGraphicFramePr>
              <a:graphicFrameLocks noChangeAspect="1"/>
            </wp:cNvGraphicFramePr>
            <a:graphic>
              <a:graphicData uri="http://schemas.openxmlformats.org/drawingml/2006/picture">
                <pic:pic>
                  <pic:nvPicPr>
                    <pic:cNvPr id="0" name="cyberchef_logo.png"/>
                    <pic:cNvPicPr/>
                  </pic:nvPicPr>
                  <pic:blipFill>
                    <a:blip r:embed="rId22"/>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14: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5" name="Picture 15"/>
            <wp:cNvGraphicFramePr>
              <a:graphicFrameLocks noChangeAspect="1"/>
            </wp:cNvGraphicFramePr>
            <a:graphic>
              <a:graphicData uri="http://schemas.openxmlformats.org/drawingml/2006/picture">
                <pic:pic>
                  <pic:nvPicPr>
                    <pic:cNvPr id="0" name="claude_logo.png"/>
                    <pic:cNvPicPr/>
                  </pic:nvPicPr>
                  <pic:blipFill>
                    <a:blip r:embed="rId23"/>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15: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50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6" name="Picture 16"/>
            <wp:cNvGraphicFramePr>
              <a:graphicFrameLocks noChangeAspect="1"/>
            </wp:cNvGraphicFramePr>
            <a:graphic>
              <a:graphicData uri="http://schemas.openxmlformats.org/drawingml/2006/picture">
                <pic:pic>
                  <pic:nvPicPr>
                    <pic:cNvPr id="0" name="fig41_virtualbox.png"/>
                    <pic:cNvPicPr/>
                  </pic:nvPicPr>
                  <pic:blipFill>
                    <a:blip r:embed="rId24"/>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7" name="Picture 17"/>
            <wp:cNvGraphicFramePr>
              <a:graphicFrameLocks noChangeAspect="1"/>
            </wp:cNvGraphicFramePr>
            <a:graphic>
              <a:graphicData uri="http://schemas.openxmlformats.org/drawingml/2006/picture">
                <pic:pic>
                  <pic:nvPicPr>
                    <pic:cNvPr id="0" name="fig42_ssh_kali.png"/>
                    <pic:cNvPicPr/>
                  </pic:nvPicPr>
                  <pic:blipFill>
                    <a:blip r:embed="rId25"/>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8" name="Picture 18"/>
            <wp:cNvGraphicFramePr>
              <a:graphicFrameLocks noChangeAspect="1"/>
            </wp:cNvGraphicFramePr>
            <a:graphic>
              <a:graphicData uri="http://schemas.openxmlformats.org/drawingml/2006/picture">
                <pic:pic>
                  <pic:nvPicPr>
                    <pic:cNvPr id="0" name="fig43_tools_verify.png"/>
                    <pic:cNvPicPr/>
                  </pic:nvPicPr>
                  <pic:blipFill>
                    <a:blip r:embed="rId26"/>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19" name="Picture 19"/>
            <wp:cNvGraphicFramePr>
              <a:graphicFrameLocks noChangeAspect="1"/>
            </wp:cNvGraphicFramePr>
            <a:graphic>
              <a:graphicData uri="http://schemas.openxmlformats.org/drawingml/2006/picture">
                <pic:pic>
                  <pic:nvPicPr>
                    <pic:cNvPr id="0" name="fig44_website.png"/>
                    <pic:cNvPicPr/>
                  </pic:nvPicPr>
                  <pic:blipFill>
                    <a:blip r:embed="rId27"/>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0" name="Picture 20"/>
            <wp:cNvGraphicFramePr>
              <a:graphicFrameLocks noChangeAspect="1"/>
            </wp:cNvGraphicFramePr>
            <a:graphic>
              <a:graphicData uri="http://schemas.openxmlformats.org/drawingml/2006/picture">
                <pic:pic>
                  <pic:nvPicPr>
                    <pic:cNvPr id="0" name="fig45_whois.png"/>
                    <pic:cNvPicPr/>
                  </pic:nvPicPr>
                  <pic:blipFill>
                    <a:blip r:embed="rId28"/>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1" name="Picture 21"/>
            <wp:cNvGraphicFramePr>
              <a:graphicFrameLocks noChangeAspect="1"/>
            </wp:cNvGraphicFramePr>
            <a:graphic>
              <a:graphicData uri="http://schemas.openxmlformats.org/drawingml/2006/picture">
                <pic:pic>
                  <pic:nvPicPr>
                    <pic:cNvPr id="0" name="fig46_dig_mx.png"/>
                    <pic:cNvPicPr/>
                  </pic:nvPicPr>
                  <pic:blipFill>
                    <a:blip r:embed="rId29"/>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2" name="Picture 22"/>
            <wp:cNvGraphicFramePr>
              <a:graphicFrameLocks noChangeAspect="1"/>
            </wp:cNvGraphicFramePr>
            <a:graphic>
              <a:graphicData uri="http://schemas.openxmlformats.org/drawingml/2006/picture">
                <pic:pic>
                  <pic:nvPicPr>
                    <pic:cNvPr id="0" name="fig47_wildcard_dns.png"/>
                    <pic:cNvPicPr/>
                  </pic:nvPicPr>
                  <pic:blipFill>
                    <a:blip r:embed="rId30"/>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3" name="Picture 23"/>
            <wp:cNvGraphicFramePr>
              <a:graphicFrameLocks noChangeAspect="1"/>
            </wp:cNvGraphicFramePr>
            <a:graphic>
              <a:graphicData uri="http://schemas.openxmlformats.org/drawingml/2006/picture">
                <pic:pic>
                  <pic:nvPicPr>
                    <pic:cNvPr id="0" name="fig48_ssl_cert.png"/>
                    <pic:cNvPicPr/>
                  </pic:nvPicPr>
                  <pic:blipFill>
                    <a:blip r:embed="rId31"/>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4" name="Picture 24"/>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5" name="Picture 25"/>
            <wp:cNvGraphicFramePr>
              <a:graphicFrameLocks noChangeAspect="1"/>
            </wp:cNvGraphicFramePr>
            <a:graphic>
              <a:graphicData uri="http://schemas.openxmlformats.org/drawingml/2006/picture">
                <pic:pic>
                  <pic:nvPicPr>
                    <pic:cNvPr id="0" name="fig410_cpanel_whm.png"/>
                    <pic:cNvPicPr/>
                  </pic:nvPicPr>
                  <pic:blipFill>
                    <a:blip r:embed="rId33"/>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6" name="Picture 26"/>
            <wp:cNvGraphicFramePr>
              <a:graphicFrameLocks noChangeAspect="1"/>
            </wp:cNvGraphicFramePr>
            <a:graphic>
              <a:graphicData uri="http://schemas.openxmlformats.org/drawingml/2006/picture">
                <pic:pic>
                  <pic:nvPicPr>
                    <pic:cNvPr id="0" name="fig411_mikrotik.png"/>
                    <pic:cNvPicPr/>
                  </pic:nvPicPr>
                  <pic:blipFill>
                    <a:blip r:embed="rId34"/>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7" name="Picture 27"/>
            <wp:cNvGraphicFramePr>
              <a:graphicFrameLocks noChangeAspect="1"/>
            </wp:cNvGraphicFramePr>
            <a:graphic>
              <a:graphicData uri="http://schemas.openxmlformats.org/drawingml/2006/picture">
                <pic:pic>
                  <pic:nvPicPr>
                    <pic:cNvPr id="0" name="fig412_nikto.png"/>
                    <pic:cNvPicPr/>
                  </pic:nvPicPr>
                  <pic:blipFill>
                    <a:blip r:embed="rId35"/>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8" name="Picture 28"/>
            <wp:cNvGraphicFramePr>
              <a:graphicFrameLocks noChangeAspect="1"/>
            </wp:cNvGraphicFramePr>
            <a:graphic>
              <a:graphicData uri="http://schemas.openxmlformats.org/drawingml/2006/picture">
                <pic:pic>
                  <pic:nvPicPr>
                    <pic:cNvPr id="0" name="fig413_nuclei.png"/>
                    <pic:cNvPicPr/>
                  </pic:nvPicPr>
                  <pic:blipFill>
                    <a:blip r:embed="rId36"/>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29" name="Picture 29"/>
            <wp:cNvGraphicFramePr>
              <a:graphicFrameLocks noChangeAspect="1"/>
            </wp:cNvGraphicFramePr>
            <a:graphic>
              <a:graphicData uri="http://schemas.openxmlformats.org/drawingml/2006/picture">
                <pic:pic>
                  <pic:nvPicPr>
                    <pic:cNvPr id="0" name="fig414a_burp_cloudflare.png"/>
                    <pic:cNvPicPr/>
                  </pic:nvPicPr>
                  <pic:blipFill>
                    <a:blip r:embed="rId37"/>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0" name="Picture 30"/>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1" name="Picture 31"/>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17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2" name="Picture 32"/>
            <wp:cNvGraphicFramePr>
              <a:graphicFrameLocks noChangeAspect="1"/>
            </wp:cNvGraphicFramePr>
            <a:graphic>
              <a:graphicData uri="http://schemas.openxmlformats.org/drawingml/2006/picture">
                <pic:pic>
                  <pic:nvPicPr>
                    <pic:cNvPr id="0" name="fig417_whm_browser.png"/>
                    <pic:cNvPicPr/>
                  </pic:nvPicPr>
                  <pic:blipFill>
                    <a:blip r:embed="rId40"/>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3" name="Picture 33"/>
            <wp:cNvGraphicFramePr>
              <a:graphicFrameLocks noChangeAspect="1"/>
            </wp:cNvGraphicFramePr>
            <a:graphic>
              <a:graphicData uri="http://schemas.openxmlformats.org/drawingml/2006/picture">
                <pic:pic>
                  <pic:nvPicPr>
                    <pic:cNvPr id="0" name="fig418_mikrotik_browser.png"/>
                    <pic:cNvPicPr/>
                  </pic:nvPicPr>
                  <pic:blipFill>
                    <a:blip r:embed="rId41"/>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'root'@'58.97.216.203'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(58.97.216.203),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4" name="Picture 34"/>
            <wp:cNvGraphicFramePr>
              <a:graphicFrameLocks noChangeAspect="1"/>
            </wp:cNvGraphicFramePr>
            <a:graphic>
              <a:graphicData uri="http://schemas.openxmlformats.org/drawingml/2006/picture">
                <pic:pic>
                  <pic:nvPicPr>
                    <pic:cNvPr id="0" name="fig419_mysql_connect.png"/>
                    <pic:cNvPicPr/>
                  </pic:nvPicPr>
                  <pic:blipFill>
                    <a:blip r:embed="rId42"/>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5" name="Picture 35"/>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6" name="Picture 36"/>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3"/>
        <w:jc w:val="left"/>
      </w:pPr>
      <w:r>
        <w:rPr>
          <w:rFonts w:ascii="Times New Roman" w:hAnsi="Times New Roman"/>
          <w:b/>
          <w:i w:val="0"/>
          <w:sz w:val="24"/>
        </w:rPr>
        <w:t>4.8.5 Attack Chain Visualization</w:t>
      </w:r>
    </w:p>
    <w:p>
      <w:pPr>
        <w:spacing w:line="360" w:lineRule="auto" w:after="120"/>
        <w:ind w:firstLine="720"/>
        <w:jc w:val="both"/>
      </w:pPr>
      <w:r>
        <w:rPr>
          <w:rFonts w:ascii="Times New Roman" w:hAnsi="Times New Roman"/>
          <w:sz w:val="24"/>
        </w:rPr>
        <w:t>The four attack chains identified in this engagement are visualized in the diagram below, mapping each step from initial internet access to full compromise outcome.</w:t>
      </w:r>
    </w:p>
    <w:p>
      <w:pPr>
        <w:ind w:firstLine="0"/>
        <w:jc w:val="center"/>
      </w:pPr>
      <w:r>
        <w:drawing>
          <wp:inline xmlns:a="http://schemas.openxmlformats.org/drawingml/2006/main" xmlns:pic="http://schemas.openxmlformats.org/drawingml/2006/picture">
            <wp:extent cx="5040000" cy="2503926"/>
            <wp:docPr id="37" name="Picture 37"/>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5"/>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50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29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040000" cy="4421977"/>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6"/>
                    <a:stretch>
                      <a:fillRect/>
                    </a:stretch>
                  </pic:blipFill>
                  <pic:spPr>
                    <a:xfrm>
                      <a:off x="0" y="0"/>
                      <a:ext cx="5040000" cy="4421977"/>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 (103.16.xx.xxx)</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2"/>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103.16.62.217 (twenty-three open ports confirmed)</w:t>
      </w:r>
    </w:p>
    <w:p>
      <w:pPr>
        <w:spacing w:before="80" w:after="80"/>
        <w:ind w:left="720" w:right="283" w:firstLine="0"/>
      </w:pPr>
      <w:r>
        <w:rPr>
          <w:rFonts w:ascii="Courier New" w:hAnsi="Courier New"/>
          <w:sz w:val="18"/>
        </w:rPr>
        <w:t># Nmap 7.94SVN scan — 2026-06-06</w:t>
        <w:br/>
        <w:t># Command: nmap -sV -p 22,25,53,80,110,111,143,443,465,587,993,995,2000,2083,2087,2096,3306,5060,8899,9001 103.16.xx.xxx</w:t>
        <w:br/>
        <w:br/>
        <w:t>22/tcp   open  ssh         OpenSSH 8.9p1 Ubuntu</w:t>
        <w:br/>
        <w:t>25/tcp   open  smtp        Exim smtpd 4.99.2</w:t>
        <w:br/>
        <w:t>53/tcp   open  domain      PowerDNS Authoritative Server 4.9.2</w:t>
        <w:br/>
        <w:t>80/tcp   open  http        Apache httpd</w:t>
        <w:br/>
        <w:t>110/tcp  open  pop3        Dovecot pop3d</w:t>
        <w:br/>
        <w:t>111/tcp  open  rpcbind     2-4 (RPC #100000)</w:t>
        <w:br/>
        <w:t>143/tcp  open  imap        Dovecot imapd</w:t>
        <w:br/>
        <w:t>443/tcp  open  https       Apache httpd</w:t>
        <w:br/>
        <w:t>465/tcp  open  smtps       Exim (SSL)</w:t>
        <w:br/>
        <w:t>587/tcp  open  smtp        Exim (STARTTLS)</w:t>
        <w:br/>
        <w:t>993/tcp  open  imaps       Dovecot</w:t>
        <w:br/>
        <w:t>995/tcp  open  pop3s       Dovecot</w:t>
        <w:br/>
        <w:t>2083/tcp open  https       cPanel (SSL)</w:t>
        <w:br/>
        <w:t>2087/tcp open  https       WHM (Web Host Manager)</w:t>
        <w:br/>
        <w:t>2096/tcp open  https       cPanel Webmail</w:t>
        <w:br/>
        <w:t>3306/tcp open  mysql       MySQL 8.0.43</w:t>
        <w:br/>
        <w:t>5060/tcp open  sip</w:t>
        <w:br/>
        <w:t>8899/tcp open  http        (unknown)</w:t>
        <w:br/>
        <w:t>9001/tcp open  http        MikroTik RouterOS webfig</w:t>
        <w:br/>
        <w:br/>
        <w:t>Nmap done: 1 IP address (1 host up)</w:t>
      </w:r>
    </w:p>
    <w:p>
      <w:pPr>
        <w:pStyle w:val="Heading2"/>
        <w:jc w:val="left"/>
      </w:pPr>
      <w:r>
        <w:rPr>
          <w:rFonts w:ascii="Times New Roman" w:hAnsi="Times New Roman"/>
          <w:b/>
          <w:i w:val="0"/>
          <w:sz w:val="28"/>
        </w:rPr>
        <w:t>Appendix B: Dirb Results — neuralsh.com</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7"/>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before="80" w:after="80"/>
        <w:ind w:left="720" w:right="283" w:firstLine="0"/>
      </w:pPr>
      <w:r>
        <w:rPr>
          <w:rFonts w:ascii="Courier New" w:hAnsi="Courier New"/>
          <w:sz w:val="18"/>
        </w:rPr>
        <w:t># DIRB v2.22 — 2026-06-06</w:t>
        <w:br/>
        <w:t># Target: https://neuralsh.com/</w:t>
        <w:br/>
        <w:br/>
        <w:t>---- Scanning URL: https://neuralsh.com/ ----</w:t>
        <w:br/>
        <w:t>+ https://neuralsh.com/About (CODE:200|SIZE:5242)</w:t>
        <w:br/>
        <w:t>+ https://neuralsh.com/about (CODE:200|SIZE:5242)</w:t>
        <w:br/>
        <w:t>+ https://neuralsh.com/favicon.ico (CODE:200|SIZE:15406)</w:t>
        <w:br/>
        <w:t>+ https://neuralsh.com/privacy (CODE:200|SIZE:4891)</w:t>
        <w:br/>
        <w:t>+ https://neuralsh.com/publication (CODE:200|SIZE:6234)</w:t>
        <w:br/>
        <w:t>+ https://neuralsh.com/robots.txt (CODE:200|SIZE:0)</w:t>
        <w:br/>
        <w:br/>
        <w:t>No sensitive administrative paths found behind Cloudflare WAF.</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3"/>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8"/>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before="80" w:after="80"/>
        <w:ind w:left="720" w:right="283" w:firstLine="0"/>
      </w:pPr>
      <w:r>
        <w:rPr>
          <w:rFonts w:ascii="Courier New" w:hAnsi="Courier New"/>
          <w:sz w:val="18"/>
        </w:rPr>
        <w:t>=== TEST 1: No bypass ===</w:t>
        <w:br/>
        <w:t>Request 1: HTTP 200</w:t>
        <w:br/>
        <w:t>Request 2: HTTP 200</w:t>
        <w:br/>
        <w:t>...</w:t>
        <w:br/>
        <w:t>Request 18: HTTP 200</w:t>
        <w:br/>
        <w:t>Request 19: HTTP 429  ← Rate limit triggered</w:t>
        <w:br/>
        <w:t>Requests 20-50: HTTP 429</w:t>
        <w:br/>
        <w:t>Result: 18/50 tokens before rate limit</w:t>
        <w:br/>
        <w:br/>
        <w:t>=== TEST 2: X-Forwarded-For bypass ===</w:t>
        <w:br/>
        <w:t>Request 1:  [XFF: 87.23.145.12]  HTTP 200</w:t>
        <w:br/>
        <w:t>Request 2:  [XFF: 192.34.67.89]  HTTP 200</w:t>
        <w:br/>
        <w:t>...</w:t>
        <w:br/>
        <w:t>Request 50: [XFF: 45.67.234.11]  HTTP 200</w:t>
        <w:br/>
        <w:t>Result: 50/50 tokens — rate limit never triggered</w:t>
      </w:r>
    </w:p>
    <w:p>
      <w:pPr>
        <w:pStyle w:val="Heading2"/>
        <w:jc w:val="left"/>
      </w:pPr>
      <w:r>
        <w:rPr>
          <w:rFonts w:ascii="Times New Roman" w:hAnsi="Times New Roman"/>
          <w:b/>
          <w:i w:val="0"/>
          <w:sz w:val="28"/>
        </w:rPr>
        <w:t>Appendix D: JWT Token Structure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4"/>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8"/>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39"/>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unpatched as of eleven June 2026</w:t>
      </w:r>
    </w:p>
    <w:p>
      <w:pPr>
        <w:spacing w:before="80" w:after="80"/>
        <w:ind w:left="720" w:right="283" w:firstLine="0"/>
      </w:pPr>
      <w:r>
        <w:rPr>
          <w:rFonts w:ascii="Courier New" w:hAnsi="Courier New"/>
          <w:sz w:val="18"/>
        </w:rPr>
        <w:t>Token (example):</w:t>
        <w:br/>
        <w:t>eyJhbGciOiJIUzI1NiIsInR5cCI6IkpXVCJ9.</w:t>
        <w:br/>
        <w:t>eyJ0eXBlIjoiZ3Vlc3QiLCJ0aWQiOiI1NTBlO...</w:t>
        <w:br/>
        <w:br/>
        <w:t>Decoded Header:</w:t>
        <w:br/>
        <w:t>{"alg":"HS256","typ":"JWT"}</w:t>
        <w:br/>
        <w:br/>
        <w:t>Decoded Payload:</w:t>
        <w:br/>
        <w:t>{</w:t>
        <w:br/>
        <w:t xml:space="preserve">  "type": "guest",</w:t>
        <w:br/>
        <w:t xml:space="preserve">  "tid": "550e8400-e29b-41d4-a716-446655440000",</w:t>
        <w:br/>
        <w:t xml:space="preserve">  "iat": 1749220800,</w:t>
        <w:br/>
        <w:t xml:space="preserve">  "exp": 1749222600</w:t>
        <w:br/>
        <w:t>}</w:t>
        <w:br/>
        <w:br/>
        <w:t>Validity: 30 minutes from issuance</w:t>
        <w:br/>
        <w:t>Secret: Not cracked (rockyou.txt — 14,344,391 candidates exhausted)</w:t>
      </w:r>
    </w:p>
    <w:p>
      <w:pPr>
        <w:pStyle w:val="Heading2"/>
        <w:jc w:val="left"/>
      </w:pPr>
      <w:r>
        <w:rPr>
          <w:rFonts w:ascii="Times New Roman" w:hAnsi="Times New Roman"/>
          <w:b/>
          <w:i w:val="0"/>
          <w:sz w:val="28"/>
        </w:rPr>
        <w:t>Appendix E: Follow-Up Verification Scan — 10 June 2026</w:t>
      </w:r>
    </w:p>
    <w:p>
      <w:pPr>
        <w:spacing w:before="80" w:after="80"/>
        <w:ind w:left="720" w:right="283" w:firstLine="0"/>
      </w:pPr>
      <w:r>
        <w:rPr>
          <w:rFonts w:ascii="Courier New" w:hAnsi="Courier New"/>
          <w:sz w:val="18"/>
        </w:rPr>
        <w:t>New findings vs June 6 baseline:</w:t>
        <w:br/>
        <w:br/>
        <w:t>N-018: Port 2078 — HTTP 401 WWW-Authenticate: Basic realm="Restricted Area"</w:t>
        <w:br/>
        <w:t>N-018: Port 2091 — HTTP 401 WWW-Authenticate: Basic realm="Restricted Area"</w:t>
        <w:br/>
        <w:t>N-019: Port 25 — Changed from 'filtered' to 'open' (TCP connection accepted)</w:t>
        <w:br/>
        <w:t>N-020: Port 2077 → Redirects to https://www.onesala.com:2078/</w:t>
        <w:br/>
        <w:t>N-020: Port 2082 → Redirects to https://www.onesala.com:2083/</w:t>
        <w:br/>
        <w:br/>
        <w:t>Conclusion: All 17 original findings confirmed unpatched.</w:t>
        <w:br/>
        <w:t>3 new findings discovered. Total: 20 findings.</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