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360" w:lineRule="auto" w:after="160"/>
        <w:ind w:firstLine="0"/>
        <w:jc w:val="both"/>
      </w:pPr>
      <w:r>
        <w:rPr>
          <w:rFonts w:ascii="Khmer OS" w:hAnsi="Khmer OS"/>
          <w:sz w:val="24"/>
        </w:rPr>
        <w:t>អត្ថបទនេះ បង្ហាញអំពីការអនុវត្តការវាយតម្លៃភាពងាយរងគ្រោះ និងការធ្វើតេស្តការជ្រៀតចូល (VAPT) លើ neuralsh.com ដែលជាវេទិកាស្វែងរកដោយប្រើបញ្ញាសិប្បនិម្មិត ដំណើរការដោយ Prestige Alliance Co., Ltd.។ ការអនុវត្តនេះ ត្រូវបានប្រព្រឹត្ត​ក្នុងអំឡុងការហ្វឹកហ្វឺនរយៈពេល ៤ ខែ ចាប់ពីខែកុម្ភៈ ដល់ ខែឧសភា ឆ្នាំ ២០២៦ ដោយប្រើប្រាស់វិធីសាស្ត្របំបែចខ្មៅ (Black-box) ដែលផ្អែកលើ OWASP Testing Guide ចែកចេញជា ៥ ដំណាក់កាល ។ ភាពងាយរងគ្រោះចំនួន ១៧ ត្រូវបានរកឃើញ ចែកចេញជា ៤ វិកល្ប ៤ ខ្ពស់ ៦ មធ្យម និង ៣ ទាប ។ ក្នុងចំណោមការរកឃើញដ៏ធ្ងន់ធ្ងរ គឺ​មាន​ ផ្ទាំងអ្នកគ្រប់គ្រង WHM ដែលអាចចូលប្រើប្រាស់ជាសាធារណៈ ច្រកទ្វារ MySQL ត្រូវបានបង្ហាញលើអ៊ីនធឺណិត ផ្ទាំងបណ្តាញ MikroTik ដែលត្រូវបានបង្ហាញ និង ការរំលំ WAF Cloudflare តាមការបង្ហាញអាសយដ្ឋាន IP ដើម ។ ការរំលំប្រព័ន្ធគ្រប់គ្រងចំនួនស្នើសុំ ត្រូវបានបញ្ជាក់ ដោយអត្រាជោគជ័យ ១០០ ភាគរយ ដោយប្រើ X-Forwarded-For header spoofing ។ របាយការណ៍ VAPT ពេញលេញ ដែលមានអនុសាសន៍កែប្រែ ត្រូវបានប្រគល់ជូនដល់ Prestige Alliance Co., Ltd.។</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Une approche boîte noire a été suivie, simulant un attaquant externe sans connaissance préalable du système cible, en conformité avec le guide de test OWASP. L'engagement a été structuré en cinq phases séquentielles : reconnaissance, analyse et énumération, évaluation des vulnérabilités, exploitation et post-exploitation.</w:t>
      </w:r>
    </w:p>
    <w:p>
      <w:pPr>
        <w:spacing w:line="360" w:lineRule="auto" w:after="120"/>
        <w:ind w:firstLine="0"/>
        <w:jc w:val="both"/>
      </w:pPr>
      <w:r>
        <w:rPr>
          <w:rFonts w:ascii="Times New Roman" w:hAnsi="Times New Roman"/>
          <w:sz w:val="24"/>
        </w:rPr>
        <w:t xml:space="preserve">Dix-sept vulnérabilités ont été identifiées : quatre Critiques, quatre Élevées, six Moyennes et trois Faibles. Les résultats critiques comprennent un panneau d'administration WHM accessible publiquement, un port MySQL exposé sur Internet, un panneau d'administration réseau MikroTik et un contournement du pare-feu applicatif Cloudflare par divulgation de l'adresse IP d'origine. Deux chaînes d'exploitation ont été confirmées : un contournement de la limitation de débit atteignant un taux de réussite de 100 % via la falsification d'en-têtes HTTP, et une génération illimitée de jetons JWT via un point d'accès non authentifié. Un rapport complet incluant des recommandations de remédiation, classées par score </w:t>
      </w:r>
      <w:r>
        <w:rPr>
          <w:rFonts w:ascii="Times New Roman" w:hAnsi="Times New Roman"/>
          <w:b/>
          <w:sz w:val="24"/>
        </w:rPr>
        <w:t>CVSS v3.1</w:t>
      </w:r>
      <w:r>
        <w:rPr>
          <w:rFonts w:ascii="Times New Roman" w:hAnsi="Times New Roman"/>
          <w:sz w:val="24"/>
        </w:rPr>
        <w:t>, a été remis aux parties prenantes.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