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24"/>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24"/>
        </w:rPr>
        <w:t>RÉSUMÉ</w:t>
      </w:r>
    </w:p>
    <w:p>
      <w:pPr>
        <w:spacing w:line="360" w:lineRule="auto" w:after="120"/>
        <w:ind w:firstLine="720"/>
        <w:jc w:val="both"/>
      </w:pPr>
      <w:r>
        <w:rPr>
          <w:rFonts w:ascii="Times New Roman" w:hAnsi="Times New Roman"/>
          <w:sz w:val="24"/>
        </w:rPr>
        <w:t>Ce rapport présente un engagement complet d'Évaluation des Vulnérabilités et de Tests de Pénétration (VAPT) réalisé sur neuralsh.com, une plateforme de recherche neurale alimentée par l'intelligence artificielle, dans le cadre d'un stage au sein de Prestige Alliance Co., Ltd. L'évaluation a été autorisée par écrit avant le début des tests, et toutes les activités ont été menées conformément au guide de test OWASP et aux normes éthiques établies.</w:t>
      </w:r>
    </w:p>
    <w:p>
      <w:pPr>
        <w:spacing w:line="360" w:lineRule="auto" w:after="120"/>
        <w:ind w:firstLine="720"/>
        <w:jc w:val="both"/>
      </w:pPr>
      <w:r>
        <w:rPr>
          <w:rFonts w:ascii="Times New Roman" w:hAnsi="Times New Roman"/>
          <w:sz w:val="24"/>
        </w:rPr>
        <w:t>Une méthodologie boîte noire a été appliquée, simulant un attaquant externe sans connaissance préalable du système cible. L'engagement a suivi le cycle complet des tests d'intrusion : reconnaissance, analyse, énumération, exploitation, post-exploitation et rapport. Vingt vulnérabilités distinctes ont été découvertes : quatre Critiques, cinq Élevées, sept Moyennes et quatre Faibles. Les résultats critiques comprennent une base de données MySQL exposée publiquement, un panneau d'administration de routeur réseau MikroTik, un panneau de contrôle d'hébergement cPanel et un panneau d'administration de serveur racine WHM, tous accessibles depuis l'internet public sans restriction d'adresse IP.</w:t>
      </w:r>
    </w:p>
    <w:p>
      <w:pPr>
        <w:spacing w:line="360" w:lineRule="auto" w:after="120"/>
        <w:ind w:firstLine="720"/>
        <w:jc w:val="both"/>
      </w:pPr>
      <w:r>
        <w:rPr>
          <w:rFonts w:ascii="Times New Roman" w:hAnsi="Times New Roman"/>
          <w:sz w:val="24"/>
        </w:rPr>
        <w:t>Un contrôle de limitation de débit a été contourné avec succès via la falsification d'en-têtes HTTP, permettant une génération illimitée de jetons API. Une analyse de vérification de suivi a confirmé que toutes les découvertes originales n'étaient pas corrigées et a identifié trois nouvelles vulnérabilités.</w:t>
      </w:r>
    </w:p>
    <w:p>
      <w:pPr>
        <w:spacing w:line="360" w:lineRule="auto" w:after="120"/>
        <w:ind w:firstLine="720"/>
        <w:jc w:val="both"/>
      </w:pPr>
      <w:r>
        <w:rPr>
          <w:rFonts w:ascii="Times New Roman" w:hAnsi="Times New Roman"/>
          <w:sz w:val="24"/>
        </w:rPr>
        <w:t>Mots-clés : Tests de pénétration, VAPT, Sécurité des applications web, OWASP, Contournement de limitation de débit, Analyse JWT, Exposition cPanel, MikroTik, Tests boîte noire, CVSS v3.1</w:t>
      </w:r>
    </w:p>
    <w:p>
      <w:pPr>
        <w:pStyle w:val="Heading1"/>
        <w:jc w:val="center"/>
      </w:pPr>
      <w:r>
        <w:rPr>
          <w:rFonts w:ascii="Times New Roman" w:hAnsi="Times New Roman"/>
          <w:b/>
          <w:i w:val="0"/>
          <w:sz w:val="24"/>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b/>
      <w:bCs/>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