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potential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103.16.62.217:3306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address.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If credentials are obtained, an attacker gains full read and write access to all application databases, potentially including user records, session data, and API secrets. MySQL's User Defined Function (UDF) feature could further be abused for remote command execution on the underlying server.</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management VPN via firewall rules. Database ports must never be exposed to the public internet under any circumstances.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output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103.16.62.217:9001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RouterOS access can modify routing tables, capture all network traffic in promiscuous mode, create persistent backdoor accounts, remove firewall rules, and disrupt all hosted services on the network.</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via firewall. Change MikroTik default credentials immediately. Disable all unused RouterOS services including telnet, FTP, and the API service.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showing RouterOS router configuration page</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103.16.62.217:2083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complete management of the hosting account: a file manager with read and write access to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hosting access without brute force.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103.16.62.217:2087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policy.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domain hosted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Immediately restrict port 2087 to trusted management IPs only via Cloudways firewall. Enable two-factor authentication on the WHM root account. This single configuration change eliminates the highest-risk attack vector in the entire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103.16.62.217:22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server banner (</w:t>
      </w:r>
      <w:r>
        <w:rPr>
          <w:rFonts w:ascii="Courier New" w:hAnsi="Courier New"/>
          <w:sz w:val="22"/>
        </w:rPr>
        <w:t>163-47-172-131.cprapid.com</w:t>
      </w:r>
      <w:r>
        <w:rPr>
          <w:rFonts w:ascii="Times New Roman" w:hAnsi="Times New Roman"/>
          <w:sz w:val="24"/>
        </w:rPr>
        <w:t>) identified this as a cPanel shared hosting server where the primary user typically holds sudo privileges, making successful SSH compromise equivalent to root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lockout thresholds. Restrict SSH access to a trusted management IP via firewall. Change the default SSH port to reduce automated scanning noise.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hosting environment (Cloudways / cprapid.com) that hosts multiple client accounts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third-party organisations that have no relationship with neuralsh.com and no visibility into its security posture.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a dedicated server or isolated cloud instance. As an immediate interim measure, restrict WHM access to trusted IPs to remove the most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onesala.com and endoncambodia.com on the same origin server</w:t>
      </w:r>
    </w:p>
    <w:p>
      <w:pPr>
        <w:pStyle w:val="Heading3"/>
        <w:jc w:val="left"/>
      </w:pPr>
      <w:r>
        <w:rPr>
          <w:rFonts w:ascii="Times New Roman" w:hAnsi="Times New Roman"/>
          <w:b/>
          <w:i w:val="0"/>
          <w:sz w:val="24"/>
        </w:rPr>
        <w:t>N-005: Rate Limit Bypass via X-Forwarded-For Header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source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originate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to any endpoint on the platform that relies on the same IP-tracking logic, not only the token endpoint.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The </w:t>
      </w:r>
      <w:r>
        <w:rPr>
          <w:rFonts w:ascii="Courier New" w:hAnsi="Courier New"/>
          <w:sz w:val="22"/>
        </w:rPr>
        <w:t>CF-Connecting-IP</w:t>
      </w:r>
      <w:r>
        <w:rPr>
          <w:rFonts w:ascii="Times New Roman" w:hAnsi="Times New Roman"/>
          <w:sz w:val="24"/>
        </w:rPr>
        <w:t xml:space="preserve"> header is set by Cloudflare at the edge and cannot be modified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Rate limit bypass results showing 50/50 successful token requests with zero rate-limit responses</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recovered, indicating adequate entropy. However, the token farming capability is independent of the secret strength.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browser-computed fingerprint, Cloudflare Turnstile challenge, or strict origin header validation before issuing guest tokens. Implement token binding to prevent tokens from being replayed outside the originating browser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via rate-limit bypass; Figure 4.16 — JWT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which is publicly accessible without authentication.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This reconnaissance eliminated the need for directory brute-force and directly enabled the targeted exploitation of the token endpoint described in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unnecessary route exposure within the compiled bundle. Implement an API gateway with strict allowlisting for permitted routes and methods. All API endpoints should be secured at the application layer rather than treated as hidden.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 extraction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103.16.62.217:443,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mismatch warning, confirming that infrastructure-level SSL management has not been maintained. This finding corroborates N-004 (Shared Hosting Lateral Movement Risk) and provides additional evidence that multiple tenants share this origin server.</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the neuralsh.com domain at the origin server level. Ensure each hosted domain has its own certificate or that the shared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 on origin IP</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instructs the browser to permit execution of all inline JavaScript, including dynamically injected </w:t>
      </w:r>
      <w:r>
        <w:rPr>
          <w:rFonts w:ascii="Courier New" w:hAnsi="Courier New"/>
          <w:sz w:val="22"/>
        </w:rPr>
        <w:t>&lt;script&gt;</w:t>
      </w:r>
      <w:r>
        <w:rPr>
          <w:rFonts w:ascii="Times New Roman" w:hAnsi="Times New Roman"/>
          <w:sz w:val="24"/>
        </w:rPr>
        <w:t xml:space="preserve"> blocks and event handler attributes. If a Cross-Site Scripting (XSS) vulnerability exists anywhere in the application, the CSP provides no meaningful barrier against inline script injection attacks.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cryptographic nonces (</w:t>
      </w:r>
      <w:r>
        <w:rPr>
          <w:rFonts w:ascii="Courier New" w:hAnsi="Courier New"/>
          <w:sz w:val="22"/>
        </w:rPr>
        <w:t>'nonce-{nonce}'</w:t>
      </w:r>
      <w:r>
        <w:rPr>
          <w:rFonts w:ascii="Times New Roman" w:hAnsi="Times New Roman"/>
          <w:sz w:val="24"/>
        </w:rPr>
        <w:t>). Nuxt.js provides built-in CSP nonce support through its security plugin, making this change straightforward to implement.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Content-Security-Policy: 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arbitrary subdomain to resolve to 103.16.62.217. This allows an attacker or phishing actor to construct convincing subdomain URLs such as </w:t>
      </w:r>
      <w:r>
        <w:rPr>
          <w:rFonts w:ascii="Courier New" w:hAnsi="Courier New"/>
          <w:sz w:val="22"/>
        </w:rPr>
        <w:t>login.neuralsh.com</w:t>
      </w:r>
      <w:r>
        <w:rPr>
          <w:rFonts w:ascii="Times New Roman" w:hAnsi="Times New Roman"/>
          <w:sz w:val="24"/>
        </w:rPr>
        <w:t xml:space="preserve"> or </w:t>
      </w:r>
      <w:r>
        <w:rPr>
          <w:rFonts w:ascii="Courier New" w:hAnsi="Courier New"/>
          <w:sz w:val="22"/>
        </w:rPr>
        <w:t>secure.neuralsh.com</w:t>
      </w:r>
      <w:r>
        <w:rPr>
          <w:rFonts w:ascii="Times New Roman" w:hAnsi="Times New Roman"/>
          <w:sz w:val="24"/>
        </w:rPr>
        <w:t xml:space="preserve"> — subdomains that resolve to a real, registered IP address and thereby increase the credibility of phishing campaigns targeting neuralsh.com users.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Remove the wildcard DNS record from Cloudflare. Replace it with explicit A records for only the legitimate subdomains required by the business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103.16.62.217</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103.16.62.217</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Apache's directory listing feature is enabled at the document root for the neuralsh.com virtual host. A direct HTTP request to the origin IP returns an </w:t>
      </w:r>
      <w:r>
        <w:rPr>
          <w:rFonts w:ascii="Courier New" w:hAnsi="Courier New"/>
          <w:sz w:val="22"/>
        </w:rPr>
        <w:t>Index of /</w:t>
      </w:r>
      <w:r>
        <w:rPr>
          <w:rFonts w:ascii="Times New Roman" w:hAnsi="Times New Roman"/>
          <w:sz w:val="24"/>
        </w:rPr>
        <w:t xml:space="preserve"> page, listing all files present in the web root along with modification timestamps. While the directory was empty at the time of testing, any deployed application files would be enumerated, providing a full directory map to an attacker without any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virtual host configuration or to a </w:t>
      </w:r>
      <w:r>
        <w:rPr>
          <w:rFonts w:ascii="Courier New" w:hAnsi="Courier New"/>
          <w:sz w:val="22"/>
        </w:rPr>
        <w:t>.htaccess</w:t>
      </w:r>
      <w:r>
        <w:rPr>
          <w:rFonts w:ascii="Times New Roman" w:hAnsi="Times New Roman"/>
          <w:sz w:val="24"/>
        </w:rPr>
        <w:t xml:space="preserve"> file in the document root. Verify that this directive is applied to all virtual hosts on the server.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103.16.62.217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103.16.62.217</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on the origin server redirect explicitly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confirming onesala.com as a named, verifiable co-tenant on the same physical server as neuralsh.com. This elevates N-004 (Shared Hosting Lateral Movement Risk) from a theoretical risk to a confirmed scenario with an identified third-party victim. A successful compromise of neuralsh.com's hosting infrastructure now carries documented third-party data protection and legal implications.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direct fix is available at the application level. Long-term remediation requires migration to isolated dedicated infrastructure. As an immediate measure, restrict WHM access to prevent the co-tenancy relationship from being exploited.</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HTTP redirect from 103.16.62.217:2077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account lockout, or CAPTCHA. This interface accepts authentication attempts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linked services including cPanel and application accounts, and to send phishing emails from a legitimate neuralsh.com address.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management IPs via firewall. Enforce strong, unique passwords on all hosted email accounts. Implement CAPTCHA or an account lockout policy on the webmail login page.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expand the credential brute-force attack surface. Their appearance after the initial scan indicates that infrastructure changes are occurring on the server without a security review process in place.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immediately. Conduct a full port audit of 103.16.62.217 and close all ports that lack a documented business purpose. Establish a change management process for firewall rule modifications.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 with HTTP 401 response</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expected parameter names, and backend framework identification strings. An example error response observed during testing: </w:t>
      </w:r>
      <w:r>
        <w:rPr>
          <w:rFonts w:ascii="Courier New" w:hAnsi="Courier New"/>
          <w:sz w:val="22"/>
        </w:rPr>
        <w:t>{"error":true,"url":"https://neuralsh.com/api/geocode","statusCode":400,"message":"Latitude and longitude are required"}</w:t>
      </w:r>
      <w:r>
        <w:rPr>
          <w:rFonts w:ascii="Times New Roman" w:hAnsi="Times New Roman"/>
          <w:sz w:val="24"/>
        </w:rPr>
        <w:t>. This information reduces the reconnaissance effort required to map and target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user-facing error messages to clients. Log detailed diagnostic information server-side only. Remove all parameter names, internal paths, and framework identifiers from client-facing error responses.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error message with internal details</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sent by unauthorised sources spoofing </w:t>
      </w:r>
      <w:r>
        <w:rPr>
          <w:rFonts w:ascii="Courier New" w:hAnsi="Courier New"/>
          <w:sz w:val="22"/>
        </w:rPr>
        <w:t>@neuralsh.com</w:t>
      </w:r>
      <w:r>
        <w:rPr>
          <w:rFonts w:ascii="Times New Roman" w:hAnsi="Times New Roman"/>
          <w:sz w:val="24"/>
        </w:rPr>
        <w:t xml:space="preserve"> addresses are flagged but not rejected outright. On receiving mail servers that do not enforce strict SPF checking, phishing emails using the neuralsh.com brand identity may be delivered to recipients.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Update the SPF record to </w:t>
      </w:r>
      <w:r>
        <w:rPr>
          <w:rFonts w:ascii="Courier New" w:hAnsi="Courier New"/>
          <w:sz w:val="22"/>
        </w:rPr>
        <w:t>v=spf1 +mx +a +ip4:103.16.62.217 -all</w:t>
      </w:r>
      <w:r>
        <w:rPr>
          <w:rFonts w:ascii="Times New Roman" w:hAnsi="Times New Roman"/>
          <w:sz w:val="24"/>
        </w:rPr>
        <w:t xml:space="preserve">. Update the DMARC record to </w:t>
      </w:r>
      <w:r>
        <w:rPr>
          <w:rFonts w:ascii="Courier New" w:hAnsi="Courier New"/>
          <w:sz w:val="22"/>
        </w:rPr>
        <w:t>v=DMARC1; p=reject; rua=mailto:dmarc@neuralsh.com</w:t>
      </w:r>
      <w:r>
        <w:rPr>
          <w:rFonts w:ascii="Times New Roman" w:hAnsi="Times New Roman"/>
          <w:sz w:val="24"/>
        </w:rPr>
        <w:t xml:space="preserve"> to reject all unauthorised mail.</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softfail (~all) and DMARC p=quarantine policy</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103.16.62.217:2083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cPanel version is indirectly disclosed through timestamp-based magic revision numbers embedded in static asset paths, for example </w:t>
      </w:r>
      <w:r>
        <w:rPr>
          <w:rFonts w:ascii="Courier New" w:hAnsi="Courier New"/>
          <w:sz w:val="22"/>
        </w:rPr>
        <w:t>cPanel_magic_revision_1698766296</w:t>
      </w:r>
      <w:r>
        <w:rPr>
          <w:rFonts w:ascii="Times New Roman" w:hAnsi="Times New Roman"/>
          <w:sz w:val="24"/>
        </w:rPr>
        <w:t>. This timestamp can be cross-referenced against cPanel release changelogs to identify the exact installed version, enabling targeted CVE lookup and version-specific exploit research against the identified version.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current supported release. Configure cPanel to suppress magic revision identifiers in static asset paths where possible.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timestamp in asset path</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103.16.62.217:25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Port 25 appeared as </w:t>
      </w:r>
      <w:r>
        <w:rPr>
          <w:rFonts w:ascii="Courier New" w:hAnsi="Courier New"/>
          <w:sz w:val="22"/>
        </w:rPr>
        <w:t>filtered</w:t>
      </w:r>
      <w:r>
        <w:rPr>
          <w:rFonts w:ascii="Times New Roman" w:hAnsi="Times New Roman"/>
          <w:sz w:val="24"/>
        </w:rPr>
        <w:t xml:space="preserve"> in the June 6 baseline scan and as </w:t>
      </w:r>
      <w:r>
        <w:rPr>
          <w:rFonts w:ascii="Courier New" w:hAnsi="Courier New"/>
          <w:sz w:val="22"/>
        </w:rPr>
        <w:t>open</w:t>
      </w:r>
      <w:r>
        <w:rPr>
          <w:rFonts w:ascii="Times New Roman" w:hAnsi="Times New Roman"/>
          <w:sz w:val="24"/>
        </w:rPr>
        <w:t xml:space="preserve"> in the June 10 follow-up scan, accepting full TCP connections. The unexplained state change indicates that a firewall rule was removed between the two scans without a documented change control process. An open SMTP port enables direct mail relay testing, SMTP user enumeration via VRFY and EXPN commands, and potential open relay abuse if the Exim configuration allows unauthenticated mail submission.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cause of the port 25 firewall rule removal. If direct SMTP delivery is not required — mail submission on port 587 is the current standard — restore the firewall block on port 25 immediately and document the change.</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