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tkin888n6s4" w:id="0"/>
      <w:bookmarkEnd w:id="0"/>
      <w:r w:rsidDel="00000000" w:rsidR="00000000" w:rsidRPr="00000000">
        <w:rPr>
          <w:rtl w:val="0"/>
        </w:rPr>
        <w:t xml:space="preserve">Task 1: Selection and Research</w:t>
      </w:r>
    </w:p>
    <w:p w:rsidR="00000000" w:rsidDel="00000000" w:rsidP="00000000" w:rsidRDefault="00000000" w:rsidRPr="00000000" w14:paraId="00000002">
      <w:pPr>
        <w:pStyle w:val="Heading2"/>
        <w:rPr/>
      </w:pPr>
      <w:bookmarkStart w:colFirst="0" w:colLast="0" w:name="_41lmht3feqmi" w:id="1"/>
      <w:bookmarkEnd w:id="1"/>
      <w:r w:rsidDel="00000000" w:rsidR="00000000" w:rsidRPr="00000000">
        <w:rPr>
          <w:rtl w:val="0"/>
        </w:rPr>
        <w:t xml:space="preserve">1.1 Regulated Entity and Jurisdictions</w:t>
      </w:r>
    </w:p>
    <w:p w:rsidR="00000000" w:rsidDel="00000000" w:rsidP="00000000" w:rsidRDefault="00000000" w:rsidRPr="00000000" w14:paraId="00000003">
      <w:pPr>
        <w:rPr/>
      </w:pPr>
      <w:r w:rsidDel="00000000" w:rsidR="00000000" w:rsidRPr="00000000">
        <w:rPr>
          <w:rtl w:val="0"/>
        </w:rPr>
        <w:t xml:space="preserve">Named Entity: Coinbase Global, Inc.</w:t>
      </w:r>
    </w:p>
    <w:p w:rsidR="00000000" w:rsidDel="00000000" w:rsidP="00000000" w:rsidRDefault="00000000" w:rsidRPr="00000000" w14:paraId="00000004">
      <w:pPr>
        <w:rPr/>
      </w:pPr>
      <w:r w:rsidDel="00000000" w:rsidR="00000000" w:rsidRPr="00000000">
        <w:rPr>
          <w:rtl w:val="0"/>
        </w:rPr>
        <w:t xml:space="preserve">Coinbase is the world's largest publicly listed cryptocurrency exchange (NASDAQ: COIN). As of May 2026, it operates with differentiated regulatory frameworks: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0401989225034"/>
        <w:gridCol w:w="2315.756319933693"/>
        <w:gridCol w:w="2701.715706589308"/>
        <w:gridCol w:w="2196.999585578119"/>
        <w:tblGridChange w:id="0">
          <w:tblGrid>
            <w:gridCol w:w="1811.0401989225034"/>
            <w:gridCol w:w="2315.756319933693"/>
            <w:gridCol w:w="2701.715706589308"/>
            <w:gridCol w:w="2196.999585578119"/>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5">
            <w:pPr>
              <w:rPr/>
            </w:pPr>
            <w:r w:rsidDel="00000000" w:rsidR="00000000" w:rsidRPr="00000000">
              <w:rPr>
                <w:rtl w:val="0"/>
              </w:rPr>
              <w:t xml:space="preserve">Jurisdiction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6">
            <w:pPr>
              <w:rPr/>
            </w:pPr>
            <w:r w:rsidDel="00000000" w:rsidR="00000000" w:rsidRPr="00000000">
              <w:rPr>
                <w:rtl w:val="0"/>
              </w:rPr>
              <w:t xml:space="preserve">Legal Entity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7">
            <w:pPr>
              <w:rPr/>
            </w:pPr>
            <w:r w:rsidDel="00000000" w:rsidR="00000000" w:rsidRPr="00000000">
              <w:rPr>
                <w:rtl w:val="0"/>
              </w:rPr>
              <w:t xml:space="preserve">License Status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8">
            <w:pPr>
              <w:rPr/>
            </w:pPr>
            <w:r w:rsidDel="00000000" w:rsidR="00000000" w:rsidRPr="00000000">
              <w:rPr>
                <w:rtl w:val="0"/>
              </w:rPr>
              <w:t xml:space="preserve">Primary Regulator(s)</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9">
            <w:pPr>
              <w:rPr/>
            </w:pPr>
            <w:r w:rsidDel="00000000" w:rsidR="00000000" w:rsidRPr="00000000">
              <w:rPr>
                <w:rtl w:val="0"/>
              </w:rPr>
              <w:t xml:space="preserve">United States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A">
            <w:pPr>
              <w:rPr/>
            </w:pPr>
            <w:r w:rsidDel="00000000" w:rsidR="00000000" w:rsidRPr="00000000">
              <w:rPr>
                <w:rtl w:val="0"/>
              </w:rPr>
              <w:t xml:space="preserve">Coinbase, Inc.</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B">
            <w:pPr>
              <w:rPr/>
            </w:pPr>
            <w:r w:rsidDel="00000000" w:rsidR="00000000" w:rsidRPr="00000000">
              <w:rPr>
                <w:rtl w:val="0"/>
              </w:rPr>
              <w:t xml:space="preserve">MSB + Trust Company Charter (2026)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C">
            <w:pPr>
              <w:rPr/>
            </w:pPr>
            <w:r w:rsidDel="00000000" w:rsidR="00000000" w:rsidRPr="00000000">
              <w:rPr>
                <w:rtl w:val="0"/>
              </w:rPr>
              <w:t xml:space="preserve">FinCEN, OCC</w:t>
            </w:r>
          </w:p>
        </w:tc>
      </w:tr>
      <w:tr>
        <w:trPr>
          <w:cantSplit w:val="0"/>
          <w:trHeight w:val="1058.93554687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D">
            <w:pPr>
              <w:rPr/>
            </w:pPr>
            <w:r w:rsidDel="00000000" w:rsidR="00000000" w:rsidRPr="00000000">
              <w:rPr>
                <w:rtl w:val="0"/>
              </w:rPr>
              <w:t xml:space="preserve">Singapore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E">
            <w:pPr>
              <w:rPr/>
            </w:pPr>
            <w:r w:rsidDel="00000000" w:rsidR="00000000" w:rsidRPr="00000000">
              <w:rPr>
                <w:rtl w:val="0"/>
              </w:rPr>
              <w:t xml:space="preserve">Coinbase Singapore Pte. Ltd.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F">
            <w:pPr>
              <w:rPr/>
            </w:pPr>
            <w:r w:rsidDel="00000000" w:rsidR="00000000" w:rsidRPr="00000000">
              <w:rPr>
                <w:rtl w:val="0"/>
              </w:rPr>
              <w:t xml:space="preserve">Major Payment Institution (MPI)</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0">
            <w:pPr>
              <w:rPr/>
            </w:pPr>
            <w:r w:rsidDel="00000000" w:rsidR="00000000" w:rsidRPr="00000000">
              <w:rPr>
                <w:rtl w:val="0"/>
              </w:rPr>
              <w:t xml:space="preserve">MAS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1">
            <w:pPr>
              <w:rPr/>
            </w:pPr>
            <w:r w:rsidDel="00000000" w:rsidR="00000000" w:rsidRPr="00000000">
              <w:rPr>
                <w:rtl w:val="0"/>
              </w:rPr>
              <w:t xml:space="preserve">Europe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2">
            <w:pPr>
              <w:rPr/>
            </w:pPr>
            <w:r w:rsidDel="00000000" w:rsidR="00000000" w:rsidRPr="00000000">
              <w:rPr>
                <w:rtl w:val="0"/>
              </w:rPr>
              <w:t xml:space="preserve">Coinbase Germany GmbH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3">
            <w:pPr>
              <w:rPr/>
            </w:pPr>
            <w:r w:rsidDel="00000000" w:rsidR="00000000" w:rsidRPr="00000000">
              <w:rPr>
                <w:rtl w:val="0"/>
              </w:rPr>
              <w:t xml:space="preserve">CASP (Crypto Asset Service Provider)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4">
            <w:pPr>
              <w:rPr/>
            </w:pPr>
            <w:r w:rsidDel="00000000" w:rsidR="00000000" w:rsidRPr="00000000">
              <w:rPr>
                <w:rtl w:val="0"/>
              </w:rPr>
              <w:t xml:space="preserve">BaFin, FCA</w:t>
            </w:r>
          </w:p>
        </w:tc>
      </w:tr>
    </w:tbl>
    <w:p w:rsidR="00000000" w:rsidDel="00000000" w:rsidP="00000000" w:rsidRDefault="00000000" w:rsidRPr="00000000" w14:paraId="00000015">
      <w:pPr>
        <w:rPr/>
      </w:pPr>
      <w:r w:rsidDel="00000000" w:rsidR="00000000" w:rsidRPr="00000000">
        <w:rPr>
          <w:rtl w:val="0"/>
        </w:rPr>
        <w:t xml:space="preserve">Coinbase faces direct regulatory conflict between US laissez-faire stablecoin policy and Singapore's strict consumer protection regime. This creates a real RegTech problem: how to comply with both simultaneously.</w:t>
      </w:r>
    </w:p>
    <w:p w:rsidR="00000000" w:rsidDel="00000000" w:rsidP="00000000" w:rsidRDefault="00000000" w:rsidRPr="00000000" w14:paraId="00000016">
      <w:pPr>
        <w:pStyle w:val="Heading2"/>
        <w:rPr/>
      </w:pPr>
      <w:bookmarkStart w:colFirst="0" w:colLast="0" w:name="_lsmem81octl2" w:id="2"/>
      <w:bookmarkEnd w:id="2"/>
      <w:r w:rsidDel="00000000" w:rsidR="00000000" w:rsidRPr="00000000">
        <w:rPr>
          <w:rtl w:val="0"/>
        </w:rPr>
        <w:t xml:space="preserve">1.2 Specific Domain: FATF Travel Rule Compliance + AML/KYC</w:t>
      </w:r>
    </w:p>
    <w:p w:rsidR="00000000" w:rsidDel="00000000" w:rsidP="00000000" w:rsidRDefault="00000000" w:rsidRPr="00000000" w14:paraId="00000017">
      <w:pPr>
        <w:rPr/>
      </w:pPr>
      <w:r w:rsidDel="00000000" w:rsidR="00000000" w:rsidRPr="00000000">
        <w:rPr>
          <w:rtl w:val="0"/>
        </w:rPr>
        <w:t xml:space="preserve">Travel Rule: FATF Recommendation R.16 requires Virtual Asset Service Providers (VASPs) to transmit originator and beneficiary information for transactions above specified thresholds. It's the crypto equivalent of traditional banking KYC requirements.</w:t>
      </w:r>
    </w:p>
    <w:p w:rsidR="00000000" w:rsidDel="00000000" w:rsidP="00000000" w:rsidRDefault="00000000" w:rsidRPr="00000000" w14:paraId="00000018">
      <w:pPr>
        <w:rPr/>
      </w:pPr>
      <w:r w:rsidDel="00000000" w:rsidR="00000000" w:rsidRPr="00000000">
        <w:rPr>
          <w:rtl w:val="0"/>
        </w:rPr>
        <w:t xml:space="preserve">Why This Domain:  The Travel Rule reveals the core regulatory divergence:</w:t>
      </w:r>
    </w:p>
    <w:p w:rsidR="00000000" w:rsidDel="00000000" w:rsidP="00000000" w:rsidRDefault="00000000" w:rsidRPr="00000000" w14:paraId="00000019">
      <w:pPr>
        <w:rPr/>
      </w:pPr>
      <w:r w:rsidDel="00000000" w:rsidR="00000000" w:rsidRPr="00000000">
        <w:rPr>
          <w:rtl w:val="0"/>
        </w:rPr>
        <w:t xml:space="preserve">US Threshold: USD 3,000 (permissive; fewer reportable transactions)</w:t>
      </w:r>
    </w:p>
    <w:p w:rsidR="00000000" w:rsidDel="00000000" w:rsidP="00000000" w:rsidRDefault="00000000" w:rsidRPr="00000000" w14:paraId="0000001A">
      <w:pPr>
        <w:rPr/>
      </w:pPr>
      <w:r w:rsidDel="00000000" w:rsidR="00000000" w:rsidRPr="00000000">
        <w:rPr>
          <w:rtl w:val="0"/>
        </w:rPr>
        <w:t xml:space="preserve">Singapore Threshold: S$1,500 (~USD 1,000; FATF-strict; 3x more reportable transactions)</w:t>
      </w:r>
    </w:p>
    <w:p w:rsidR="00000000" w:rsidDel="00000000" w:rsidP="00000000" w:rsidRDefault="00000000" w:rsidRPr="00000000" w14:paraId="0000001B">
      <w:pPr>
        <w:rPr/>
      </w:pPr>
      <w:r w:rsidDel="00000000" w:rsidR="00000000" w:rsidRPr="00000000">
        <w:rPr>
          <w:rtl w:val="0"/>
        </w:rPr>
        <w:t xml:space="preserve">This single parameter forces Coinbase to choose: optimize for US transaction velocity or Singapore compliance. A RegTech tool must either block jurisdictional arbitrage or enable regulatory arbitrage—a political choice.</w:t>
      </w:r>
    </w:p>
    <w:p w:rsidR="00000000" w:rsidDel="00000000" w:rsidP="00000000" w:rsidRDefault="00000000" w:rsidRPr="00000000" w14:paraId="0000001C">
      <w:pPr>
        <w:pStyle w:val="Heading2"/>
        <w:rPr/>
      </w:pPr>
      <w:bookmarkStart w:colFirst="0" w:colLast="0" w:name="_3a65h7982xu6" w:id="3"/>
      <w:bookmarkEnd w:id="3"/>
      <w:r w:rsidDel="00000000" w:rsidR="00000000" w:rsidRPr="00000000">
        <w:rPr>
          <w:rtl w:val="0"/>
        </w:rPr>
        <w:t xml:space="preserve">1.3 Regulatory Frameworks Comparison</w:t>
      </w:r>
    </w:p>
    <w:p w:rsidR="00000000" w:rsidDel="00000000" w:rsidP="00000000" w:rsidRDefault="00000000" w:rsidRPr="00000000" w14:paraId="0000001D">
      <w:pPr>
        <w:rPr/>
      </w:pPr>
      <w:r w:rsidDel="00000000" w:rsidR="00000000" w:rsidRPr="00000000">
        <w:rPr>
          <w:rtl w:val="0"/>
        </w:rPr>
        <w:t xml:space="preserve">United States: Laissez-Faire (GENIUS Act, 2025):</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70"/>
        <w:tblGridChange w:id="0">
          <w:tblGrid>
            <w:gridCol w:w="2445"/>
            <w:gridCol w:w="6570"/>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E">
            <w:pPr>
              <w:rPr/>
            </w:pPr>
            <w:r w:rsidDel="00000000" w:rsidR="00000000" w:rsidRPr="00000000">
              <w:rPr>
                <w:rtl w:val="0"/>
              </w:rPr>
              <w:t xml:space="preserve">Element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F">
            <w:pPr>
              <w:rPr/>
            </w:pPr>
            <w:r w:rsidDel="00000000" w:rsidR="00000000" w:rsidRPr="00000000">
              <w:rPr>
                <w:rtl w:val="0"/>
              </w:rPr>
              <w:t xml:space="preserve">Detail</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0">
            <w:pPr>
              <w:rPr/>
            </w:pPr>
            <w:r w:rsidDel="00000000" w:rsidR="00000000" w:rsidRPr="00000000">
              <w:rPr>
                <w:rtl w:val="0"/>
              </w:rPr>
              <w:t xml:space="preserve">Scope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1">
            <w:pPr>
              <w:rPr/>
            </w:pPr>
            <w:r w:rsidDel="00000000" w:rsidR="00000000" w:rsidRPr="00000000">
              <w:rPr>
                <w:rtl w:val="0"/>
              </w:rPr>
              <w:t xml:space="preserve">Regulates stablecoin issuers (Circle/USDC), not VASPs (Coinbase)</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2">
            <w:pPr>
              <w:rPr/>
            </w:pPr>
            <w:r w:rsidDel="00000000" w:rsidR="00000000" w:rsidRPr="00000000">
              <w:rPr>
                <w:rtl w:val="0"/>
              </w:rPr>
              <w:t xml:space="preserve">VASP Requirements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3">
            <w:pPr>
              <w:rPr/>
            </w:pPr>
            <w:r w:rsidDel="00000000" w:rsidR="00000000" w:rsidRPr="00000000">
              <w:rPr>
                <w:rtl w:val="0"/>
              </w:rPr>
              <w:t xml:space="preserve">Limited SAR filing for secondary-market transactions; primary-market focus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4">
            <w:pPr>
              <w:rPr/>
            </w:pPr>
            <w:r w:rsidDel="00000000" w:rsidR="00000000" w:rsidRPr="00000000">
              <w:rPr>
                <w:rtl w:val="0"/>
              </w:rPr>
              <w:t xml:space="preserve">Travel Rule Threshold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5">
            <w:pPr>
              <w:rPr/>
            </w:pPr>
            <w:r w:rsidDel="00000000" w:rsidR="00000000" w:rsidRPr="00000000">
              <w:rPr>
                <w:rtl w:val="0"/>
              </w:rPr>
              <w:t xml:space="preserve">USD 3,000 (vs. FATF's recommended USD 1,000)</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6">
            <w:pPr>
              <w:rPr/>
            </w:pPr>
            <w:r w:rsidDel="00000000" w:rsidR="00000000" w:rsidRPr="00000000">
              <w:rPr>
                <w:rtl w:val="0"/>
              </w:rPr>
              <w:t xml:space="preserve">Safe Harbor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7">
            <w:pPr>
              <w:rPr/>
            </w:pPr>
            <w:r w:rsidDel="00000000" w:rsidR="00000000" w:rsidRPr="00000000">
              <w:rPr>
                <w:rtl w:val="0"/>
              </w:rPr>
              <w:t xml:space="preserve">Compliance efforts shielded from supervisory criticism (GENIUS Act § 8)</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8">
            <w:pPr>
              <w:rPr/>
            </w:pPr>
            <w:r w:rsidDel="00000000" w:rsidR="00000000" w:rsidRPr="00000000">
              <w:rPr>
                <w:rtl w:val="0"/>
              </w:rPr>
              <w:t xml:space="preserve">Philosophy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9">
            <w:pPr>
              <w:rPr/>
            </w:pPr>
            <w:r w:rsidDel="00000000" w:rsidR="00000000" w:rsidRPr="00000000">
              <w:rPr>
                <w:rtl w:val="0"/>
              </w:rPr>
              <w:t xml:space="preserve">Transaction minimization; reduce friction for USD stablecoin velocity</w:t>
            </w:r>
          </w:p>
        </w:tc>
      </w:tr>
    </w:tbl>
    <w:p w:rsidR="00000000" w:rsidDel="00000000" w:rsidP="00000000" w:rsidRDefault="00000000" w:rsidRPr="00000000" w14:paraId="0000002A">
      <w:pPr>
        <w:rPr/>
      </w:pPr>
      <w:r w:rsidDel="00000000" w:rsidR="00000000" w:rsidRPr="00000000">
        <w:rPr>
          <w:rtl w:val="0"/>
        </w:rPr>
        <w:t xml:space="preserve">Source:  Federal Register (April 2026): </w:t>
      </w:r>
      <w:hyperlink r:id="rId6">
        <w:r w:rsidDel="00000000" w:rsidR="00000000" w:rsidRPr="00000000">
          <w:rPr>
            <w:color w:val="1155cc"/>
            <w:u w:val="single"/>
            <w:rtl w:val="0"/>
          </w:rPr>
          <w:t xml:space="preserve">https://www.federalregister.gov/documents/2026/04/10/2026-06963/</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Singapore: Micro-Prudent (MAS Notice PSN02, 2023):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4048901782016"/>
        <w:gridCol w:w="6294.106920845421"/>
        <w:tblGridChange w:id="0">
          <w:tblGrid>
            <w:gridCol w:w="2731.4048901782016"/>
            <w:gridCol w:w="6294.106920845421"/>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D">
            <w:pPr>
              <w:rPr/>
            </w:pPr>
            <w:r w:rsidDel="00000000" w:rsidR="00000000" w:rsidRPr="00000000">
              <w:rPr>
                <w:rtl w:val="0"/>
              </w:rPr>
              <w:t xml:space="preserve">Element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E">
            <w:pPr>
              <w:rPr/>
            </w:pPr>
            <w:r w:rsidDel="00000000" w:rsidR="00000000" w:rsidRPr="00000000">
              <w:rPr>
                <w:rtl w:val="0"/>
              </w:rPr>
              <w:t xml:space="preserve">Detail</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F">
            <w:pPr>
              <w:rPr/>
            </w:pPr>
            <w:r w:rsidDel="00000000" w:rsidR="00000000" w:rsidRPr="00000000">
              <w:rPr>
                <w:rtl w:val="0"/>
              </w:rPr>
              <w:t xml:space="preserve">Scope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0">
            <w:pPr>
              <w:rPr/>
            </w:pPr>
            <w:r w:rsidDel="00000000" w:rsidR="00000000" w:rsidRPr="00000000">
              <w:rPr>
                <w:rtl w:val="0"/>
              </w:rPr>
              <w:t xml:space="preserve">All Digital Payment Token service providers; VASPs directly regulated</w:t>
            </w:r>
          </w:p>
        </w:tc>
      </w:tr>
      <w:tr>
        <w:trPr>
          <w:cantSplit w:val="0"/>
          <w:trHeight w:val="520.957031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1">
            <w:pPr>
              <w:rPr/>
            </w:pPr>
            <w:r w:rsidDel="00000000" w:rsidR="00000000" w:rsidRPr="00000000">
              <w:rPr>
                <w:rtl w:val="0"/>
              </w:rPr>
              <w:t xml:space="preserve">Travel Rule Threshold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2">
            <w:pPr>
              <w:rPr/>
            </w:pPr>
            <w:r w:rsidDel="00000000" w:rsidR="00000000" w:rsidRPr="00000000">
              <w:rPr>
                <w:rtl w:val="0"/>
              </w:rPr>
              <w:t xml:space="preserve">S$1,500 (~USD 1,000; FATF-aligned)</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3">
            <w:pPr>
              <w:rPr/>
            </w:pPr>
            <w:r w:rsidDel="00000000" w:rsidR="00000000" w:rsidRPr="00000000">
              <w:rPr>
                <w:rtl w:val="0"/>
              </w:rPr>
              <w:t xml:space="preserve">Information Required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4">
            <w:pPr>
              <w:rPr/>
            </w:pPr>
            <w:r w:rsidDel="00000000" w:rsidR="00000000" w:rsidRPr="00000000">
              <w:rPr>
                <w:rtl w:val="0"/>
              </w:rPr>
              <w:t xml:space="preserve">Name, account number, address/ID, DOB (originator); name, account number (beneficiary)</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5">
            <w:pPr>
              <w:rPr/>
            </w:pPr>
            <w:r w:rsidDel="00000000" w:rsidR="00000000" w:rsidRPr="00000000">
              <w:rPr>
                <w:rtl w:val="0"/>
              </w:rPr>
              <w:t xml:space="preserve">Unhosted Wallet Interaction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6">
            <w:pPr>
              <w:rPr/>
            </w:pPr>
            <w:r w:rsidDel="00000000" w:rsidR="00000000" w:rsidRPr="00000000">
              <w:rPr>
                <w:rtl w:val="0"/>
              </w:rPr>
              <w:t xml:space="preserve">Enhanced due diligence required; originator verification mandatory</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7">
            <w:pPr>
              <w:rPr/>
            </w:pPr>
            <w:r w:rsidDel="00000000" w:rsidR="00000000" w:rsidRPr="00000000">
              <w:rPr>
                <w:rtl w:val="0"/>
              </w:rPr>
              <w:t xml:space="preserve">Enforcement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8">
            <w:pPr>
              <w:rPr/>
            </w:pPr>
            <w:r w:rsidDel="00000000" w:rsidR="00000000" w:rsidRPr="00000000">
              <w:rPr>
                <w:rtl w:val="0"/>
              </w:rPr>
              <w:t xml:space="preserve">Strict deterrent; fines up to SGD 1M; license revocation possible</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9">
            <w:pPr>
              <w:rPr/>
            </w:pPr>
            <w:r w:rsidDel="00000000" w:rsidR="00000000" w:rsidRPr="00000000">
              <w:rPr>
                <w:rtl w:val="0"/>
              </w:rPr>
              <w:t xml:space="preserve">Retail Yield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A">
            <w:pPr>
              <w:rPr/>
            </w:pPr>
            <w:r w:rsidDel="00000000" w:rsidR="00000000" w:rsidRPr="00000000">
              <w:rPr>
                <w:rtl w:val="0"/>
              </w:rPr>
              <w:t xml:space="preserve">Entirely prohibited (no staking, no interest for retail customers)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B">
            <w:pPr>
              <w:rPr/>
            </w:pPr>
            <w:r w:rsidDel="00000000" w:rsidR="00000000" w:rsidRPr="00000000">
              <w:rPr>
                <w:rtl w:val="0"/>
              </w:rPr>
              <w:t xml:space="preserve">Philosophy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C">
            <w:pPr>
              <w:rPr/>
            </w:pPr>
            <w:r w:rsidDel="00000000" w:rsidR="00000000" w:rsidRPr="00000000">
              <w:rPr>
                <w:rtl w:val="0"/>
              </w:rPr>
              <w:t xml:space="preserve">Transaction visibility; maximize financial crime detection</w:t>
            </w:r>
          </w:p>
        </w:tc>
      </w:tr>
    </w:tbl>
    <w:p w:rsidR="00000000" w:rsidDel="00000000" w:rsidP="00000000" w:rsidRDefault="00000000" w:rsidRPr="00000000" w14:paraId="0000003D">
      <w:pPr>
        <w:rPr/>
      </w:pPr>
      <w:r w:rsidDel="00000000" w:rsidR="00000000" w:rsidRPr="00000000">
        <w:rPr>
          <w:rtl w:val="0"/>
        </w:rPr>
        <w:t xml:space="preserve">Source: MAS Notice PSN02: </w:t>
      </w:r>
      <w:hyperlink r:id="rId7">
        <w:r w:rsidDel="00000000" w:rsidR="00000000" w:rsidRPr="00000000">
          <w:rPr>
            <w:rtl w:val="0"/>
          </w:rPr>
          <w:t xml:space="preserve">https://wtr.opusdatum.com/singapore/notice-psn02-prevention-of-money-laundering-and-countering-the-financing-of-terrorism-%E2%80%93-digital-payment-token-service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Comparison Table: </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619024763585"/>
        <w:gridCol w:w="1888.3690280065898"/>
        <w:gridCol w:w="2379.047594339011"/>
        <w:gridCol w:w="2557.4761639144367"/>
        <w:tblGridChange w:id="0">
          <w:tblGrid>
            <w:gridCol w:w="2200.619024763585"/>
            <w:gridCol w:w="1888.3690280065898"/>
            <w:gridCol w:w="2379.047594339011"/>
            <w:gridCol w:w="2557.4761639144367"/>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0">
            <w:pPr>
              <w:rPr/>
            </w:pPr>
            <w:r w:rsidDel="00000000" w:rsidR="00000000" w:rsidRPr="00000000">
              <w:rPr>
                <w:rtl w:val="0"/>
              </w:rPr>
              <w:t xml:space="preserve">Dimension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1">
            <w:pPr>
              <w:rPr/>
            </w:pPr>
            <w:r w:rsidDel="00000000" w:rsidR="00000000" w:rsidRPr="00000000">
              <w:rPr>
                <w:rtl w:val="0"/>
              </w:rPr>
              <w:t xml:space="preserve">US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2">
            <w:pPr>
              <w:rPr/>
            </w:pPr>
            <w:r w:rsidDel="00000000" w:rsidR="00000000" w:rsidRPr="00000000">
              <w:rPr>
                <w:rtl w:val="0"/>
              </w:rPr>
              <w:t xml:space="preserve">Singapore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3">
            <w:pPr>
              <w:rPr/>
            </w:pPr>
            <w:r w:rsidDel="00000000" w:rsidR="00000000" w:rsidRPr="00000000">
              <w:rPr>
                <w:rtl w:val="0"/>
              </w:rPr>
              <w:t xml:space="preserve">Political Choice</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4">
            <w:pPr>
              <w:rPr/>
            </w:pPr>
            <w:r w:rsidDel="00000000" w:rsidR="00000000" w:rsidRPr="00000000">
              <w:rPr>
                <w:rtl w:val="0"/>
              </w:rPr>
              <w:t xml:space="preserve">Travel Rule Threshold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5">
            <w:pPr>
              <w:rPr/>
            </w:pPr>
            <w:r w:rsidDel="00000000" w:rsidR="00000000" w:rsidRPr="00000000">
              <w:rPr>
                <w:rtl w:val="0"/>
              </w:rPr>
              <w:t xml:space="preserve">USD 3,000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6">
            <w:pPr>
              <w:rPr/>
            </w:pPr>
            <w:r w:rsidDel="00000000" w:rsidR="00000000" w:rsidRPr="00000000">
              <w:rPr>
                <w:rtl w:val="0"/>
              </w:rPr>
              <w:t xml:space="preserve">S$1,500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7">
            <w:pPr>
              <w:rPr/>
            </w:pPr>
            <w:r w:rsidDel="00000000" w:rsidR="00000000" w:rsidRPr="00000000">
              <w:rPr>
                <w:rtl w:val="0"/>
              </w:rPr>
              <w:t xml:space="preserve">US: permissive; SG: strict</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8">
            <w:pPr>
              <w:rPr/>
            </w:pPr>
            <w:r w:rsidDel="00000000" w:rsidR="00000000" w:rsidRPr="00000000">
              <w:rPr>
                <w:rtl w:val="0"/>
              </w:rPr>
              <w:t xml:space="preserve">Unhosted Wallet Policy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9">
            <w:pPr>
              <w:rPr/>
            </w:pPr>
            <w:r w:rsidDel="00000000" w:rsidR="00000000" w:rsidRPr="00000000">
              <w:rPr>
                <w:rtl w:val="0"/>
              </w:rPr>
              <w:t xml:space="preserve">Permitted (flagged)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A">
            <w:pPr>
              <w:rPr/>
            </w:pPr>
            <w:r w:rsidDel="00000000" w:rsidR="00000000" w:rsidRPr="00000000">
              <w:rPr>
                <w:rtl w:val="0"/>
              </w:rPr>
              <w:t xml:space="preserve">Enhanced due diligence required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B">
            <w:pPr>
              <w:rPr/>
            </w:pPr>
            <w:r w:rsidDel="00000000" w:rsidR="00000000" w:rsidRPr="00000000">
              <w:rPr>
                <w:rtl w:val="0"/>
              </w:rPr>
              <w:t xml:space="preserve">US: libertarian; SG: paternalistic</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C">
            <w:pPr>
              <w:rPr/>
            </w:pPr>
            <w:r w:rsidDel="00000000" w:rsidR="00000000" w:rsidRPr="00000000">
              <w:rPr>
                <w:rtl w:val="0"/>
              </w:rPr>
              <w:t xml:space="preserve">Asset Segregation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D">
            <w:pPr>
              <w:rPr/>
            </w:pPr>
            <w:r w:rsidDel="00000000" w:rsidR="00000000" w:rsidRPr="00000000">
              <w:rPr>
                <w:rtl w:val="0"/>
              </w:rPr>
              <w:t xml:space="preserve">Guided (flexible)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E">
            <w:pPr>
              <w:rPr/>
            </w:pPr>
            <w:r w:rsidDel="00000000" w:rsidR="00000000" w:rsidRPr="00000000">
              <w:rPr>
                <w:rtl w:val="0"/>
              </w:rPr>
              <w:t xml:space="preserve">90% cold storage mandatory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F">
            <w:pPr>
              <w:rPr/>
            </w:pPr>
            <w:r w:rsidDel="00000000" w:rsidR="00000000" w:rsidRPr="00000000">
              <w:rPr>
                <w:rtl w:val="0"/>
              </w:rPr>
              <w:t xml:space="preserve">US: flexible; SG: rigid</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0">
            <w:pPr>
              <w:rPr/>
            </w:pPr>
            <w:r w:rsidDel="00000000" w:rsidR="00000000" w:rsidRPr="00000000">
              <w:rPr>
                <w:rtl w:val="0"/>
              </w:rPr>
              <w:t xml:space="preserve">Enforcement Philosophy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1">
            <w:pPr>
              <w:rPr/>
            </w:pPr>
            <w:r w:rsidDel="00000000" w:rsidR="00000000" w:rsidRPr="00000000">
              <w:rPr>
                <w:rtl w:val="0"/>
              </w:rPr>
              <w:t xml:space="preserve">Safe harbor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2">
            <w:pPr>
              <w:rPr/>
            </w:pPr>
            <w:r w:rsidDel="00000000" w:rsidR="00000000" w:rsidRPr="00000000">
              <w:rPr>
                <w:rtl w:val="0"/>
              </w:rPr>
              <w:t xml:space="preserve">Strict liability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3">
            <w:pPr>
              <w:rPr/>
            </w:pPr>
            <w:r w:rsidDel="00000000" w:rsidR="00000000" w:rsidRPr="00000000">
              <w:rPr>
                <w:rtl w:val="0"/>
              </w:rPr>
              <w:t xml:space="preserve">US: light-handed; SG: deterrent</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4">
            <w:pPr>
              <w:rPr/>
            </w:pPr>
            <w:r w:rsidDel="00000000" w:rsidR="00000000" w:rsidRPr="00000000">
              <w:rPr>
                <w:rtl w:val="0"/>
              </w:rPr>
              <w:t xml:space="preserve">Stablecoin Approval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5">
            <w:pPr>
              <w:rPr/>
            </w:pPr>
            <w:r w:rsidDel="00000000" w:rsidR="00000000" w:rsidRPr="00000000">
              <w:rPr>
                <w:rtl w:val="0"/>
              </w:rPr>
              <w:t xml:space="preserve">Permissive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6">
            <w:pPr>
              <w:rPr/>
            </w:pPr>
            <w:r w:rsidDel="00000000" w:rsidR="00000000" w:rsidRPr="00000000">
              <w:rPr>
                <w:rtl w:val="0"/>
              </w:rPr>
              <w:t xml:space="preserve">MAS-approved list only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7">
            <w:pPr>
              <w:rPr/>
            </w:pPr>
            <w:r w:rsidDel="00000000" w:rsidR="00000000" w:rsidRPr="00000000">
              <w:rPr>
                <w:rtl w:val="0"/>
              </w:rPr>
              <w:t xml:space="preserve">US: market-driven; SG: gatekeeper</w:t>
            </w:r>
          </w:p>
        </w:tc>
      </w:tr>
    </w:tbl>
    <w:p w:rsidR="00000000" w:rsidDel="00000000" w:rsidP="00000000" w:rsidRDefault="00000000" w:rsidRPr="00000000" w14:paraId="00000058">
      <w:pPr>
        <w:pStyle w:val="Heading2"/>
        <w:rPr/>
      </w:pPr>
      <w:bookmarkStart w:colFirst="0" w:colLast="0" w:name="_98ysriunb405" w:id="4"/>
      <w:bookmarkEnd w:id="4"/>
      <w:r w:rsidDel="00000000" w:rsidR="00000000" w:rsidRPr="00000000">
        <w:rPr>
          <w:rtl w:val="0"/>
        </w:rPr>
      </w:r>
    </w:p>
    <w:p w:rsidR="00000000" w:rsidDel="00000000" w:rsidP="00000000" w:rsidRDefault="00000000" w:rsidRPr="00000000" w14:paraId="00000059">
      <w:pPr>
        <w:pStyle w:val="Heading2"/>
        <w:rPr/>
      </w:pPr>
      <w:bookmarkStart w:colFirst="0" w:colLast="0" w:name="_iqg4geaz0ooy" w:id="5"/>
      <w:bookmarkEnd w:id="5"/>
      <w:r w:rsidDel="00000000" w:rsidR="00000000" w:rsidRPr="00000000">
        <w:rPr>
          <w:rtl w:val="0"/>
        </w:rPr>
        <w:t xml:space="preserve">1.4 Key Evidence of Political Divergence</w:t>
      </w:r>
    </w:p>
    <w:p w:rsidR="00000000" w:rsidDel="00000000" w:rsidP="00000000" w:rsidRDefault="00000000" w:rsidRPr="00000000" w14:paraId="0000005A">
      <w:pPr>
        <w:ind w:left="0" w:firstLine="0"/>
        <w:rPr/>
      </w:pPr>
      <w:r w:rsidDel="00000000" w:rsidR="00000000" w:rsidRPr="00000000">
        <w:rPr>
          <w:rtl w:val="0"/>
        </w:rPr>
        <w:t xml:space="preserve">Evidence 1: Threshold Design</w:t>
      </w:r>
    </w:p>
    <w:p w:rsidR="00000000" w:rsidDel="00000000" w:rsidP="00000000" w:rsidRDefault="00000000" w:rsidRPr="00000000" w14:paraId="0000005B">
      <w:pPr>
        <w:ind w:left="0" w:firstLine="0"/>
        <w:rPr/>
      </w:pPr>
      <w:r w:rsidDel="00000000" w:rsidR="00000000" w:rsidRPr="00000000">
        <w:rPr>
          <w:rtl w:val="0"/>
        </w:rPr>
        <w:t xml:space="preserve">·The US set a USD 3,000 Travel Rule threshold (3x FATF's recommended USD 1,000), while Singapore precisely followed FATF guidance at S$1,500. This reveals competing priorities: the US prioritizes transaction velocity for USD stablecoin dominance, while Singapore prioritizes crime detection through granular monitoring.</w:t>
      </w:r>
    </w:p>
    <w:p w:rsidR="00000000" w:rsidDel="00000000" w:rsidP="00000000" w:rsidRDefault="00000000" w:rsidRPr="00000000" w14:paraId="0000005C">
      <w:pPr>
        <w:rPr/>
      </w:pPr>
      <w:r w:rsidDel="00000000" w:rsidR="00000000" w:rsidRPr="00000000">
        <w:rPr>
          <w:rtl w:val="0"/>
        </w:rPr>
        <w:t xml:space="preserve">Source:  FinCEN Guidance (FIN-2019-G001): </w:t>
      </w:r>
      <w:hyperlink r:id="rId8">
        <w:r w:rsidDel="00000000" w:rsidR="00000000" w:rsidRPr="00000000">
          <w:rPr>
            <w:color w:val="1155cc"/>
            <w:u w:val="single"/>
            <w:rtl w:val="0"/>
          </w:rPr>
          <w:t xml:space="preserve">https://www.fincen.gov/resources/statutes-regulations/guidance</w:t>
        </w:r>
      </w:hyperlink>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Evidence 2: Business Impact</w:t>
      </w:r>
    </w:p>
    <w:p w:rsidR="00000000" w:rsidDel="00000000" w:rsidP="00000000" w:rsidRDefault="00000000" w:rsidRPr="00000000" w14:paraId="0000005F">
      <w:pPr>
        <w:rPr/>
      </w:pPr>
      <w:r w:rsidDel="00000000" w:rsidR="00000000" w:rsidRPr="00000000">
        <w:rPr>
          <w:rtl w:val="0"/>
        </w:rPr>
        <w:t xml:space="preserve">A USD 1,500 transfer from US to Singapore is below the US threshold (no reporting required) but above the Singapore threshold (Travel Rule data required). Coinbase cannot simultaneously comply with both jurisdictions. This forces a choice: accept friction for all users, or violate one jurisdiction's law.</w:t>
      </w:r>
    </w:p>
    <w:p w:rsidR="00000000" w:rsidDel="00000000" w:rsidP="00000000" w:rsidRDefault="00000000" w:rsidRPr="00000000" w14:paraId="00000060">
      <w:pPr>
        <w:rPr/>
      </w:pPr>
      <w:r w:rsidDel="00000000" w:rsidR="00000000" w:rsidRPr="00000000">
        <w:rPr>
          <w:rtl w:val="0"/>
        </w:rPr>
        <w:t xml:space="preserve">Source: FinCEN Guidance; MAS Notice PSN02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20" w:before="80" w:lineRule="auto"/>
    </w:pPr>
    <w:rPr>
      <w:rFonts w:ascii="Calibri" w:cs="Calibri" w:eastAsia="Calibri" w:hAnsi="Calibri"/>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ederalregister.gov/documents/2026/04/10/2026-06963/" TargetMode="External"/><Relationship Id="rId7" Type="http://schemas.openxmlformats.org/officeDocument/2006/relationships/hyperlink" Target="https://wtr.opusdatum.com/singapore/notice-psn02-prevention-of-money-laundering-and-countering-the-financing-of-terrorism-%E2%80%93-digital-payment-token-service" TargetMode="External"/><Relationship Id="rId8" Type="http://schemas.openxmlformats.org/officeDocument/2006/relationships/hyperlink" Target="https://www.fincen.gov/resources/statutes-regulations/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