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Демидович.</w:t>
      </w:r>
      <w:r>
        <w:t xml:space="preserve"> </w:t>
      </w:r>
      <w:r>
        <w:t xml:space="preserve">Н.</w:t>
      </w:r>
      <w:r>
        <w:t xml:space="preserve"> </w:t>
      </w:r>
      <w:r>
        <w:t xml:space="preserve">М.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октября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1" w:name="основные-принципы-работы-компьютера"/>
    <w:p>
      <w:pPr>
        <w:pStyle w:val="Heading2"/>
      </w:pPr>
      <w:r>
        <w:t xml:space="preserve">Основные принципы работы компьютера</w:t>
      </w:r>
    </w:p>
    <w:p>
      <w:pPr>
        <w:pStyle w:val="SourceCode"/>
      </w:pPr>
      <w:r>
        <w:rPr>
          <w:rStyle w:val="VerbatimChar"/>
        </w:rPr>
        <w:t xml:space="preserve">Основными функциональными элементами любой электронно-вычислительной машины</w:t>
      </w:r>
    </w:p>
    <w:p>
      <w:pPr>
        <w:pStyle w:val="FirstParagraph"/>
      </w:pPr>
      <w:r>
        <w:t xml:space="preserve">(ЭВМ) являются центральный процессор, память и периферийные 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p>
      <w:pPr>
        <w:pStyle w:val="SourceCode"/>
      </w:pPr>
      <w:r>
        <w:rPr>
          <w:rStyle w:val="VerbatimChar"/>
        </w:rPr>
        <w:t xml:space="preserve">Для того, чтобы писать программы на ассемблере, необходимо знать, какие регистры</w:t>
      </w:r>
    </w:p>
    <w:p>
      <w:pPr>
        <w:pStyle w:val="FirstParagraph"/>
      </w:pP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  <w:r>
        <w:t xml:space="preserve"> </w:t>
      </w:r>
      <w:r>
        <w:t xml:space="preserve">Таким образом можно отметить, что вы можете написать в своей программе, например,</w:t>
      </w:r>
      <w:r>
        <w:t xml:space="preserve"> </w:t>
      </w:r>
      <w:r>
        <w:t xml:space="preserve">такие команды (mov – команда пересылки данных на языке ассемблера):</w:t>
      </w:r>
      <w:r>
        <w:t xml:space="preserve"> </w:t>
      </w:r>
      <w:r>
        <w:t xml:space="preserve">mov ax, 1</w:t>
      </w:r>
      <w:r>
        <w:t xml:space="preserve"> </w:t>
      </w:r>
      <w:r>
        <w:t xml:space="preserve">mov eax, 1</w:t>
      </w:r>
      <w:r>
        <w:t xml:space="preserve"> </w:t>
      </w:r>
      <w:r>
        <w:t xml:space="preserve">Обе команды поместят в регистр AX число 1. Разница будет заключаться только в том, что</w:t>
      </w:r>
      <w:r>
        <w:t xml:space="preserve"> </w:t>
      </w:r>
      <w:r>
        <w:t xml:space="preserve">вторая команда обнулит старшие разряды регистра EAX, то есть после выполнения второй</w:t>
      </w:r>
      <w:r>
        <w:t xml:space="preserve"> </w:t>
      </w:r>
      <w:r>
        <w:t xml:space="preserve">команды в регистре EAX будет число 1.А первая команда оставит в старших разрядах регистра</w:t>
      </w:r>
      <w:r>
        <w:t xml:space="preserve"> </w:t>
      </w:r>
      <w:r>
        <w:t xml:space="preserve">EAX старые данные. И если там были данные, отличные от нуля, то после выполнения первой</w:t>
      </w:r>
      <w:r>
        <w:t xml:space="preserve"> </w:t>
      </w:r>
      <w:r>
        <w:t xml:space="preserve">команды в регистре EAX будет какое-то число, но не 1. А вот в регистре AX будет число 1.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• 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</w:t>
      </w:r>
      <w:r>
        <w:t xml:space="preserve"> </w:t>
      </w:r>
      <w:r>
        <w:t xml:space="preserve">ленты);</w:t>
      </w:r>
      <w:r>
        <w:t xml:space="preserve"> </w:t>
      </w:r>
      <w:r>
        <w:t xml:space="preserve">• устройства ввода-вывода, которые обеспечивают взаимодействие ЦП с внешней</w:t>
      </w:r>
      <w:r>
        <w:t xml:space="preserve"> </w:t>
      </w:r>
      <w:r>
        <w:t xml:space="preserve">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</w:t>
      </w:r>
      <w:r>
        <w:t xml:space="preserve"> </w:t>
      </w:r>
      <w:r>
        <w:t xml:space="preserve">Набор машинных команд определяется устройством конкретного процессора. Коды команд представляют собой многоразрядные двоичные комбинации из 0 и 1. В коде машинной</w:t>
      </w:r>
      <w:r>
        <w:t xml:space="preserve"> </w:t>
      </w:r>
      <w:r>
        <w:t xml:space="preserve">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</w:t>
      </w:r>
      <w:r>
        <w:t xml:space="preserve"> </w:t>
      </w:r>
      <w:r>
        <w:t xml:space="preserve">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</w:t>
      </w:r>
      <w:r>
        <w:t xml:space="preserve"> </w:t>
      </w:r>
      <w:r>
        <w:t xml:space="preserve">самом общем виде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  <w:r>
        <w:t xml:space="preserve"> </w:t>
      </w:r>
      <w:r>
        <w:t xml:space="preserve">Данный алгоритм позволяет выполнить хранящуюся в ОЗУ программу. Кроме того, в</w:t>
      </w:r>
      <w:r>
        <w:t xml:space="preserve"> </w:t>
      </w:r>
      <w:r>
        <w:t xml:space="preserve">зависимости от команды при её выполнении могут проходить не все этапы.</w:t>
      </w:r>
      <w:r>
        <w:t xml:space="preserve"> </w:t>
      </w:r>
      <w:r>
        <w:t xml:space="preserve">Более подробно введение о теоретических основах архитектуры ЭВМ см. в [9; 11].</w:t>
      </w:r>
    </w:p>
    <w:bookmarkEnd w:id="21"/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созданном каталоге для работы с программами на языке ассемблера NASM cоздаю текстовый файл с именем hello.asm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50915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/home/ruzalgayazov/work/Image/lab4/lab4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Открываю этот файл с помощью любого текстового редактора gedit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418092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/home/ruzalgayazov/work/Image/lab4/lab4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Ввожу текст из файла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720048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/home/ruzalgayazov/work/Image/lab4/Aspose.Words.83bdf413-0605-4393-bbdc-b75202ed30ff.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 nasm -f elf hello.asm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672370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/home/ruzalgayazov/work/Image/lab4/Aspose.Words.83bdf413-0605-4393-bbdc-b75202ed30ff.0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Выполним следующую команду: nasm -o obj.o -f elf -g -l list.lst hello.asm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1782700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/home/ruzalgayazov/work/Image/lab4/Aspose.Words.83bdf413-0605-4393-bbdc-b75202ed30ff.0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Чтобы получить исполняемую программу, объектный файл необходимо передать на обработку компоновщику: ld -m elf_i386 hello.o -o hello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365831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/home/ruzalgayazov/work/Image/lab4/Aspose.Words.83bdf413-0605-4393-bbdc-b75202ed30ff.0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 Выполним следующую команду: ld -m elf_i386 obj.o -o main. Исполняемый файл получит имя main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84535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/home/ruzalgayazov/work/Image/lab4/Aspose.Words.83bdf413-0605-4393-bbdc-b75202ed30ff.0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Запустим на выполнение созданный исполняемый файл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296148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/home/ruzalgayazov/work/Image/lab4/Aspose.Words.83bdf413-0605-4393-bbdc-b75202ed30ff.0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bookmarkEnd w:id="47"/>
    <w:bookmarkStart w:id="66" w:name="задания-для-самостоятельной-работы"/>
    <w:p>
      <w:pPr>
        <w:pStyle w:val="Heading1"/>
      </w:pPr>
      <w:r>
        <w:t xml:space="preserve">Задания для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создаю копию файла hello.asm с именем lab4.asm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267114"/>
            <wp:effectExtent b="0" l="0" r="0" t="0"/>
            <wp:docPr descr="Рис.9" title="" id="49" name="Picture"/>
            <a:graphic>
              <a:graphicData uri="http://schemas.openxmlformats.org/drawingml/2006/picture">
                <pic:pic>
                  <pic:nvPicPr>
                    <pic:cNvPr descr="/home/ruzalgayazov/work/Image/lab4/Aspose.Words.83bdf413-0605-4393-bbdc-b75202ed30ff.0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С помощью gedit вношу изменения в текст программы в файле lab4.asm так, чтобы вместо Hello world! на экран выводилась строка с млей фамилией и именем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313569"/>
            <wp:effectExtent b="0" l="0" r="0" t="0"/>
            <wp:docPr descr="Рис.10" title="" id="52" name="Picture"/>
            <a:graphic>
              <a:graphicData uri="http://schemas.openxmlformats.org/drawingml/2006/picture">
                <pic:pic>
                  <pic:nvPicPr>
                    <pic:cNvPr descr="/home/ruzalgayazov/work/Image/lab4/Aspose.Words.83bdf413-0605-4393-bbdc-b75202ed30ff.0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Трансляция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1980133"/>
            <wp:effectExtent b="0" l="0" r="0" t="0"/>
            <wp:docPr descr="Рис.11" title="" id="55" name="Picture"/>
            <a:graphic>
              <a:graphicData uri="http://schemas.openxmlformats.org/drawingml/2006/picture">
                <pic:pic>
                  <pic:nvPicPr>
                    <pic:cNvPr descr="/home/ruzalgayazov/work/Image/lab4/Aspose.Words.83bdf413-0605-4393-bbdc-b75202ed30ff.0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pStyle w:val="BodyText"/>
      </w:pPr>
      <w:r>
        <w:t xml:space="preserve">Компоновка объектного файла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319376"/>
            <wp:effectExtent b="0" l="0" r="0" t="0"/>
            <wp:docPr descr="Рис.12" title="" id="58" name="Picture"/>
            <a:graphic>
              <a:graphicData uri="http://schemas.openxmlformats.org/drawingml/2006/picture">
                <pic:pic>
                  <pic:nvPicPr>
                    <pic:cNvPr descr="/home/ruzalgayazov/work/Image/lab4/Aspose.Words.83bdf413-0605-4393-bbdc-b75202ed30ff.0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Запуск кода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272921"/>
            <wp:effectExtent b="0" l="0" r="0" t="0"/>
            <wp:docPr descr="Рис.13" title="" id="61" name="Picture"/>
            <a:graphic>
              <a:graphicData uri="http://schemas.openxmlformats.org/drawingml/2006/picture">
                <pic:pic>
                  <pic:nvPicPr>
                    <pic:cNvPr descr="/home/ruzalgayazov/work/Image/lab4/Aspose.Words.83bdf413-0605-4393-bbdc-b75202ed30ff.0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pStyle w:val="BodyText"/>
      </w:pPr>
      <w:r>
        <w:t xml:space="preserve">Отправляю все на сервер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284535"/>
            <wp:effectExtent b="0" l="0" r="0" t="0"/>
            <wp:docPr descr="Рис.14" title="" id="64" name="Picture"/>
            <a:graphic>
              <a:graphicData uri="http://schemas.openxmlformats.org/drawingml/2006/picture">
                <pic:pic>
                  <pic:nvPicPr>
                    <pic:cNvPr descr="/home/ruzalgayazov/work/Image/lab4/Aspose.Words.83bdf413-0605-4393-bbdc-b75202ed30ff.0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bookmarkEnd w:id="66"/>
    <w:bookmarkStart w:id="6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процедуры компиляции и сборки программ, написанных на ассемблере NASM.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1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1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1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1"/>
        </w:numPr>
        <w:pStyle w:val="Compact"/>
      </w:pPr>
      <w:r>
        <w:t xml:space="preserve">— 1120 с. — (Классика Computer Science).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Демидович. Н. М.</dc:creator>
  <dc:language>ru-RU</dc:language>
  <cp:keywords/>
  <dcterms:created xsi:type="dcterms:W3CDTF">2024-10-26T18:49:20Z</dcterms:created>
  <dcterms:modified xsi:type="dcterms:W3CDTF">2024-10-26T18:49:20Z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26 октября 2024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institute">
    <vt:lpwstr/>
  </property>
  <property fmtid="{D5CDD505-2E9C-101B-9397-08002B2CF9AE}" pid="16" name="linestretch">
    <vt:lpwstr>1.5</vt:lpwstr>
  </property>
  <property fmtid="{D5CDD505-2E9C-101B-9397-08002B2CF9AE}" pid="17" name="listingTitle">
    <vt:lpwstr>Листинг</vt:lpwstr>
  </property>
  <property fmtid="{D5CDD505-2E9C-101B-9397-08002B2CF9AE}" pid="18" name="lof">
    <vt:lpwstr>True</vt:lpwstr>
  </property>
  <property fmtid="{D5CDD505-2E9C-101B-9397-08002B2CF9AE}" pid="19" name="lofTitle">
    <vt:lpwstr>Список иллюстраций</vt:lpwstr>
  </property>
  <property fmtid="{D5CDD505-2E9C-101B-9397-08002B2CF9AE}" pid="20" name="lolTitle">
    <vt:lpwstr>Листинги</vt:lpwstr>
  </property>
  <property fmtid="{D5CDD505-2E9C-101B-9397-08002B2CF9AE}" pid="21" name="lot">
    <vt:lpwstr>True</vt:lpwstr>
  </property>
  <property fmtid="{D5CDD505-2E9C-101B-9397-08002B2CF9AE}" pid="22" name="lotTitle">
    <vt:lpwstr>Список таблиц</vt:lpwstr>
  </property>
  <property fmtid="{D5CDD505-2E9C-101B-9397-08002B2CF9AE}" pid="23" name="mainfont">
    <vt:lpwstr>IBM Plex Serif</vt:lpwstr>
  </property>
  <property fmtid="{D5CDD505-2E9C-101B-9397-08002B2CF9AE}" pid="24" name="mainfontoptions">
    <vt:lpwstr>Ligatures=Common,Ligatures=TeX,Scale=0.94</vt:lpwstr>
  </property>
  <property fmtid="{D5CDD505-2E9C-101B-9397-08002B2CF9AE}" pid="25" name="mathfont">
    <vt:lpwstr>STIX Two Math</vt:lpwstr>
  </property>
  <property fmtid="{D5CDD505-2E9C-101B-9397-08002B2CF9AE}" pid="26" name="mathfontoptions">
    <vt:lpwstr/>
  </property>
  <property fmtid="{D5CDD505-2E9C-101B-9397-08002B2CF9AE}" pid="27" name="monofont">
    <vt:lpwstr>IBM Plex Mono</vt:lpwstr>
  </property>
  <property fmtid="{D5CDD505-2E9C-101B-9397-08002B2CF9AE}" pid="28" name="monofontoptions">
    <vt:lpwstr>Scale=MatchLowercase,Scale=0.94,FakeStretch=0.9</vt:lpwstr>
  </property>
  <property fmtid="{D5CDD505-2E9C-101B-9397-08002B2CF9AE}" pid="29" name="papersize">
    <vt:lpwstr>a4</vt:lpwstr>
  </property>
  <property fmtid="{D5CDD505-2E9C-101B-9397-08002B2CF9AE}" pid="30" name="polyglossia-lang">
    <vt:lpwstr/>
  </property>
  <property fmtid="{D5CDD505-2E9C-101B-9397-08002B2CF9AE}" pid="31" name="polyglossia-otherlangs">
    <vt:lpwstr/>
  </property>
  <property fmtid="{D5CDD505-2E9C-101B-9397-08002B2CF9AE}" pid="32" name="romanfont">
    <vt:lpwstr>IBM Plex Serif</vt:lpwstr>
  </property>
  <property fmtid="{D5CDD505-2E9C-101B-9397-08002B2CF9AE}" pid="33" name="romanfontoptions">
    <vt:lpwstr>Ligatures=Common,Ligatures=TeX,Scale=0.94</vt:lpwstr>
  </property>
  <property fmtid="{D5CDD505-2E9C-101B-9397-08002B2CF9AE}" pid="34" name="sansfont">
    <vt:lpwstr>IBM Plex Sans</vt:lpwstr>
  </property>
  <property fmtid="{D5CDD505-2E9C-101B-9397-08002B2CF9AE}" pid="35" name="sansfontoptions">
    <vt:lpwstr>Ligatures=Common,Ligatures=TeX,Scale=MatchLowercase,Scale=0.94</vt:lpwstr>
  </property>
  <property fmtid="{D5CDD505-2E9C-101B-9397-08002B2CF9AE}" pid="36" name="subtitle">
    <vt:lpwstr>Простейший вариант</vt:lpwstr>
  </property>
  <property fmtid="{D5CDD505-2E9C-101B-9397-08002B2CF9AE}" pid="37" name="tableTitle">
    <vt:lpwstr>Таблица</vt:lpwstr>
  </property>
  <property fmtid="{D5CDD505-2E9C-101B-9397-08002B2CF9AE}" pid="38" name="toc">
    <vt:lpwstr>True</vt:lpwstr>
  </property>
  <property fmtid="{D5CDD505-2E9C-101B-9397-08002B2CF9AE}" pid="39" name="toc-depth">
    <vt:lpwstr>2</vt:lpwstr>
  </property>
  <property fmtid="{D5CDD505-2E9C-101B-9397-08002B2CF9AE}" pid="40" name="toc-title">
    <vt:lpwstr>Содержание</vt:lpwstr>
  </property>
</Properties>
</file>