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1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lab9-1.asm (рис. -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779052"/>
            <wp:effectExtent b="0" l="0" r="0" t="0"/>
            <wp:docPr descr="Создание файлa" title="" id="23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40_y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файлa</w:t>
      </w:r>
    </w:p>
    <w:p>
      <w:pPr>
        <w:pStyle w:val="BodyText"/>
      </w:pPr>
      <w:r>
        <w:t xml:space="preserve">Копирую в файл код из листинга, компилирую и запускаю его (рис. -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437730"/>
            <wp:effectExtent b="0" l="0" r="0" t="0"/>
            <wp:docPr descr="Запуск программы" title="" id="26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42_y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текст программы, добавив в нее подпрограмму (рис. -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421558"/>
            <wp:effectExtent b="0" l="0" r="0" t="0"/>
            <wp:docPr descr="Изменение программы" title="" id="29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43_y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В созданный файл копирую программу второго листинга, транслирую с созданием файла листинга и отладки, компоную и запускаю в отладчике. Запустил программу командой run (рис. -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2071034"/>
            <wp:effectExtent b="0" l="0" r="0" t="0"/>
            <wp:docPr descr="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44_y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Для более подробного анализа программы добавляю брейкпоинт на метку _start и снова запускаю отладку (рис. -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790819"/>
            <wp:effectExtent b="0" l="0" r="0" t="0"/>
            <wp:docPr descr="Запуск отладичка" title="" id="35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45_y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отладичка</w:t>
      </w:r>
    </w:p>
    <w:p>
      <w:pPr>
        <w:pStyle w:val="BodyText"/>
      </w:pPr>
      <w:r>
        <w:t xml:space="preserve">Далее смотрю дисассимилированный код программы, перевожу на команд с синтаксисом Intel (рис. -</w:t>
      </w:r>
      <w:r>
        <w:t xml:space="preserve">@fig:006</w:t>
      </w:r>
      <w:r>
        <w:t xml:space="preserve">).</w:t>
      </w:r>
      <w:r>
        <w:t xml:space="preserve"> </w:t>
      </w:r>
      <w:r>
        <w:t xml:space="preserve"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p>
      <w:pPr>
        <w:pStyle w:val="CaptionedFigure"/>
      </w:pPr>
      <w:r>
        <w:drawing>
          <wp:inline>
            <wp:extent cx="3733800" cy="3733799"/>
            <wp:effectExtent b="0" l="0" r="0" t="0"/>
            <wp:docPr descr="Дисассимилирование программы" title="" id="38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46_x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Дисассимилирование программы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-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2032888"/>
            <wp:effectExtent b="0" l="0" r="0" t="0"/>
            <wp:docPr descr="Режим псевдографики" title="" id="41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47_y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p>
      <w:pPr>
        <w:pStyle w:val="BodyText"/>
      </w:pPr>
      <w:r>
        <w:t xml:space="preserve">Проверяю в режиме псевдографики, что брейкпоинт сохранился (рис. -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777207"/>
            <wp:effectExtent b="0" l="0" r="0" t="0"/>
            <wp:docPr descr="Список брейкпоинтов" title="" id="44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49_x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брейкпоинтов</w:t>
      </w:r>
    </w:p>
    <w:p>
      <w:pPr>
        <w:pStyle w:val="BodyText"/>
      </w:pPr>
      <w:r>
        <w:t xml:space="preserve">Устаналиваю еще одну точку останова по адресу инструкции (рис. -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1657776"/>
            <wp:effectExtent b="0" l="0" r="0" t="0"/>
            <wp:docPr descr="Добавление точки останова" title="" id="47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50_x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точки останова</w:t>
      </w:r>
    </w:p>
    <w:p>
      <w:pPr>
        <w:pStyle w:val="BodyText"/>
      </w:pPr>
      <w:r>
        <w:t xml:space="preserve">Просматриваю содержимое регистров командой info registers (рис. -</w:t>
      </w:r>
      <w:r>
        <w:t xml:space="preserve">@fig:010</w:t>
      </w:r>
      <w:r>
        <w:t xml:space="preserve">).</w:t>
      </w:r>
    </w:p>
    <w:p>
      <w:pPr>
        <w:pStyle w:val="CaptionedFigure"/>
      </w:pPr>
      <w:r>
        <w:drawing>
          <wp:inline>
            <wp:extent cx="3733800" cy="2735771"/>
            <wp:effectExtent b="0" l="0" r="0" t="0"/>
            <wp:docPr descr="Просмотр содержимого регистров" title="" id="50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51_y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регистров</w:t>
      </w:r>
    </w:p>
    <w:p>
      <w:pPr>
        <w:pStyle w:val="BodyText"/>
      </w:pPr>
      <w:r>
        <w:t xml:space="preserve">Смотрю содержимое переменных по имени и по адресу (рис. -</w:t>
      </w:r>
      <w:r>
        <w:t xml:space="preserve">@fig:011</w:t>
      </w:r>
      <w:r>
        <w:t xml:space="preserve">).</w:t>
      </w:r>
    </w:p>
    <w:p>
      <w:pPr>
        <w:pStyle w:val="CaptionedFigure"/>
      </w:pPr>
      <w:r>
        <w:drawing>
          <wp:inline>
            <wp:extent cx="3733800" cy="3233819"/>
            <wp:effectExtent b="0" l="0" r="0" t="0"/>
            <wp:docPr descr="Просмотр содержимого" title="" id="53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52_y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</w:t>
      </w:r>
    </w:p>
    <w:p>
      <w:pPr>
        <w:pStyle w:val="BodyText"/>
      </w:pPr>
      <w:r>
        <w:t xml:space="preserve">Меняю содержимое переменных по имени и по адресу (рис. -</w:t>
      </w:r>
      <w:r>
        <w:t xml:space="preserve">@fig:012</w:t>
      </w:r>
      <w:r>
        <w:t xml:space="preserve">).</w:t>
      </w:r>
    </w:p>
    <w:p>
      <w:pPr>
        <w:pStyle w:val="CaptionedFigure"/>
      </w:pPr>
      <w:r>
        <w:drawing>
          <wp:inline>
            <wp:extent cx="3733800" cy="2769598"/>
            <wp:effectExtent b="0" l="0" r="0" t="0"/>
            <wp:docPr descr="Изменение содержимого" title="" id="56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53_y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содержимого</w:t>
      </w:r>
    </w:p>
    <w:p>
      <w:pPr>
        <w:pStyle w:val="BodyText"/>
      </w:pPr>
      <w:r>
        <w:t xml:space="preserve">Вывожу в различных форматах значение регистра edx (рис. -</w:t>
      </w:r>
      <w:r>
        <w:t xml:space="preserve">@fig:013</w:t>
      </w:r>
      <w:r>
        <w:t xml:space="preserve">).</w:t>
      </w:r>
    </w:p>
    <w:p>
      <w:pPr>
        <w:pStyle w:val="CaptionedFigure"/>
      </w:pPr>
      <w:r>
        <w:drawing>
          <wp:inline>
            <wp:extent cx="3733800" cy="2869923"/>
            <wp:effectExtent b="0" l="0" r="0" t="0"/>
            <wp:docPr descr="Просмотр значения регистра разными представлениями" title="" id="59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60_x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значения регистра разными представлениями</w:t>
      </w:r>
    </w:p>
    <w:p>
      <w:pPr>
        <w:pStyle w:val="BodyText"/>
      </w:pPr>
      <w:r>
        <w:t xml:space="preserve">С помощью команды set меняю содержимое регистра ebx (рис. -</w:t>
      </w:r>
      <w:r>
        <w:t xml:space="preserve">@fig:014</w:t>
      </w:r>
      <w:r>
        <w:t xml:space="preserve">).</w:t>
      </w:r>
    </w:p>
    <w:p>
      <w:pPr>
        <w:pStyle w:val="CaptionedFigure"/>
      </w:pPr>
      <w:r>
        <w:drawing>
          <wp:inline>
            <wp:extent cx="3733800" cy="2857970"/>
            <wp:effectExtent b="0" l="0" r="0" t="0"/>
            <wp:docPr descr="Примеры использования set" title="" id="62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61_x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использования set</w:t>
      </w:r>
    </w:p>
    <w:p>
      <w:pPr>
        <w:pStyle w:val="BodyText"/>
      </w:pPr>
      <w:r>
        <w:t xml:space="preserve">Копирую программу из предыдущей лабораторной работы в текущий каталог. Запускаю программу с режиме отладки с указанием аргументов, указываю брейкпопнт и запускаю отладку. Проверяю работу стека, изменяя аргумент команды просмотра регистра esp на +4, число обусловлено разрядностью системы, а указатель void занимает как раз 4 байта, ошибка при аргументе +24 означает, что аргументы на вход программы закончились. (рис. -</w:t>
      </w:r>
      <w:r>
        <w:t xml:space="preserve">@fig:015</w:t>
      </w:r>
      <w:r>
        <w:t xml:space="preserve">).</w:t>
      </w:r>
    </w:p>
    <w:p>
      <w:pPr>
        <w:pStyle w:val="CaptionedFigure"/>
      </w:pPr>
      <w:r>
        <w:drawing>
          <wp:inline>
            <wp:extent cx="3733800" cy="1104125"/>
            <wp:effectExtent b="0" l="0" r="0" t="0"/>
            <wp:docPr descr="Проверка работы стека" title="" id="65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63_y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стека</w:t>
      </w:r>
    </w:p>
    <w:bookmarkStart w:id="76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Меняю программу самостоятельной части с использованием подпрограммы (рис. -</w:t>
      </w:r>
      <w:r>
        <w:t xml:space="preserve">@fig:016</w:t>
      </w:r>
      <w:r>
        <w:t xml:space="preserve">).</w:t>
      </w:r>
    </w:p>
    <w:p>
      <w:pPr>
        <w:pStyle w:val="CaptionedFigure"/>
      </w:pPr>
      <w:r>
        <w:drawing>
          <wp:inline>
            <wp:extent cx="3733800" cy="3439137"/>
            <wp:effectExtent b="0" l="0" r="0" t="0"/>
            <wp:docPr descr="Измененная программа" title="" id="68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65_y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программа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f(x)=4x+3"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calculate_function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calculate_function: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Запускаю программу в режике отладичка и пошагово через si просматриваю изменение значений регистров через i r.</w:t>
      </w:r>
      <w:r>
        <w:t xml:space="preserve"> </w:t>
      </w:r>
      <w:r>
        <w:t xml:space="preserve">При выполнении инструкции mul ecx можно заметить, что результат умножения записывается в регистр eax, но также меняет и edx. Значение регистра ebx не обновляется напрямую, поэтому результат программа неверно подсчитывает функцию (рис. -</w:t>
      </w:r>
      <w:r>
        <w:t xml:space="preserve">@fig:017</w:t>
      </w:r>
      <w:r>
        <w:t xml:space="preserve">).</w:t>
      </w:r>
    </w:p>
    <w:p>
      <w:pPr>
        <w:pStyle w:val="CaptionedFigure"/>
      </w:pPr>
      <w:r>
        <w:drawing>
          <wp:inline>
            <wp:extent cx="3733800" cy="3322415"/>
            <wp:effectExtent b="0" l="0" r="0" t="0"/>
            <wp:docPr descr="Поиск ошибки" title="" id="71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69_y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ошибки</w:t>
      </w:r>
    </w:p>
    <w:p>
      <w:pPr>
        <w:pStyle w:val="BodyText"/>
      </w:pPr>
      <w:r>
        <w:t xml:space="preserve">Исправляю найденную ошибку, теперь программа верно считает значение функции (рис. -</w:t>
      </w:r>
      <w:r>
        <w:t xml:space="preserve">@fig:018</w:t>
      </w:r>
      <w:r>
        <w:t xml:space="preserve">).</w:t>
      </w:r>
    </w:p>
    <w:p>
      <w:pPr>
        <w:pStyle w:val="CaptionedFigure"/>
      </w:pPr>
      <w:r>
        <w:drawing>
          <wp:inline>
            <wp:extent cx="3733800" cy="1695751"/>
            <wp:effectExtent b="0" l="0" r="0" t="0"/>
            <wp:docPr descr="Проверка корректировок в программме" title="" id="74" name="Picture"/>
            <a:graphic>
              <a:graphicData uri="http://schemas.openxmlformats.org/drawingml/2006/picture">
                <pic:pic>
                  <pic:nvPicPr>
                    <pic:cNvPr descr="/home/ruzalgayazov/laba9/photo_5377617067311753772_y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корректировок в программме</w:t>
      </w:r>
    </w:p>
    <w:p>
      <w:pPr>
        <w:pStyle w:val="BodyText"/>
      </w:pPr>
      <w:r>
        <w:t xml:space="preserve">Код измененной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6"/>
    <w:bookmarkEnd w:id="77"/>
    <w:bookmarkStart w:id="7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подпрограмм, а так же познакомился с методами отладки при поомщи GDB и его основными возможностями.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Гаязов Рузаль Ильшатович</dc:creator>
  <dc:language>ru-RU</dc:language>
  <cp:keywords/>
  <dcterms:created xsi:type="dcterms:W3CDTF">2024-12-07T13:16:04Z</dcterms:created>
  <dcterms:modified xsi:type="dcterms:W3CDTF">2024-12-07T13:16:04Z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