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лабораторная работа №2</w:t>
      </w:r>
    </w:p>
    <w:p>
      <w:pPr>
        <w:pStyle w:val="Subtitle"/>
      </w:pPr>
      <w:r>
        <w:t xml:space="preserve">Простейший вариант</w:t>
      </w:r>
    </w:p>
    <w:p>
      <w:pPr>
        <w:pStyle w:val="Author"/>
      </w:pPr>
      <w:r>
        <w:t xml:space="preserve">Гаязов Рузаль Ильшатович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Получение практических навыков работы в консоли с расширенными атрибутами файлов.</w:t>
      </w:r>
    </w:p>
    <w:bookmarkEnd w:id="20"/>
    <w:bookmarkStart w:id="30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p>
      <w:pPr>
        <w:pStyle w:val="Compact"/>
        <w:numPr>
          <w:ilvl w:val="0"/>
          <w:numId w:val="1001"/>
        </w:numPr>
      </w:pPr>
      <w:r>
        <w:t xml:space="preserve">От имени пользователя guest определил расширенные атрибуты файла.</w:t>
      </w:r>
    </w:p>
    <w:p>
      <w:pPr>
        <w:pStyle w:val="CaptionedFigure"/>
      </w:pPr>
      <w:r>
        <w:drawing>
          <wp:inline>
            <wp:extent cx="5334000" cy="1145241"/>
            <wp:effectExtent b="0" l="0" r="0" t="0"/>
            <wp:docPr descr="От имени пользователя guest определил расширенные атрибуты файла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5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 имени пользователя guest определил расширенные атрибуты файла</w:t>
      </w:r>
    </w:p>
    <w:p>
      <w:pPr>
        <w:pStyle w:val="Compact"/>
        <w:numPr>
          <w:ilvl w:val="0"/>
          <w:numId w:val="1002"/>
        </w:numPr>
      </w:pPr>
      <w:r>
        <w:t xml:space="preserve">Вводим команды из лабораторной работы</w:t>
      </w:r>
    </w:p>
    <w:p>
      <w:pPr>
        <w:pStyle w:val="CaptionedFigure"/>
      </w:pPr>
      <w:r>
        <w:drawing>
          <wp:inline>
            <wp:extent cx="5334000" cy="1823691"/>
            <wp:effectExtent b="0" l="0" r="0" t="0"/>
            <wp:docPr descr="Проверка команд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3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команд</w:t>
      </w:r>
    </w:p>
    <w:p>
      <w:pPr>
        <w:pStyle w:val="Compact"/>
        <w:numPr>
          <w:ilvl w:val="0"/>
          <w:numId w:val="1003"/>
        </w:numPr>
      </w:pPr>
      <w:r>
        <w:t xml:space="preserve">Вводим команды из лабораторной работы</w:t>
      </w:r>
    </w:p>
    <w:p>
      <w:pPr>
        <w:pStyle w:val="CaptionedFigure"/>
      </w:pPr>
      <w:r>
        <w:drawing>
          <wp:inline>
            <wp:extent cx="5334000" cy="2660695"/>
            <wp:effectExtent b="0" l="0" r="0" t="0"/>
            <wp:docPr descr="Проверка учетной записи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0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учетной записи</w:t>
      </w:r>
    </w:p>
    <w:bookmarkEnd w:id="30"/>
    <w:bookmarkStart w:id="31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В результате выполнения работы я повысил свои навыки использования интерфейса командой строки (CLI), познакомился на примерах с тем, как используются основные и расширенные атрибуты при разграничении доступа. Имел возможность связать теорию дискреционного разделения доступа (дискреционная политика безопасности) с её реализацией на практике в ОС Linux. Опробовал действие на практике расширенных атрибутов «а» и «i».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лабораторная работа №2</dc:title>
  <dc:creator>Гаязов Рузаль Ильшатович</dc:creator>
  <dc:language>ru-RU</dc:language>
  <cp:keywords/>
  <dcterms:created xsi:type="dcterms:W3CDTF">2026-04-03T21:53:53Z</dcterms:created>
  <dcterms:modified xsi:type="dcterms:W3CDTF">2026-04-03T21:53:53Z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Простейший вариант</vt:lpwstr>
  </property>
  <property fmtid="{D5CDD505-2E9C-101B-9397-08002B2CF9AE}" pid="16" name="toc-title">
    <vt:lpwstr>Содержание</vt:lpwstr>
  </property>
</Properties>
</file>