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b w:val="1"/>
          <w:color w:val="ff0000"/>
        </w:rPr>
      </w:pPr>
      <w:r w:rsidDel="00000000" w:rsidR="00000000" w:rsidRPr="00000000">
        <w:rPr>
          <w:b w:val="1"/>
          <w:color w:val="ff0000"/>
          <w:rtl w:val="0"/>
        </w:rPr>
        <w:t xml:space="preserve">CTF Topic: Zone Transfer (Hacker Target)</w:t>
      </w:r>
    </w:p>
    <w:p w:rsidR="00000000" w:rsidDel="00000000" w:rsidP="00000000" w:rsidRDefault="00000000" w:rsidRPr="00000000" w14:paraId="00000002">
      <w:pPr>
        <w:rPr/>
      </w:pPr>
      <w:r w:rsidDel="00000000" w:rsidR="00000000" w:rsidRPr="00000000">
        <w:rPr/>
        <w:drawing>
          <wp:inline distB="114300" distT="114300" distL="114300" distR="114300">
            <wp:extent cx="5943600" cy="5943600"/>
            <wp:effectExtent b="0" l="0" r="0" t="0"/>
            <wp:docPr id="213979183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ind w:left="0" w:firstLine="0"/>
        <w:jc w:val="both"/>
        <w:rPr>
          <w:b w:val="1"/>
          <w:color w:val="7030a0"/>
        </w:rPr>
      </w:pPr>
      <w:r w:rsidDel="00000000" w:rsidR="00000000" w:rsidRPr="00000000">
        <w:rPr>
          <w:rtl w:val="0"/>
        </w:rPr>
      </w:r>
    </w:p>
    <w:p w:rsidR="00000000" w:rsidDel="00000000" w:rsidP="00000000" w:rsidRDefault="00000000" w:rsidRPr="00000000" w14:paraId="00000005">
      <w:pPr>
        <w:pStyle w:val="Heading1"/>
        <w:ind w:left="0" w:firstLine="0"/>
        <w:jc w:val="both"/>
        <w:rPr>
          <w:b w:val="1"/>
          <w:color w:val="7030a0"/>
        </w:rPr>
      </w:pPr>
      <w:r w:rsidDel="00000000" w:rsidR="00000000" w:rsidRPr="00000000">
        <w:rPr>
          <w:b w:val="1"/>
          <w:color w:val="7030a0"/>
          <w:rtl w:val="0"/>
        </w:rPr>
        <w:t xml:space="preserve">Introduction</w:t>
      </w:r>
    </w:p>
    <w:p w:rsidR="00000000" w:rsidDel="00000000" w:rsidP="00000000" w:rsidRDefault="00000000" w:rsidRPr="00000000" w14:paraId="00000006">
      <w:pPr>
        <w:ind w:left="0" w:firstLine="0"/>
        <w:jc w:val="both"/>
        <w:rPr/>
      </w:pPr>
      <w:r w:rsidDel="00000000" w:rsidR="00000000" w:rsidRPr="00000000">
        <w:rPr>
          <w:rtl w:val="0"/>
        </w:rPr>
        <w:t xml:space="preserve">A zone transfer is a mechanism in the Domain Name System (DNS) that allows a secondary DNS server to replicate DNS data (zone file) from a primary DNS server. It helps in maintaining consistent and up-to-date DNS records across multiple servers within a domain.</w:t>
      </w:r>
    </w:p>
    <w:p w:rsidR="00000000" w:rsidDel="00000000" w:rsidP="00000000" w:rsidRDefault="00000000" w:rsidRPr="00000000" w14:paraId="00000007">
      <w:pPr>
        <w:pStyle w:val="Heading1"/>
        <w:spacing w:before="0" w:lineRule="auto"/>
        <w:ind w:left="0" w:firstLine="0"/>
        <w:jc w:val="both"/>
        <w:rPr>
          <w:b w:val="1"/>
          <w:color w:val="7030a0"/>
        </w:rPr>
      </w:pPr>
      <w:r w:rsidDel="00000000" w:rsidR="00000000" w:rsidRPr="00000000">
        <w:rPr>
          <w:b w:val="1"/>
          <w:color w:val="7030a0"/>
        </w:rPr>
        <w:drawing>
          <wp:inline distB="114300" distT="114300" distL="114300" distR="114300">
            <wp:extent cx="5043488" cy="5043488"/>
            <wp:effectExtent b="0" l="0" r="0" t="0"/>
            <wp:docPr id="213979183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43488" cy="50434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Rule="auto"/>
        <w:ind w:left="0" w:firstLine="0"/>
        <w:jc w:val="both"/>
        <w:rPr/>
      </w:pPr>
      <w:r w:rsidDel="00000000" w:rsidR="00000000" w:rsidRPr="00000000">
        <w:rPr>
          <w:rtl w:val="0"/>
        </w:rPr>
      </w:r>
    </w:p>
    <w:p w:rsidR="00000000" w:rsidDel="00000000" w:rsidP="00000000" w:rsidRDefault="00000000" w:rsidRPr="00000000" w14:paraId="00000009">
      <w:pPr>
        <w:spacing w:after="0" w:lineRule="auto"/>
        <w:ind w:left="720" w:firstLine="0"/>
        <w:jc w:val="both"/>
        <w:rPr/>
      </w:pPr>
      <w:r w:rsidDel="00000000" w:rsidR="00000000" w:rsidRPr="00000000">
        <w:rPr>
          <w:rtl w:val="0"/>
        </w:rPr>
      </w:r>
    </w:p>
    <w:p w:rsidR="00000000" w:rsidDel="00000000" w:rsidP="00000000" w:rsidRDefault="00000000" w:rsidRPr="00000000" w14:paraId="0000000A">
      <w:pPr>
        <w:pStyle w:val="Heading1"/>
        <w:spacing w:before="0" w:lineRule="auto"/>
        <w:ind w:left="0" w:firstLine="0"/>
        <w:jc w:val="both"/>
        <w:rPr>
          <w:b w:val="1"/>
          <w:color w:val="7030a0"/>
        </w:rPr>
      </w:pPr>
      <w:r w:rsidDel="00000000" w:rsidR="00000000" w:rsidRPr="00000000">
        <w:rPr>
          <w:b w:val="1"/>
          <w:color w:val="7030a0"/>
          <w:rtl w:val="0"/>
        </w:rPr>
        <w:t xml:space="preserve">Scenario</w:t>
      </w:r>
    </w:p>
    <w:p w:rsidR="00000000" w:rsidDel="00000000" w:rsidP="00000000" w:rsidRDefault="00000000" w:rsidRPr="00000000" w14:paraId="0000000B">
      <w:pPr>
        <w:jc w:val="both"/>
        <w:rPr/>
      </w:pPr>
      <w:r w:rsidDel="00000000" w:rsidR="00000000" w:rsidRPr="00000000">
        <w:rPr>
          <w:rtl w:val="0"/>
        </w:rPr>
        <w:t xml:space="preserve">You are a network security analyst tasked with assessing the security of your company's DNS configuration. Your task is to use the Zone Transfer tool by Hacker Target to see if your DNS servers are vulnerable to unauthorized zone transfers, which could expose sensitive DNS information.</w:t>
      </w:r>
    </w:p>
    <w:p w:rsidR="00000000" w:rsidDel="00000000" w:rsidP="00000000" w:rsidRDefault="00000000" w:rsidRPr="00000000" w14:paraId="0000000C">
      <w:pPr>
        <w:jc w:val="both"/>
        <w:rPr/>
      </w:pPr>
      <w:r w:rsidDel="00000000" w:rsidR="00000000" w:rsidRPr="00000000">
        <w:rPr/>
        <w:drawing>
          <wp:inline distB="114300" distT="114300" distL="114300" distR="114300">
            <wp:extent cx="5943600" cy="5943600"/>
            <wp:effectExtent b="0" l="0" r="0" t="0"/>
            <wp:docPr id="213979183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1"/>
        <w:ind w:left="0" w:firstLine="0"/>
        <w:jc w:val="both"/>
        <w:rPr>
          <w:rFonts w:ascii="Calibri" w:cs="Calibri" w:eastAsia="Calibri" w:hAnsi="Calibri"/>
          <w:b w:val="1"/>
          <w:color w:val="7030a0"/>
        </w:rPr>
      </w:pPr>
      <w:bookmarkStart w:colFirst="0" w:colLast="0" w:name="_heading=h.hocm11wxx0tj" w:id="0"/>
      <w:bookmarkEnd w:id="0"/>
      <w:r w:rsidDel="00000000" w:rsidR="00000000" w:rsidRPr="00000000">
        <w:rPr>
          <w:b w:val="1"/>
          <w:color w:val="7030a0"/>
          <w:rtl w:val="0"/>
        </w:rPr>
        <w:t xml:space="preserve">Process to Follow while Performing CTF </w:t>
      </w: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t xml:space="preserve">Step 1: Open </w:t>
      </w:r>
      <w:hyperlink r:id="rId10">
        <w:r w:rsidDel="00000000" w:rsidR="00000000" w:rsidRPr="00000000">
          <w:rPr>
            <w:b w:val="1"/>
            <w:color w:val="0563c1"/>
            <w:u w:val="single"/>
            <w:rtl w:val="0"/>
          </w:rPr>
          <w:t xml:space="preserve">https://hackertarget.com/zone-transfer/</w:t>
        </w:r>
      </w:hyperlink>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Step 2: Click on tools then on zone transfer</w:t>
      </w:r>
    </w:p>
    <w:p w:rsidR="00000000" w:rsidDel="00000000" w:rsidP="00000000" w:rsidRDefault="00000000" w:rsidRPr="00000000" w14:paraId="00000010">
      <w:pPr>
        <w:ind w:left="0" w:firstLine="0"/>
        <w:jc w:val="both"/>
        <w:rPr/>
      </w:pPr>
      <w:r w:rsidDel="00000000" w:rsidR="00000000" w:rsidRPr="00000000">
        <w:rPr>
          <w:rtl w:val="0"/>
        </w:rPr>
        <w:t xml:space="preserve">Step 3: Enter </w:t>
      </w:r>
      <w:r w:rsidDel="00000000" w:rsidR="00000000" w:rsidRPr="00000000">
        <w:rPr>
          <w:b w:val="1"/>
          <w:rtl w:val="0"/>
        </w:rPr>
        <w:t xml:space="preserve">islingtoncollege.edu.np</w:t>
      </w:r>
      <w:r w:rsidDel="00000000" w:rsidR="00000000" w:rsidRPr="00000000">
        <w:rPr>
          <w:rtl w:val="0"/>
        </w:rPr>
        <w:t xml:space="preserve"> in the text box </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pStyle w:val="Heading1"/>
        <w:jc w:val="both"/>
        <w:rPr/>
      </w:pPr>
      <w:bookmarkStart w:colFirst="0" w:colLast="0" w:name="_heading=h.cn33fp9kgasl" w:id="1"/>
      <w:bookmarkEnd w:id="1"/>
      <w:r w:rsidDel="00000000" w:rsidR="00000000" w:rsidRPr="00000000">
        <w:rPr>
          <w:b w:val="1"/>
          <w:color w:val="ff0000"/>
          <w:rtl w:val="0"/>
        </w:rPr>
        <w:t xml:space="preserve">Let's Begin The Challenge</w:t>
      </w:r>
      <w:r w:rsidDel="00000000" w:rsidR="00000000" w:rsidRPr="00000000">
        <w:rPr>
          <w:b w:val="1"/>
          <w:color w:val="7030a0"/>
          <w:rtl w:val="0"/>
        </w:rPr>
        <w:t xml:space="preserve"> </w:t>
      </w:r>
      <w:r w:rsidDel="00000000" w:rsidR="00000000" w:rsidRPr="00000000">
        <w:rPr>
          <w:rtl w:val="0"/>
        </w:rPr>
      </w:r>
    </w:p>
    <w:p w:rsidR="00000000" w:rsidDel="00000000" w:rsidP="00000000" w:rsidRDefault="00000000" w:rsidRPr="00000000" w14:paraId="00000013">
      <w:pPr>
        <w:pStyle w:val="Heading1"/>
        <w:ind w:left="0" w:firstLine="0"/>
        <w:jc w:val="both"/>
        <w:rPr>
          <w:b w:val="1"/>
          <w:color w:val="7030a0"/>
        </w:rPr>
      </w:pPr>
      <w:r w:rsidDel="00000000" w:rsidR="00000000" w:rsidRPr="00000000">
        <w:rPr>
          <w:b w:val="1"/>
          <w:color w:val="7030a0"/>
          <w:rtl w:val="0"/>
        </w:rPr>
        <w:t xml:space="preserve">Question</w:t>
      </w:r>
    </w:p>
    <w:p w:rsidR="00000000" w:rsidDel="00000000" w:rsidP="00000000" w:rsidRDefault="00000000" w:rsidRPr="00000000" w14:paraId="00000014">
      <w:pPr>
        <w:ind w:left="0" w:firstLine="0"/>
        <w:jc w:val="both"/>
        <w:rPr/>
      </w:pPr>
      <w:r w:rsidDel="00000000" w:rsidR="00000000" w:rsidRPr="00000000">
        <w:rPr>
          <w:b w:val="1"/>
          <w:rtl w:val="0"/>
        </w:rPr>
        <w:t xml:space="preserve">Flag 1 : </w:t>
      </w:r>
      <w:r w:rsidDel="00000000" w:rsidR="00000000" w:rsidRPr="00000000">
        <w:rPr>
          <w:rtl w:val="0"/>
        </w:rPr>
        <w:t xml:space="preserve">What is the version of the dig command being used </w:t>
      </w:r>
    </w:p>
    <w:p w:rsidR="00000000" w:rsidDel="00000000" w:rsidP="00000000" w:rsidRDefault="00000000" w:rsidRPr="00000000" w14:paraId="00000015">
      <w:pPr>
        <w:ind w:left="0" w:firstLine="0"/>
        <w:jc w:val="both"/>
        <w:rPr/>
      </w:pPr>
      <w:r w:rsidDel="00000000" w:rsidR="00000000" w:rsidRPr="00000000">
        <w:rPr>
          <w:b w:val="1"/>
          <w:rtl w:val="0"/>
        </w:rPr>
        <w:t xml:space="preserve">Answer : </w:t>
      </w:r>
      <w:r w:rsidDel="00000000" w:rsidR="00000000" w:rsidRPr="00000000">
        <w:rPr>
          <w:rtl w:val="0"/>
        </w:rPr>
        <w:t xml:space="preserve">9.10.3-P4-Debian</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b w:val="1"/>
          <w:rtl w:val="0"/>
        </w:rPr>
        <w:t xml:space="preserve">Flag 2 : </w:t>
      </w:r>
      <w:r w:rsidDel="00000000" w:rsidR="00000000" w:rsidRPr="00000000">
        <w:rPr>
          <w:rtl w:val="0"/>
        </w:rPr>
        <w:t xml:space="preserve">How many servers were found in both of the zone transfer attempts </w:t>
      </w:r>
    </w:p>
    <w:p w:rsidR="00000000" w:rsidDel="00000000" w:rsidP="00000000" w:rsidRDefault="00000000" w:rsidRPr="00000000" w14:paraId="00000018">
      <w:pPr>
        <w:ind w:left="0" w:firstLine="0"/>
        <w:jc w:val="both"/>
        <w:rPr/>
      </w:pPr>
      <w:r w:rsidDel="00000000" w:rsidR="00000000" w:rsidRPr="00000000">
        <w:rPr>
          <w:b w:val="1"/>
          <w:rtl w:val="0"/>
        </w:rPr>
        <w:t xml:space="preserve">Answer : </w:t>
      </w:r>
      <w:r w:rsidDel="00000000" w:rsidR="00000000" w:rsidRPr="00000000">
        <w:rPr>
          <w:rtl w:val="0"/>
        </w:rPr>
        <w:t xml:space="preserve">3</w:t>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pStyle w:val="Heading1"/>
        <w:ind w:left="0" w:firstLine="0"/>
        <w:jc w:val="both"/>
        <w:rPr>
          <w:b w:val="1"/>
          <w:color w:val="7030a0"/>
        </w:rPr>
      </w:pPr>
      <w:r w:rsidDel="00000000" w:rsidR="00000000" w:rsidRPr="00000000">
        <w:rPr>
          <w:rtl w:val="0"/>
        </w:rPr>
      </w:r>
    </w:p>
    <w:p w:rsidR="00000000" w:rsidDel="00000000" w:rsidP="00000000" w:rsidRDefault="00000000" w:rsidRPr="00000000" w14:paraId="0000001E">
      <w:pPr>
        <w:pStyle w:val="Heading1"/>
        <w:ind w:left="0" w:firstLine="0"/>
        <w:jc w:val="both"/>
        <w:rPr>
          <w:b w:val="1"/>
          <w:color w:val="7030a0"/>
        </w:rPr>
      </w:pPr>
      <w:r w:rsidDel="00000000" w:rsidR="00000000" w:rsidRPr="00000000">
        <w:rPr>
          <w:rtl w:val="0"/>
        </w:rPr>
      </w:r>
    </w:p>
    <w:p w:rsidR="00000000" w:rsidDel="00000000" w:rsidP="00000000" w:rsidRDefault="00000000" w:rsidRPr="00000000" w14:paraId="0000001F">
      <w:pPr>
        <w:pStyle w:val="Heading1"/>
        <w:ind w:left="0" w:firstLine="0"/>
        <w:jc w:val="both"/>
        <w:rPr>
          <w:b w:val="1"/>
          <w:color w:val="7030a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ind w:left="0" w:firstLine="0"/>
        <w:jc w:val="both"/>
        <w:rPr>
          <w:b w:val="1"/>
          <w:color w:val="7030a0"/>
        </w:rPr>
      </w:pPr>
      <w:r w:rsidDel="00000000" w:rsidR="00000000" w:rsidRPr="00000000">
        <w:rPr>
          <w:b w:val="1"/>
          <w:color w:val="7030a0"/>
          <w:rtl w:val="0"/>
        </w:rPr>
        <w:t xml:space="preserve">Hint</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drawing>
          <wp:inline distB="0" distT="0" distL="0" distR="0">
            <wp:extent cx="5943600" cy="1664970"/>
            <wp:effectExtent b="0" l="0" r="0" t="0"/>
            <wp:docPr id="213979183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66497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pPr>
      <w:r w:rsidDel="00000000" w:rsidR="00000000" w:rsidRPr="00000000">
        <w:rPr/>
        <w:drawing>
          <wp:inline distB="0" distT="0" distL="0" distR="0">
            <wp:extent cx="5943600" cy="2411730"/>
            <wp:effectExtent b="0" l="0" r="0" t="0"/>
            <wp:docPr id="213979183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41173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drawing>
          <wp:inline distB="0" distT="0" distL="0" distR="0">
            <wp:extent cx="5943600" cy="1953260"/>
            <wp:effectExtent b="0" l="0" r="0" t="0"/>
            <wp:docPr id="213979183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95326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1E14"/>
    <w:pPr>
      <w:spacing w:line="360" w:lineRule="auto"/>
    </w:pPr>
    <w:rPr>
      <w:rFonts w:ascii="Arial" w:cs="Arial" w:eastAsia="Arial" w:hAnsi="Arial"/>
      <w:kern w:val="0"/>
      <w:sz w:val="24"/>
      <w:szCs w:val="24"/>
    </w:rPr>
  </w:style>
  <w:style w:type="paragraph" w:styleId="Heading1">
    <w:name w:val="heading 1"/>
    <w:basedOn w:val="Normal"/>
    <w:next w:val="Normal"/>
    <w:link w:val="Heading1Char"/>
    <w:uiPriority w:val="9"/>
    <w:qFormat w:val="1"/>
    <w:rsid w:val="00EB1E1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B1E14"/>
    <w:rPr>
      <w:rFonts w:asciiTheme="majorHAnsi" w:cstheme="majorBidi" w:eastAsiaTheme="majorEastAsia" w:hAnsiTheme="majorHAnsi"/>
      <w:color w:val="2f5496" w:themeColor="accent1" w:themeShade="0000BF"/>
      <w:kern w:val="0"/>
      <w:sz w:val="32"/>
      <w:szCs w:val="32"/>
    </w:rPr>
  </w:style>
  <w:style w:type="paragraph" w:styleId="HTMLPreformatted">
    <w:name w:val="HTML Preformatted"/>
    <w:basedOn w:val="Normal"/>
    <w:link w:val="HTMLPreformattedChar"/>
    <w:uiPriority w:val="99"/>
    <w:semiHidden w:val="1"/>
    <w:unhideWhenUsed w:val="1"/>
    <w:rsid w:val="00EB1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EB1E14"/>
    <w:rPr>
      <w:rFonts w:ascii="Courier New" w:cs="Courier New" w:eastAsia="Times New Roman" w:hAnsi="Courier New"/>
      <w:kern w:val="0"/>
      <w:sz w:val="20"/>
      <w:szCs w:val="20"/>
    </w:rPr>
  </w:style>
  <w:style w:type="character" w:styleId="Hyperlink">
    <w:name w:val="Hyperlink"/>
    <w:basedOn w:val="DefaultParagraphFont"/>
    <w:uiPriority w:val="99"/>
    <w:unhideWhenUsed w:val="1"/>
    <w:rsid w:val="0085332E"/>
    <w:rPr>
      <w:color w:val="0563c1" w:themeColor="hyperlink"/>
      <w:u w:val="single"/>
    </w:rPr>
  </w:style>
  <w:style w:type="character" w:styleId="UnresolvedMention">
    <w:name w:val="Unresolved Mention"/>
    <w:basedOn w:val="DefaultParagraphFont"/>
    <w:uiPriority w:val="99"/>
    <w:semiHidden w:val="1"/>
    <w:unhideWhenUsed w:val="1"/>
    <w:rsid w:val="0085332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hackertarget.com/zone-transfer/"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cSnNjN9nwzSEDq3PUONA87ITbg==">CgMxLjAyDmguaG9jbTExd3h4MHRqMg5oLmNuMzNmcDlrZ2FzbDgAciExczFWbjBheHc1Q2pkY3dpdzY4UnVkUWxmOWYzNTQwalg=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2024-06-25T07:49:00Z</dcterms:created>
  <dc:creator>pratik satyal</dc:creator>
</cp:coreProperties>
</file>