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Basic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de-DE"/>
        </w:rPr>
      </w:pPr>
      <w:r w:rsidRPr="008E13C8">
        <w:rPr>
          <w:rFonts w:eastAsia="Times New Roman" w:cstheme="minorHAnsi"/>
          <w:sz w:val="24"/>
          <w:szCs w:val="24"/>
          <w:lang w:eastAsia="de-DE"/>
        </w:rPr>
        <w:t>Coldstream, J.N., 2006. Geometric Greece: 900-700 BC. Routledge, London.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de-DE"/>
        </w:rPr>
      </w:pPr>
      <w:r w:rsidRPr="008E13C8">
        <w:rPr>
          <w:rFonts w:eastAsia="Times New Roman" w:cstheme="minorHAnsi"/>
          <w:sz w:val="24"/>
          <w:szCs w:val="24"/>
          <w:lang w:eastAsia="de-DE"/>
        </w:rPr>
        <w:t>Coldstream, J.N., 1968. Greek geometric pottery: a survey of ten local styles and their chronology. Methuen, London.</w:t>
      </w:r>
    </w:p>
    <w:p w:rsid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8E13C8">
        <w:rPr>
          <w:rFonts w:eastAsia="Times New Roman" w:cstheme="minorHAnsi"/>
          <w:sz w:val="24"/>
          <w:szCs w:val="24"/>
          <w:lang w:eastAsia="de-DE"/>
        </w:rPr>
        <w:t>Gimatzidis</w:t>
      </w:r>
      <w:proofErr w:type="spellEnd"/>
      <w:r w:rsidRPr="008E13C8">
        <w:rPr>
          <w:rFonts w:eastAsia="Times New Roman" w:cstheme="minorHAnsi"/>
          <w:sz w:val="24"/>
          <w:szCs w:val="24"/>
          <w:lang w:eastAsia="de-DE"/>
        </w:rPr>
        <w:t xml:space="preserve">, S., 2018. Northern Greece and the central Balkans [WWW Document]. The Oxford Handbook of the European Iron Age. </w:t>
      </w:r>
      <w:hyperlink r:id="rId5" w:history="1">
        <w:r w:rsidRPr="008E13C8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https://doi.org/10.1093/oxfordhb/9780199696826.013.42</w:t>
        </w:r>
      </w:hyperlink>
      <w:bookmarkStart w:id="0" w:name="_GoBack"/>
      <w:bookmarkEnd w:id="0"/>
    </w:p>
    <w:p w:rsid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Child Burials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Ainian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, A.M., n.d. «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Tombes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d’enfants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à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l’intérieur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d’habitats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 début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l’Age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 Fer dans le Monde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Grec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 », in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L’enfant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 la mort dans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l’Antiquité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I, Nouvelles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recherches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dans les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nécropoles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grecques : Le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signalement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tombes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d’enfants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Table ronde,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Athènes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Ecole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française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d’Athènes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29-30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mai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2008, (ed. A.-M.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Guimier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-Sorbets, Y.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Morizot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), Paris 2010, pp. 67-95.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GUIMIER-SORBETS, A.-M., MORIZOT, Y., 2010. L’Enfant et la mort dans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l’Antiquité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I: Nouvelles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recherches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dans les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nécropoles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grecques. Le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signalement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tombes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d’enfants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1st ed. Editions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Boccard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Kourou, N., n.d. Silent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Offsprings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Dutiful Parents: Amphoriskoi and Multiple Vases in Early Iron Age Child Burials. E.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Simantoni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Bournia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A.Lemos</w:t>
      </w:r>
      <w:proofErr w:type="spellEnd"/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L.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Mendoni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N. Kourou (eds), </w:t>
      </w:r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ΑΜΥΜΟΝΑ</w:t>
      </w: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ΕΡΓΑ</w:t>
      </w: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Festschrift V.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Lambrinoudakis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,.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Pomadère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M., n.d.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L’attitude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face à la mort des enfants dans les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communautés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égéennes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pratiquant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l’incinération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XIIIe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VIIIe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siècles).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Pomadère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, M., n.d. Un &amp;</w:t>
      </w:r>
      <w:proofErr w:type="spellStart"/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quot;héritier</w:t>
      </w:r>
      <w:proofErr w:type="spellEnd"/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choyé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d’innombrables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biens&amp;quot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; (Il. </w:t>
      </w:r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IX, 482</w:t>
      </w:r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) :</w:t>
      </w:r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enfants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l’élite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sociale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au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début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l’âge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du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fer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val="de-DE"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Gender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Gimatzidis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S., n.d. Big Women and the Gender Conflict in the Early Iron Age: A View from Greece and its Northern Periphery, in: Ch. </w:t>
      </w:r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Keller, K.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Winger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(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.), Frauen an der Macht? (Bonn 2017) 207–226.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Houby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-Nielsen, S., 1996. </w:t>
      </w: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Women and the formation of the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athenian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City-State [The evidence of burial customs].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Mètis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. Anthropologie des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mondes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grecs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anciens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11, 233–260. </w:t>
      </w:r>
      <w:hyperlink r:id="rId6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de-DE"/>
          </w:rPr>
          <w:t>https://doi.org/10.3406/metis.1996.1057</w:t>
        </w:r>
      </w:hyperlink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Mariaud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O., n.d. (with J.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Delamard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), Le silence des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tombes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Masculin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féminin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dans la documentation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archéologique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funéraire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Grèce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géométrique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archaïque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in V.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Sébillotte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Cuchet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&amp;amp; N.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Ernoult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éds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.),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Problèmes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 genre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Grèce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ancienne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Paris, Presse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universitaires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la Sorbonne, 2007, 65-82.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Vlachou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V., n.d. Nuptial Vases in Female Tombs? Aspects of Funerary Behaviour during the Late Geometric Period in Attica, in M. Mina, S.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Triantafyllou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Y.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Papadatos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(eds), An archaeology of prehistoric bodies and embodied identities in the eastern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mediterranean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, Oxbow Books 2016, 96-103.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Grave collections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Luce, J.-M., 2014. Les modes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funéraires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 la parole dans la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Grèce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l’âge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fer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ancien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Dialogues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d’histoire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ancienne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10, 37–51.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Luce, J.-M., 2007.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Géographie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funéraire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identitiés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ethniques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l’Âge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fer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Grèce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. Pallas 39–IX.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Kallithea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Kallipolitis-Feytmans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D., 1963.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Tombes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Callithéa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Attique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Bulletin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Correspondance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Hellénique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87, 404–430. </w:t>
      </w:r>
      <w:hyperlink r:id="rId7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https://doi.org/10.3406/bch.1963.4995</w:t>
        </w:r>
      </w:hyperlink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Marathon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Ainian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A.M., n.d. «A Geometric Necropolis at Marathon. The Context», in «The Dark Ages Revisited», International Conference Volos, 14-17 June 2007 (ed. A. Mazarakis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Ainian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), Volos 2011, pp. 660-672.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Vlachou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V., n.d. Liminal Spaces, Burial Contexts and Funerary Practices in the pre-Classical Marathon (Attica). Mortuary Variability and Social Diversity in Ancient Greece Studies on ancient Greek death and burial, edited by N.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Dimakis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T.M. Dijkstra.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Metallurgy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Crielaard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J.P., 2016. Living heroes: metal urn cremations in Early Iron Age Greece, Cyprus and Italy.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Omero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quaestiones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disputata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(Ambrosiana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Graecolatina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5) 43–78.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Harrell, K., n.d. Piece Out: Comparing the Intentional Destruction of Swords in the Early Iron Age and the Mycenae Shaft Graves. THRAVSMA: Contextualising Intentional Destruction of Objects in the Bronze Age Aegean and Cyprus.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Lloyd, M., n.d. Death of a Swordsman, Death of a Sword: The Killing of Swords in the Early Iron Age Aegean ca. 1050 to ca. 690 BCE. Ancient Warfare: Introducing Current Research, Volume 1.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Miniatures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Ekroth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G., n.d. Small pots, poor people? The use and function of miniature pottery as votive offerings in Archaic sanctuaries in the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Argolid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in the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Corinthia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Griechische Keramik im kulturellen Kontext. Akten des Internationalen Vase-Symposions in Kiel vom 24.-28.9.2001,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. </w:t>
      </w: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B. Schmaltz &amp;amp; M.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Söldner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Gimatzidis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S., 2011. Feasting and offering to the Gods in early Greek sanctuaries: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Monumentalisation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miniaturisation in pottery. Pallas. Revue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d’études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antiques 75–96. </w:t>
      </w:r>
      <w:hyperlink r:id="rId8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https://doi.org/10.4000/pallas.2099</w:t>
        </w:r>
      </w:hyperlink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Luce, J.-M., n.d. From miniature objects to giant ones: The process of defunctionalisation in sanctuaries and graves in Iron Age Greece. Pallas 53–73.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proofErr w:type="spellStart"/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Oropos</w:t>
      </w:r>
      <w:proofErr w:type="spellEnd"/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Vlachou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V., n.d.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Oropos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Infant and Child Inhumations from the Settlement (late 8th - early 7th centuries BC).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Oropos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Euboea in the Early Iron Age, Acts of an International Round Table, University of Thessaly June 18-20, 2004.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Ritual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Ainian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A.M., n.d. Buried among the living in Greece: the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Protogeometric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Geometric Periods, in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Sepolti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tra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vivi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Evidenza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ed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interpretazione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contesti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funerari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abitato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Convegno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Internazionale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Roma 26-29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aprile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2006, Roma 2008, pp. 365-398.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Alexandridou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A., n.d. 6. Shedding Light on Mortuary Practices in Early Archaic Attica: The Case of the Offering Trenches in: Classical Archaeology in Context [WWW Document]. URL </w:t>
      </w:r>
      <w:hyperlink r:id="rId9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https://www.degruyter.com/view/book/9781934078471/10.1515/9781934078471-009.xml</w:t>
        </w:r>
      </w:hyperlink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(accessed 10.12.20a).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Alexandridou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, A., n.d. Destructions at the grave Ritual Burning and Breaking in 7th-century BC Attica.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Alexandridou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A., n.d.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Θάν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ατος</w:t>
      </w: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Review of Publications on Mortuary Practices in Greece (10th – 4th c. BC),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Antiquité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Classique 84, 2015, </w:t>
      </w:r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sym w:font="Symbol" w:char="F02A"/>
      </w: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237-258.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Funerary Variability in Late Eighth-Century B.C.E. Attica (Late Geometric II) [WWW Document], 2016</w:t>
      </w:r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. .</w:t>
      </w:r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American Journal of Archaeology. URL </w:t>
      </w:r>
      <w:hyperlink r:id="rId10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https://www.ajaonline.org/article/2646</w:t>
        </w:r>
      </w:hyperlink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(accessed 10.12.20).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Langdon, S., 2005. Views of </w:t>
      </w:r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Wealth ,</w:t>
      </w:r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Wealth of Views : Grave Goods in Iron Age Attica [WWW Document]. URL </w:t>
      </w:r>
      <w:hyperlink r:id="rId11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/paper/Views-of-Wealth-%2C-a-Wealth-of-Views-%3A-Grave-Goods-Langdon/c73a65223dbf21a07f1c24c4297cd91ce2fec728</w:t>
        </w:r>
      </w:hyperlink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(accessed 10.12.20).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Society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Alexandridou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A., n.d. Some Insights into the Early Attic Society (10th-7th centuries BC), in Regional Stories towards a new perception of the early Greek world. Acts of an International Symposium in honour of Professor Jan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Bouzek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, Volos 18-21 June 2015, Volos, University of Thessaly Press, 2017, 155-167.</w:t>
      </w: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Theory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Chapman, R., 2013. Death, Burial, and Social Representation [WWW Document]. The Oxford Handbook of the Archaeology of Death and Burial. </w:t>
      </w:r>
      <w:hyperlink r:id="rId12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https://doi.org/10.1093/oxfordhb/9780199569069.013.0004</w:t>
        </w:r>
      </w:hyperlink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Ekengren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F., 2013. Contextualizing Grave Goods [WWW Document]. The Oxford Handbook of the Archaeology of Death and Burial. </w:t>
      </w:r>
      <w:hyperlink r:id="rId13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https://doi.org/10.1093/oxfordhb/9780199569069.013.0010</w:t>
        </w:r>
      </w:hyperlink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Papadopoulos, J.K., 2005. The early Iron Age cemetery at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Torone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excavations conducted by the Australian Archaeological Institute at Athens in collaboration with the Athens Archaeological Society,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Monumenta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archaeologica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 ;24.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Cotsen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Institute of Archaeology at UCLA, Los Angeles.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Shepherd, G., 2013. Ancient Identities [WWW Document]. The Oxford Handbook of the Archaeology of Death and Burial. </w:t>
      </w:r>
      <w:hyperlink r:id="rId14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de-DE"/>
          </w:rPr>
          <w:t>https://doi.org/10.1093/oxfordhb/9780199569069.013.0030</w:t>
        </w:r>
      </w:hyperlink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u w:val="single"/>
          <w:lang w:eastAsia="de-DE"/>
        </w:rPr>
      </w:pPr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proofErr w:type="spellStart"/>
      <w:r w:rsidRPr="008E13C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Vari</w:t>
      </w:r>
      <w:proofErr w:type="spellEnd"/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Alexandridou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A., 2020. Le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traitement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funéraire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 immatures dans la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nécropole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archaïque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Vari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in:</w:t>
      </w:r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Dubois, C.,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Hermary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A. (Eds.),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L’enfant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 La Mort Dans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l’Antiquité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III. Le Matériel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Associé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Aux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Tombes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d’enfants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 :</w:t>
      </w:r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Actes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La Table Ronde Internationale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Organisée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à La Maison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Méditerranéenne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 Sciences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l’homme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(MMSH)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d’Aix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En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-Provence, 20-22 Janvier 2011,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Bibliothèque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d’archéologie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Méditerranéenne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Africaine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Publications du Centre Camille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Jullian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, pp. 39–56.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Alexandridou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, A., n.d. Offering trenches and funerary ceremonies in the Attic countryside. Acta Hyperborea.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Alexandridou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A., n.d. The North Necropolis of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Vari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Revisited.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Αρχ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αιολογική</w:t>
      </w:r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Εφημερίς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151.</w:t>
      </w:r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Kallipolitis-Feytmans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D., 1985.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Céramique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la petite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nécropole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Vari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gram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( II</w:t>
      </w:r>
      <w:proofErr w:type="gram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). Bulletin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Correspondance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Hellénique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109, 31–47. </w:t>
      </w:r>
      <w:hyperlink r:id="rId15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https://doi.org/10.3406/bch.1985.1817</w:t>
        </w:r>
      </w:hyperlink>
    </w:p>
    <w:p w:rsidR="008E13C8" w:rsidRPr="008E13C8" w:rsidRDefault="008E13C8" w:rsidP="008E13C8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Kallipolitis-Feytmans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D., 1984.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Céramique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la petite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nécropole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>Vari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Bulletin de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Correspondance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Hellénique</w:t>
      </w:r>
      <w:proofErr w:type="spellEnd"/>
      <w:r w:rsidRPr="008E13C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108, 27–36. </w:t>
      </w:r>
      <w:hyperlink r:id="rId16" w:history="1">
        <w:r w:rsidRPr="008E1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de-DE"/>
          </w:rPr>
          <w:t>https://doi.org/10.3406/bch.1984.1844</w:t>
        </w:r>
      </w:hyperlink>
    </w:p>
    <w:p w:rsidR="008E13C8" w:rsidRPr="008E13C8" w:rsidRDefault="008E13C8" w:rsidP="008E13C8">
      <w:pPr>
        <w:spacing w:after="0" w:line="240" w:lineRule="auto"/>
        <w:ind w:hanging="480"/>
        <w:rPr>
          <w:rFonts w:eastAsia="Times New Roman" w:cstheme="minorHAnsi"/>
          <w:sz w:val="24"/>
          <w:szCs w:val="24"/>
          <w:lang w:eastAsia="de-DE"/>
        </w:rPr>
      </w:pPr>
    </w:p>
    <w:sectPr w:rsidR="008E13C8" w:rsidRPr="008E1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C8"/>
    <w:rsid w:val="0001553D"/>
    <w:rsid w:val="003B1FCC"/>
    <w:rsid w:val="00846C20"/>
    <w:rsid w:val="008E13C8"/>
    <w:rsid w:val="00912BF2"/>
    <w:rsid w:val="00D427AD"/>
    <w:rsid w:val="00D609AE"/>
    <w:rsid w:val="00E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0D3C"/>
  <w15:chartTrackingRefBased/>
  <w15:docId w15:val="{333D3CE2-0020-4912-9C0A-B4F9891C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3C8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next w:val="Standard"/>
    <w:uiPriority w:val="37"/>
    <w:unhideWhenUsed/>
    <w:rsid w:val="008E13C8"/>
    <w:pPr>
      <w:spacing w:after="0" w:line="240" w:lineRule="auto"/>
      <w:ind w:left="720" w:hanging="720"/>
    </w:pPr>
  </w:style>
  <w:style w:type="character" w:styleId="Hyperlink">
    <w:name w:val="Hyperlink"/>
    <w:basedOn w:val="Absatz-Standardschriftart"/>
    <w:uiPriority w:val="99"/>
    <w:semiHidden/>
    <w:unhideWhenUsed/>
    <w:rsid w:val="008E1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2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1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4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00/pallas.2099" TargetMode="External"/><Relationship Id="rId13" Type="http://schemas.openxmlformats.org/officeDocument/2006/relationships/hyperlink" Target="https://doi.org/10.1093/oxfordhb/9780199569069.013.00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406/bch.1963.4995" TargetMode="External"/><Relationship Id="rId12" Type="http://schemas.openxmlformats.org/officeDocument/2006/relationships/hyperlink" Target="https://doi.org/10.1093/oxfordhb/9780199569069.013.000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3406/bch.1984.184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406/metis.1996.1057" TargetMode="External"/><Relationship Id="rId11" Type="http://schemas.openxmlformats.org/officeDocument/2006/relationships/hyperlink" Target="https://doi.org/paper/Views-of-Wealth-%2C-a-Wealth-of-Views-%3A-Grave-Goods-Langdon/c73a65223dbf21a07f1c24c4297cd91ce2fec728" TargetMode="External"/><Relationship Id="rId5" Type="http://schemas.openxmlformats.org/officeDocument/2006/relationships/hyperlink" Target="https://doi.org/10.1093/oxfordhb/9780199696826.013.42" TargetMode="External"/><Relationship Id="rId15" Type="http://schemas.openxmlformats.org/officeDocument/2006/relationships/hyperlink" Target="https://doi.org/10.3406/bch.1985.1817" TargetMode="External"/><Relationship Id="rId10" Type="http://schemas.openxmlformats.org/officeDocument/2006/relationships/hyperlink" Target="https://www.ajaonline.org/article/26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gruyter.com/view/book/9781934078471/10.1515/9781934078471-009.xml" TargetMode="External"/><Relationship Id="rId14" Type="http://schemas.openxmlformats.org/officeDocument/2006/relationships/hyperlink" Target="https://doi.org/10.1093/oxfordhb/9780199569069.013.003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4865E-DCC4-479F-9C35-151442BC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1250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Lu</dc:creator>
  <cp:keywords/>
  <dc:description/>
  <cp:lastModifiedBy>Li Lu</cp:lastModifiedBy>
  <cp:revision>1</cp:revision>
  <dcterms:created xsi:type="dcterms:W3CDTF">2020-10-12T16:59:00Z</dcterms:created>
  <dcterms:modified xsi:type="dcterms:W3CDTF">2020-10-12T19:54:00Z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id="MdjBd4Tm"/&gt;&lt;style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