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p>
    <w:p>
      <w:pPr>
        <w:pStyle w:val="Author"/>
      </w:pPr>
      <w:r>
        <w:t xml:space="preserve">Willard</w:t>
      </w:r>
      <w:r>
        <w:t xml:space="preserve"> </w:t>
      </w:r>
      <w:r>
        <w:t xml:space="preserve">McCarty</w:t>
      </w:r>
    </w:p>
    <w:p>
      <w:pPr>
        <w:pStyle w:val="Date"/>
      </w:pPr>
      <w:r>
        <w:t xml:space="preserve">/today</w:t>
      </w:r>
    </w:p>
    <w:p>
      <w:pPr>
        <w:pStyle w:val="Heading1"/>
      </w:pPr>
      <w:bookmarkStart w:id="20" w:name="section"/>
      <w:r>
        <w:t xml:space="preserve">19.</w:t>
      </w:r>
      <w:bookmarkEnd w:id="20"/>
    </w:p>
    <w:p>
      <w:pPr>
        <w:pStyle w:val="Heading1"/>
      </w:pPr>
      <w:bookmarkStart w:id="21" w:name="modeling-a-study-in-words-and-meanings"/>
      <w:r>
        <w:t xml:space="preserve">Modeling: A Study in Words and Meanings</w:t>
      </w:r>
      <w:bookmarkEnd w:id="21"/>
    </w:p>
    <w:p>
      <w:pPr>
        <w:pStyle w:val="Heading1"/>
      </w:pPr>
      <w:bookmarkStart w:id="22" w:name="willard-mccarty"/>
      <w:r>
        <w:t xml:space="preserve">Willard McCarty</w:t>
      </w:r>
      <w:bookmarkEnd w:id="22"/>
    </w:p>
    <w:p>
      <w:pPr>
        <w:pStyle w:val="FirstParagraph"/>
      </w:pPr>
    </w:p>
    <w:p>
      <w:pPr>
        <w:pStyle w:val="Body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odyText"/>
      </w:pPr>
      <w:r>
        <w:t xml:space="preserve">He knew men who hated the</w:t>
      </w:r>
      <w:r>
        <w:t xml:space="preserve"> </w:t>
      </w:r>
      <w:r>
        <w:rPr>
          <w:i/>
        </w:rPr>
        <w:t xml:space="preserve">variables</w:t>
      </w:r>
      <w:r>
        <w:t xml:space="preserve">. They had their plans and by golly they were going to stick to them. If the site did not match the drawings it was like a personal insult.</w:t>
      </w:r>
    </w:p>
    <w:p>
      <w:pPr>
        <w:pStyle w:val="Body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odyText"/>
      </w:pPr>
      <w:r>
        <w:rPr>
          <w:rStyle w:val="FootnoteReference"/>
        </w:rPr>
        <w:footnoteReference w:id="23"/>
      </w:r>
      <w:r>
        <w:t xml:space="preserve"> </w:t>
      </w:r>
    </w:p>
    <w:p>
      <w:pPr>
        <w:pStyle w:val="Heading1"/>
      </w:pPr>
      <w:bookmarkStart w:id="24" w:name="introduction"/>
      <w:r>
        <w:t xml:space="preserve">Introduction</w:t>
      </w:r>
      <w:bookmarkEnd w:id="24"/>
    </w:p>
    <w:p>
      <w:pPr>
        <w:pStyle w:val="FirstParagraph"/>
      </w:pP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w:t>
      </w:r>
      <w:r>
        <w:t xml:space="preserve"> </w:t>
      </w:r>
      <w:r>
        <w:rPr>
          <w:i/>
        </w:rPr>
        <w:t xml:space="preserve">of</w:t>
      </w:r>
      <w:r>
        <w:t xml:space="preserve"> </w:t>
      </w:r>
      <w:r>
        <w:t xml:space="preserve">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w:t>
      </w:r>
      <w:r>
        <w:t xml:space="preserve"> </w:t>
      </w:r>
      <w:r>
        <w:rPr>
          <w:i/>
        </w:rPr>
        <w:t xml:space="preserve">use the correct word</w:t>
      </w:r>
      <w:r>
        <w:t xml:space="preserve"> </w:t>
      </w:r>
      <w:r>
        <w:t xml:space="preserve">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5" w:name="background"/>
      <w:r>
        <w:t xml:space="preserve">Background</w:t>
      </w:r>
      <w:bookmarkEnd w:id="25"/>
    </w:p>
    <w:p>
      <w:pPr>
        <w:pStyle w:val="FirstParagraph"/>
      </w:pPr>
      <w:r>
        <w:t xml:space="preserve">Let me begin with provisional definitions</w:t>
      </w:r>
      <w:r>
        <w:rPr>
          <w:rStyle w:val="FootnoteReference"/>
        </w:rPr>
        <w:footnoteReference w:id="26"/>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 a design for</w:t>
      </w:r>
      <w:r>
        <w:t xml:space="preserve"> </w:t>
      </w:r>
      <w:r>
        <w:rPr>
          <w:i/>
        </w:rPr>
        <w:t xml:space="preserve">realizing something new</w:t>
      </w:r>
      <w:r>
        <w:t xml:space="preserve">. These two senses follow Clifford Geertz’s analytic distinction between a denotative</w:t>
      </w:r>
      <w:r>
        <w:t xml:space="preserve"> </w:t>
      </w:r>
      <w:r>
        <w:t xml:space="preserve">“</w:t>
      </w:r>
      <w:r>
        <w:t xml:space="preserve">model 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rPr>
          <w:rStyle w:val="FootnoteReference"/>
        </w:rPr>
        <w:footnoteReference w:id="33"/>
      </w:r>
      <w:r>
        <w:rPr>
          <w:rStyle w:val="FootnoteReference"/>
        </w:rPr>
        <w:footnoteReference w:id="34"/>
      </w:r>
      <w:r>
        <w:t xml:space="preserve">. .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rPr>
          <w:rStyle w:val="FootnoteReference"/>
        </w:rPr>
        <w:footnoteReference w:id="35"/>
      </w:r>
      <w:r>
        <w:t xml:space="preserve"> </w:t>
      </w:r>
      <w:r>
        <w:t xml:space="preserve">By nature modeling defines a ternary relationship in which it mediates epistemologically, between modeler and modeled, researcher and data or theory and the world.</w:t>
      </w:r>
      <w:r>
        <w:rPr>
          <w:rStyle w:val="FootnoteReference"/>
        </w:rPr>
        <w:footnoteReference w:id="36"/>
      </w:r>
      <w:r>
        <w:t xml:space="preserve"> </w:t>
      </w:r>
      <w:r>
        <w:t xml:space="preserve">Since modeling is fundamentally relational, the same object may in different contexts play either role: thus, e.g., the grammar may function prescriptively, as a model for correct usage, the architectural plan descriptively, as a model</w:t>
      </w:r>
      <w:r>
        <w:t xml:space="preserve"> </w:t>
      </w:r>
      <w:r>
        <w:rPr>
          <w:i/>
        </w:rPr>
        <w:t xml:space="preserve">of</w:t>
      </w:r>
      <w:r>
        <w:t xml:space="preserve"> </w:t>
      </w:r>
      <w:r>
        <w:t xml:space="preserve">an existing style. The distinction also reaches its vanishing point in the convergent purposes of modeling: the model of 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w:t>
      </w:r>
      <w:r>
        <w:rPr>
          <w:rStyle w:val="FootnoteReference"/>
        </w:rPr>
        <w:footnoteReference w:id="37"/>
      </w:r>
      <w:r>
        <w:t xml:space="preserve"> </w:t>
      </w:r>
      <w:r>
        <w:t xml:space="preserve">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 of it; delineating them as models is the scholar’s obvious work (Mironesco 2002).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rPr>
          <w:rStyle w:val="FootnoteReference"/>
        </w:rPr>
        <w:footnoteReference w:id="38"/>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 (McCarty 2002),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(OED: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w:t>
      </w:r>
      <w:r>
        <w:t xml:space="preserve"> </w:t>
      </w:r>
      <w:r>
        <w:rPr>
          <w:i/>
        </w:rPr>
        <w:t xml:space="preserve">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t xml:space="preserve">;</w:t>
      </w:r>
      <w:r>
        <w:rPr>
          <w:rStyle w:val="FootnoteReference"/>
        </w:rPr>
        <w:footnoteReference w:id="40"/>
      </w:r>
      <w:r>
        <w:t xml:space="preserve"> </w:t>
      </w:r>
      <w:r>
        <w:t xml:space="preserve">cf. </w:t>
      </w:r>
      <w:r>
        <w:rPr>
          <w:rStyle w:val="FootnoteReference"/>
        </w:rPr>
        <w:footnoteReference w:id="41"/>
      </w:r>
      <w:r>
        <w:t xml:space="preserve">.</w:t>
      </w:r>
    </w:p>
    <w:p>
      <w:pPr>
        <w:pStyle w:val="BodyText"/>
      </w:pPr>
      <w:r>
        <w:t xml:space="preserve">In other words, computational models, however finely perfected, are better understood as</w:t>
      </w:r>
      <w:r>
        <w:t xml:space="preserve"> </w:t>
      </w:r>
      <w:r>
        <w:rPr>
          <w:i/>
        </w:rPr>
        <w:t xml:space="preserve">temporary</w:t>
      </w:r>
      <w:r>
        <w:t xml:space="preserve"> </w:t>
      </w:r>
      <w:r>
        <w:t xml:space="preserve">states in a process of</w:t>
      </w:r>
      <w:r>
        <w:t xml:space="preserve"> </w:t>
      </w:r>
      <w:r>
        <w:rPr>
          <w:i/>
        </w:rPr>
        <w:t xml:space="preserve">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43"/>
      </w:r>
      <w:r>
        <w:t xml:space="preserve"> </w:t>
      </w:r>
      <w:r>
        <w:t xml:space="preserve">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 of something readily turns into modeling</w:t>
      </w:r>
      <w:r>
        <w:t xml:space="preserve"> </w:t>
      </w:r>
      <w:r>
        <w:rPr>
          <w:i/>
        </w:rPr>
        <w:t xml:space="preserve">for</w:t>
      </w:r>
      <w:r>
        <w:t xml:space="preserve"> </w:t>
      </w:r>
      <w:r>
        <w:t xml:space="preserve">better or more detailed knowledge of it; similarly, the knowledge gained from realizing a model for something feeds or can feed into an improved version. This characteristic blurring of design into use and use into (re)design is what denies modeling of</w:t>
      </w:r>
      <w:r>
        <w:t xml:space="preserve"> </w:t>
      </w:r>
      <w:r>
        <w:rPr>
          <w:i/>
        </w:rPr>
        <w:t xml:space="preserve">any</w:t>
      </w:r>
      <w:r>
        <w:t xml:space="preserve"> </w:t>
      </w:r>
      <w:r>
        <w:t xml:space="preserve">sense of closure. Modeling</w:t>
      </w:r>
      <w:r>
        <w:t xml:space="preserve"> </w:t>
      </w:r>
      <w:r>
        <w:rPr>
          <w:i/>
        </w:rPr>
        <w:t xml:space="preserve">for</w:t>
      </w:r>
      <w:r>
        <w:t xml:space="preserve">, Utopian by definition, is denied it in any case.</w:t>
      </w:r>
    </w:p>
    <w:p>
      <w:pPr>
        <w:pStyle w:val="Heading1"/>
      </w:pPr>
      <w:bookmarkStart w:id="44" w:name="learned-complaints"/>
      <w:r>
        <w:t xml:space="preserve">Learned Complaints</w:t>
      </w:r>
      <w:bookmarkEnd w:id="44"/>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rPr>
          <w:rStyle w:val="FootnoteReference"/>
        </w:rPr>
        <w:footnoteReference w:id="45"/>
      </w:r>
      <w:r>
        <w:t xml:space="preserve">.</w:t>
      </w:r>
      <w:r>
        <w:rPr>
          <w:rStyle w:val="FootnoteReference"/>
        </w:rPr>
        <w:footnoteReference w:id="46"/>
      </w:r>
      <w:r>
        <w:t xml:space="preserve"> </w:t>
      </w:r>
      <w:r>
        <w:t xml:space="preserve">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 connote that the others do not, and vice versa? What do all have in common? What are their individual tendencies of mind, and which of these best suits computing as we are learning to conceive it?</w:t>
      </w:r>
    </w:p>
    <w:p>
      <w:pPr>
        <w:pStyle w:val="BodyText"/>
      </w:pPr>
      <w:r>
        <w:t xml:space="preserve">Philological Analysis of Related Terms</w:t>
      </w:r>
      <w:r>
        <w:t xml:space="preserve"> </w:t>
      </w: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w:t>
      </w:r>
      <w:r>
        <w:t xml:space="preserve"> </w:t>
      </w:r>
      <w:r>
        <w:rPr>
          <w:i/>
        </w:rPr>
        <w:t xml:space="preserve">present-participial</w:t>
      </w:r>
      <w:r>
        <w:t xml:space="preserve"> </w:t>
      </w:r>
      <w:r>
        <w:t xml:space="preserve">strength of</w:t>
      </w:r>
      <w:r>
        <w:t xml:space="preserve"> </w:t>
      </w:r>
      <w:r>
        <w:t xml:space="preserve">“</w:t>
      </w:r>
      <w:r>
        <w:t xml:space="preserve">modeling.</w:t>
      </w:r>
      <w:r>
        <w:t xml:space="preserve">”</w:t>
      </w:r>
      <w:r>
        <w:rPr>
          <w:rStyle w:val="FootnoteReference"/>
        </w:rPr>
        <w:footnoteReference w:id="47"/>
      </w:r>
      <w:r>
        <w:t xml:space="preserve">. 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1"/>
      </w:pPr>
      <w:bookmarkStart w:id="48" w:name="analogy"/>
      <w:r>
        <w:t xml:space="preserve">Analogy</w:t>
      </w:r>
      <w:bookmarkEnd w:id="48"/>
    </w:p>
    <w:p>
      <w:pPr>
        <w:pStyle w:val="FirstParagraph"/>
      </w:pPr>
      <w:r>
        <w:t xml:space="preserve">“</w:t>
      </w:r>
      <w:r>
        <w:t xml:space="preserve">Analogy</w:t>
      </w:r>
      <w:r>
        <w:t xml:space="preserve">”</w:t>
      </w:r>
      <w:r>
        <w:t xml:space="preserve"> </w:t>
      </w:r>
      <w:r>
        <w:t xml:space="preserve">(Gk. ναλoγα,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49"/>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w:t>
      </w:r>
      <w:r>
        <w:rPr>
          <w:i/>
        </w:rPr>
        <w:t xml:space="preserve">A System of Logic</w:t>
      </w:r>
      <w:r>
        <w:t xml:space="preserve">,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rPr>
          <w:rStyle w:val="FootnoteReference"/>
        </w:rPr>
        <w:footnoteReference w:id="50"/>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 does B, so C does D</w:t>
      </w:r>
      <w:r>
        <w:t xml:space="preserve">”</w:t>
      </w:r>
      <w:r>
        <w:t xml:space="preserve"> </w:t>
      </w:r>
      <w:r>
        <w:t xml:space="preserve">– but</w:t>
      </w:r>
      <w:r>
        <w:t xml:space="preserve"> </w:t>
      </w:r>
      <w:r>
        <w:rPr>
          <w:i/>
        </w:rPr>
        <w:t xml:space="preserve">acting</w:t>
      </w:r>
      <w:r>
        <w:t xml:space="preserve"> </w:t>
      </w:r>
      <w:r>
        <w:t xml:space="preserve">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rPr>
          <w:rStyle w:val="FootnoteReference"/>
        </w:rPr>
        <w:footnoteReference w:id="51"/>
      </w:r>
      <w:r>
        <w:t xml:space="preserve"> </w:t>
      </w:r>
      <w:r>
        <w:t xml:space="preserve">Because modeling is analogical, this work is potentially relevant to questions raised in computing the artifacts of the humanities. We need to pay attention here.</w:t>
      </w:r>
    </w:p>
    <w:p>
      <w:pPr>
        <w:pStyle w:val="Heading1"/>
      </w:pPr>
      <w:bookmarkStart w:id="53" w:name="representation"/>
      <w:r>
        <w:t xml:space="preserve">Representation</w:t>
      </w:r>
      <w:bookmarkEnd w:id="53"/>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 (1976: 3–41)</w:t>
      </w:r>
      <w:r>
        <w:rPr>
          <w:rStyle w:val="FootnoteReference"/>
        </w:rPr>
        <w:footnoteReference w:id="54"/>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 of is representational but not modeling</w:t>
      </w:r>
      <w:r>
        <w:t xml:space="preserve"> </w:t>
      </w:r>
      <w:r>
        <w:rPr>
          <w:i/>
        </w:rPr>
        <w:t xml:space="preserve">for</w:t>
      </w:r>
      <w:r>
        <w:t xml:space="preserve">. In fact a model</w:t>
      </w:r>
      <w:r>
        <w:t xml:space="preserve"> </w:t>
      </w:r>
      <w:r>
        <w:rPr>
          <w:i/>
        </w:rPr>
        <w:t xml:space="preserve">of</w:t>
      </w:r>
      <w:r>
        <w:t xml:space="preserve"> </w:t>
      </w:r>
      <w:r>
        <w:t xml:space="preserve">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w:t>
      </w:r>
      <w:r>
        <w:t xml:space="preserve"> </w:t>
      </w:r>
      <w:r>
        <w:rPr>
          <w:i/>
        </w:rPr>
        <w:t xml:space="preserve">trompe I’oeil</w:t>
      </w:r>
      <w:r>
        <w:t xml:space="preserve"> </w:t>
      </w:r>
      <w:r>
        <w:t xml:space="preserve">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55"/>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odyText"/>
      </w:pPr>
    </w:p>
    <w:p>
      <w:pPr>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Pr>
      <w:r>
        <w:t xml:space="preserve">(2001: 11–12)</w:t>
      </w:r>
      <w:r>
        <w:t xml:space="preserve"> </w:t>
      </w:r>
    </w:p>
    <w:p>
      <w:pPr>
        <w:pStyle w:val="FirstParagraph"/>
      </w:pPr>
      <w:r>
        <w:t xml:space="preserve">Projects such as Cyc, based on what Northrop Frye characterized as the discredited</w:t>
      </w:r>
      <w:r>
        <w:t xml:space="preserve"> </w:t>
      </w:r>
      <w:r>
        <w:rPr>
          <w:i/>
        </w:rPr>
        <w:t xml:space="preserve">Wissenscbaft-theory</w:t>
      </w:r>
      <w:r>
        <w:t xml:space="preserve"> </w:t>
      </w:r>
      <w:r>
        <w:t xml:space="preserve">of knowledge – that its accumulation in vast quantities will one day, somehow, result in understanding</w:t>
      </w:r>
      <w:r>
        <w:rPr>
          <w:rStyle w:val="FootnoteReference"/>
        </w:rPr>
        <w:footnoteReference w:id="56"/>
      </w:r>
      <w:r>
        <w:t xml:space="preserve"> </w:t>
      </w:r>
      <w:r>
        <w:t xml:space="preserve">– clearly assume if not perfect closure, then a threshold beyond which lack of perfection ceases to matter. But to whom, and for what purposes?</w:t>
      </w:r>
      <w:r>
        <w:rPr>
          <w:rStyle w:val="FootnoteReference"/>
        </w:rPr>
        <w:footnoteReference w:id="57"/>
      </w:r>
      <w:r>
        <w:t xml:space="preserve"> </w:t>
      </w:r>
      <w:r>
        <w:t xml:space="preserve">Apart from such questions, and the serious doubts within computer science on the wisdom of building massive knowledge-bases for expert systems</w:t>
      </w:r>
      <w:r>
        <w:rPr>
          <w:rStyle w:val="FootnoteReference"/>
        </w:rPr>
        <w:footnoteReference w:id="58"/>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rPr>
          <w:rStyle w:val="FootnoteReference"/>
        </w:rPr>
        <w:footnoteReference w:id="59"/>
      </w:r>
      <w:r>
        <w:t xml:space="preserve"> </w:t>
      </w:r>
      <w:r>
        <w:t xml:space="preserve">our intellectual claustrophobia tells an important tale. Not, of course, the only one. If the point of modeling is to fail well, then KR has a vital quality-control function to serve.</w:t>
      </w:r>
    </w:p>
    <w:p>
      <w:pPr>
        <w:pStyle w:val="Heading1"/>
      </w:pPr>
      <w:bookmarkStart w:id="60" w:name="diagram"/>
      <w:r>
        <w:t xml:space="preserve">Diagram</w:t>
      </w:r>
      <w:bookmarkEnd w:id="60"/>
    </w:p>
    <w:p>
      <w:pPr>
        <w:pStyle w:val="FirstParagraph"/>
      </w:pPr>
      <w:r>
        <w:t xml:space="preserve">A diagram (Gk. διγραμμα,</w:t>
      </w:r>
      <w:r>
        <w:t xml:space="preserve">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61"/>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62"/>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w:t>
      </w:r>
      <w:r>
        <w:t xml:space="preserve"> </w:t>
      </w:r>
      <w:r>
        <w:rPr>
          <w:i/>
        </w:rPr>
        <w:t xml:space="preserve">per se</w:t>
      </w:r>
      <w:r>
        <w:t xml:space="preserve">, the role of manipulation where diagramming is heuristic and the kinaesthetics of the action suggest the close relationship between diagramming and modeling for which Goodman argues. Models of,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63"/>
      </w:r>
      <w:r>
        <w:t xml:space="preserve"> </w:t>
      </w:r>
      <w:r>
        <w:t xml:space="preserve">That is changing very rapidly now. As a cognitive, reasoning process it is studied in relation to Greek mathematics and geometry in particular.</w:t>
      </w:r>
      <w:r>
        <w:rPr>
          <w:rStyle w:val="FootnoteReference"/>
        </w:rPr>
        <w:footnoteReference w:id="64"/>
      </w:r>
      <w:r>
        <w:t xml:space="preserve"> </w:t>
      </w:r>
      <w:r>
        <w:t xml:space="preserve">Modern philosophical attention can be traced from Descartes’s</w:t>
      </w:r>
      <w:r>
        <w:t xml:space="preserve"> </w:t>
      </w:r>
      <w:r>
        <w:t xml:space="preserve">“</w:t>
      </w:r>
      <w:r>
        <w:t xml:space="preserve">La Geometric</w:t>
      </w:r>
      <w:r>
        <w:t xml:space="preserve">”</w:t>
      </w:r>
      <w:r>
        <w:t xml:space="preserve"> </w:t>
      </w:r>
      <w:r>
        <w:t xml:space="preserve">(1637) and Kant’s</w:t>
      </w:r>
      <w:r>
        <w:t xml:space="preserve"> </w:t>
      </w:r>
      <w:r>
        <w:rPr>
          <w:i/>
        </w:rPr>
        <w:t xml:space="preserve">Critique of Pure Reason</w:t>
      </w:r>
      <w:r>
        <w:t xml:space="preserve"> </w:t>
      </w:r>
      <w:r>
        <w:t xml:space="preserve">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1"/>
      </w:pPr>
      <w:bookmarkStart w:id="65" w:name="map"/>
      <w:r>
        <w:t xml:space="preserve">Map</w:t>
      </w:r>
      <w:bookmarkEnd w:id="65"/>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66"/>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w:t>
      </w:r>
      <w:r>
        <w:t xml:space="preserve"> </w:t>
      </w:r>
      <w:r>
        <w:rPr>
          <w:i/>
        </w:rPr>
        <w:t xml:space="preserve">of or for</w:t>
      </w:r>
      <w:r>
        <w:t xml:space="preserve"> </w:t>
      </w:r>
      <w:r>
        <w:t xml:space="preserve">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67"/>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w:t>
      </w:r>
      <w:r>
        <w:rPr>
          <w:rStyle w:val="FootnoteReference"/>
        </w:rPr>
        <w:footnoteReference w:id="68"/>
      </w:r>
      <w:r>
        <w:t xml:space="preserve"> </w:t>
      </w:r>
      <w:r>
        <w:t xml:space="preserve">which suggests techniques of automated inferencing in AI. (Maps of argument look like flowcharts.) As a form of data-visualization, mapping also connects with a very strong, recent interest in humanities computing,</w:t>
      </w:r>
      <w:r>
        <w:rPr>
          <w:rStyle w:val="FootnoteReference"/>
        </w:rPr>
        <w:footnoteReference w:id="69"/>
      </w:r>
      <w:r>
        <w:t xml:space="preserve"> </w:t>
      </w:r>
      <w:r>
        <w:t xml:space="preserve">and so connects this interest with modeling.</w:t>
      </w:r>
    </w:p>
    <w:p>
      <w:pPr>
        <w:pStyle w:val="Heading1"/>
      </w:pPr>
      <w:bookmarkStart w:id="71" w:name="simulation"/>
      <w:r>
        <w:t xml:space="preserve">Simulation</w:t>
      </w:r>
      <w:bookmarkEnd w:id="71"/>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(OED).</w:t>
      </w:r>
      <w:r>
        <w:rPr>
          <w:rStyle w:val="FootnoteReference"/>
        </w:rPr>
        <w:footnoteReference w:id="72"/>
      </w:r>
      <w:r>
        <w:t xml:space="preserve"> </w:t>
      </w:r>
      <w:r>
        <w:t xml:space="preserve">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w:t>
      </w:r>
      <w:r>
        <w:rPr>
          <w:rStyle w:val="FootnoteReference"/>
        </w:rPr>
        <w:footnoteReference w:id="73"/>
      </w:r>
      <w:r>
        <w:t xml:space="preserve"> </w:t>
      </w:r>
      <w:r>
        <w:t xml:space="preserve">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w:t>
      </w:r>
      <w:r>
        <w:rPr>
          <w:rStyle w:val="FootnoteReference"/>
        </w:rPr>
        <w:footnoteReference w:id="74"/>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rPr>
          <w:rStyle w:val="FootnoteReference"/>
        </w:rPr>
        <w:footnoteReference w:id="75"/>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(1997: 690f). Since then the turn away from traditional analytic methods to simulation has spread to several other fields.</w:t>
      </w:r>
      <w:r>
        <w:rPr>
          <w:rStyle w:val="FootnoteReference"/>
        </w:rPr>
        <w:footnoteReference w:id="76"/>
      </w:r>
      <w:r>
        <w:t xml:space="preserve"> </w:t>
      </w:r>
      <w:r>
        <w:t xml:space="preserve">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rPr>
          <w:rStyle w:val="FootnoteReference"/>
        </w:rPr>
        <w:footnoteReference w:id="77"/>
      </w:r>
      <w:r>
        <w:t xml:space="preserve"> </w:t>
      </w:r>
      <w:r>
        <w:t xml:space="preserve">– and so must be studied as</w:t>
      </w:r>
      <w:r>
        <w:t xml:space="preserve"> </w:t>
      </w:r>
      <w:r>
        <w:rPr>
          <w:i/>
        </w:rPr>
        <w:t xml:space="preserve">simulations</w:t>
      </w:r>
      <w:r>
        <w:t xml:space="preserve">. Thus simulation has opened our eyes to the new problems with which it can deal. In the humanities we have known for some years that computer-based simulations, in the form of pedagogical games, can play a role in teaching. An old but very good example is</w:t>
      </w:r>
      <w:r>
        <w:t xml:space="preserve"> </w:t>
      </w:r>
      <w:r>
        <w:rPr>
          <w:i/>
        </w:rPr>
        <w:t xml:space="preserve">The Would-Be Gentleman</w:t>
      </w:r>
      <w:r>
        <w:t xml:space="preserve">, a re-creation of economic and social life in seventeenth-century France in which the student-player must realize and put aside his or her modern preconceptions in order to win.</w:t>
      </w:r>
      <w:r>
        <w:rPr>
          <w:rStyle w:val="FootnoteReference"/>
        </w:rPr>
        <w:footnoteReference w:id="78"/>
      </w:r>
      <w:r>
        <w:t xml:space="preserve"> </w:t>
      </w:r>
      <w:r>
        <w:t xml:space="preserve">In other words he or she must</w:t>
      </w:r>
      <w:r>
        <w:t xml:space="preserve"> </w:t>
      </w:r>
      <w:r>
        <w:rPr>
          <w:i/>
        </w:rPr>
        <w:t xml:space="preserve">become</w:t>
      </w:r>
      <w:r>
        <w:t xml:space="preserve"> </w:t>
      </w:r>
      <w:r>
        <w:t xml:space="preserve">a seventeenth-century Frenchman mentally and emotionally. From more recent and far more technically advanced VR applications, such as Richard Beacham’s and Hugh Denard’s reconstruction of the theater of Pompey in Rome,</w:t>
      </w:r>
      <w:r>
        <w:rPr>
          <w:rStyle w:val="FootnoteReference"/>
        </w:rPr>
        <w:footnoteReference w:id="80"/>
      </w:r>
      <w:r>
        <w:t xml:space="preserve"> </w:t>
      </w:r>
      <w:r>
        <w:t xml:space="preserve">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w:t>
      </w:r>
      <w:r>
        <w:t xml:space="preserve"> </w:t>
      </w:r>
      <w:r>
        <w:rPr>
          <w:i/>
        </w:rPr>
        <w:t xml:space="preserve">The Would-Be Gentleman</w:t>
      </w:r>
      <w:r>
        <w:t xml:space="preserve"> </w:t>
      </w:r>
      <w:r>
        <w:t xml:space="preserve">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w:t>
      </w:r>
      <w:r>
        <w:t xml:space="preserve"> </w:t>
      </w:r>
      <w:r>
        <w:rPr>
          <w:i/>
        </w:rPr>
        <w:t xml:space="preserve">self-conscious</w:t>
      </w:r>
      <w:r>
        <w:t xml:space="preserve"> </w:t>
      </w:r>
      <w:r>
        <w:t xml:space="preserve">simulation, and simulation an</w:t>
      </w:r>
      <w:r>
        <w:t xml:space="preserve"> </w:t>
      </w:r>
      <w:r>
        <w:rPr>
          <w:i/>
        </w:rPr>
        <w:t xml:space="preserve">assimilated</w:t>
      </w:r>
      <w:r>
        <w:t xml:space="preserve"> </w:t>
      </w:r>
      <w:r>
        <w:t xml:space="preserve">modeling.</w:t>
      </w:r>
    </w:p>
    <w:p>
      <w:pPr>
        <w:pStyle w:val="Heading1"/>
      </w:pPr>
      <w:bookmarkStart w:id="81" w:name="experiment"/>
      <w:r>
        <w:t xml:space="preserve">Experiment</w:t>
      </w:r>
      <w:bookmarkEnd w:id="81"/>
    </w:p>
    <w:p>
      <w:pPr>
        <w:pStyle w:val="FirstParagraph"/>
      </w:pPr>
      <w:r>
        <w:t xml:space="preserve">In common usage</w:t>
      </w:r>
      <w:r>
        <w:t xml:space="preserve"> </w:t>
      </w:r>
      <w:r>
        <w:t xml:space="preserve">“</w:t>
      </w:r>
      <w:r>
        <w:t xml:space="preserve">experiment</w:t>
      </w:r>
      <w:r>
        <w:t xml:space="preserve">”</w:t>
      </w:r>
      <w:r>
        <w:t xml:space="preserve"> </w:t>
      </w:r>
      <w:r>
        <w:t xml:space="preserve">(L.</w:t>
      </w:r>
      <w:r>
        <w:t xml:space="preserve"> </w:t>
      </w:r>
      <w:r>
        <w:rPr>
          <w:i/>
        </w:rPr>
        <w:t xml:space="preserve">experiri</w:t>
      </w:r>
      <w:r>
        <w:t xml:space="preserve">,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(OED).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 decides if and when the attempt has succeeded or failed, in</w:t>
      </w:r>
      <w:r>
        <w:t xml:space="preserve"> </w:t>
      </w:r>
      <w:r>
        <w:t xml:space="preserve">“</w:t>
      </w:r>
      <w:r>
        <w:t xml:space="preserve">that fascinating moment … when instrumentation, experience, theory, calculation, and sociology meet.</w:t>
      </w:r>
      <w:r>
        <w:t xml:space="preserve">”</w:t>
      </w:r>
      <w:r>
        <w:rPr>
          <w:rStyle w:val="FootnoteReference"/>
        </w:rPr>
        <w:footnoteReference w:id="82"/>
      </w:r>
      <w:r>
        <w:t xml:space="preserve"> </w:t>
      </w:r>
      <w:r>
        <w:t xml:space="preserve">Modeling and experimenting are by nature open-ended; indeed they are often at the time ill-defined, even quite messy.</w:t>
      </w:r>
      <w:r>
        <w:rPr>
          <w:rStyle w:val="FootnoteReference"/>
        </w:rPr>
        <w:footnoteReference w:id="83"/>
      </w:r>
    </w:p>
    <w:p>
      <w:pPr>
        <w:pStyle w:val="BodyText"/>
      </w:pPr>
      <w:r>
        <w:t xml:space="preserve">The semantic overlap of</w:t>
      </w:r>
      <w:r>
        <w:t xml:space="preserve"> </w:t>
      </w:r>
      <w:r>
        <w:t xml:space="preserve">“</w:t>
      </w:r>
      <w:r>
        <w:t xml:space="preserve">modeling</w:t>
      </w:r>
      <w:r>
        <w:t xml:space="preserve">”</w:t>
      </w:r>
      <w:r>
        <w:t xml:space="preserve"> </w:t>
      </w:r>
      <w:r>
        <w:t xml:space="preserve">and</w:t>
      </w:r>
      <w:r>
        <w:t xml:space="preserve"> </w:t>
      </w:r>
      <w:r>
        <w:t xml:space="preserve">“</w:t>
      </w:r>
      <w:r>
        <w:t xml:space="preserve">experiment</w:t>
      </w:r>
      <w:r>
        <w:t xml:space="preserve">”</w:t>
      </w:r>
      <w:r>
        <w:t xml:space="preserve"> </w:t>
      </w:r>
      <w:r>
        <w:t xml:space="preserve">is so close that the two can be quite difficult to separate (Guala 2002). Mary S. Morgan, writing about modeling in economics, has argued that they may be discriminated by the degree to which the former involves hypothesis, the latter reality (2002: 49). But, as she notes, hybrids provide exceptions and thought experiments –</w:t>
      </w:r>
      <w:r>
        <w:t xml:space="preserve"> </w:t>
      </w:r>
      <w:r>
        <w:t xml:space="preserve">“</w:t>
      </w:r>
      <w:r>
        <w:t xml:space="preserve">devices of the imagination used to investigate nature</w:t>
      </w:r>
      <w:r>
        <w:t xml:space="preserve">”</w:t>
      </w:r>
      <w:r>
        <w:rPr>
          <w:rStyle w:val="FootnoteReference"/>
        </w:rPr>
        <w:footnoteReference w:id="84"/>
      </w:r>
      <w:r>
        <w:t xml:space="preserve"> </w:t>
      </w:r>
      <w:r>
        <w:t xml:space="preserve">– a very close analogue to modeling.</w:t>
      </w:r>
      <w:r>
        <w:rPr>
          <w:rStyle w:val="FootnoteReference"/>
        </w:rPr>
        <w:footnoteReference w:id="86"/>
      </w:r>
      <w:r>
        <w:t xml:space="preserve"> </w:t>
      </w:r>
      <w:r>
        <w:t xml:space="preserve">Perhaps the relationship is most clearly stated by saying that in the context of research a model is an experimental device, modeling an experimental technique.</w:t>
      </w:r>
    </w:p>
    <w:p>
      <w:pPr>
        <w:pStyle w:val="BodyText"/>
      </w:pPr>
      <w:r>
        <w:t xml:space="preserve">The point of considering</w:t>
      </w:r>
      <w:r>
        <w:t xml:space="preserve"> </w:t>
      </w:r>
      <w:r>
        <w:t xml:space="preserve">“</w:t>
      </w:r>
      <w:r>
        <w:t xml:space="preserve">experiment</w:t>
      </w:r>
      <w:r>
        <w:t xml:space="preserve">”</w:t>
      </w:r>
      <w:r>
        <w:t xml:space="preserve"> </w:t>
      </w:r>
      <w:r>
        <w:t xml:space="preserve">here is, however, primarily to locate our topic within the context of a particular history of ideas and so to engage with large and important areas of historical and philosophical research. Indeed, as an experimental technique modeling has shared the fate of experiment in the specialist literature, and so also in the popular understanding. Allow me briefly to summarize the background.</w:t>
      </w:r>
      <w:r>
        <w:rPr>
          <w:rStyle w:val="FootnoteReference"/>
        </w:rPr>
        <w:footnoteReference w:id="87"/>
      </w:r>
    </w:p>
    <w:p>
      <w:pPr>
        <w:pStyle w:val="BodyText"/>
      </w:pPr>
      <w:r>
        <w:t xml:space="preserve">By the mid-nineteenth century, understanding of scientific work had begun to polarize into two epistemological conditions, which physicist and philosopher Hans Reichenbach later famously named</w:t>
      </w:r>
      <w:r>
        <w:t xml:space="preserve"> </w:t>
      </w:r>
      <w:r>
        <w:t xml:space="preserve">“</w:t>
      </w:r>
      <w:r>
        <w:t xml:space="preserve">the context of discovery</w:t>
      </w:r>
      <w:r>
        <w:t xml:space="preserve">”</w:t>
      </w:r>
      <w:r>
        <w:t xml:space="preserve"> </w:t>
      </w:r>
      <w:r>
        <w:t xml:space="preserve">and</w:t>
      </w:r>
      <w:r>
        <w:t xml:space="preserve"> </w:t>
      </w:r>
      <w:r>
        <w:t xml:space="preserve">“</w:t>
      </w:r>
      <w:r>
        <w:t xml:space="preserve">the context of justification.</w:t>
      </w:r>
      <w:r>
        <w:t xml:space="preserve">”</w:t>
      </w:r>
      <w:r>
        <w:rPr>
          <w:rStyle w:val="FootnoteReference"/>
        </w:rPr>
        <w:footnoteReference w:id="88"/>
      </w:r>
      <w:r>
        <w:t xml:space="preserve"> </w:t>
      </w:r>
      <w:r>
        <w:t xml:space="preserve">By the early to mid-twentieth century, attention had shifted almost completely to justification and so, as Thomas Nickels has said, discovery was expelled from mainstream epistemology (2000: 87). Experiment, the means of discovery, was in consequence also demoted and theory, the focus of justification, promoted.</w:t>
      </w:r>
      <w:r>
        <w:t xml:space="preserve"> </w:t>
      </w:r>
      <w:r>
        <w:t xml:space="preserve">“</w:t>
      </w:r>
      <w:r>
        <w:t xml:space="preserve">The asymmetric emphasis on theory in the historical literature</w:t>
      </w:r>
      <w:r>
        <w:t xml:space="preserve">”</w:t>
      </w:r>
      <w:r>
        <w:t xml:space="preserve">, Peter Galison explains, meant that attention was confined</w:t>
      </w:r>
      <w:r>
        <w:t xml:space="preserve"> </w:t>
      </w:r>
      <w:r>
        <w:t xml:space="preserve">“</w:t>
      </w:r>
      <w:r>
        <w:t xml:space="preserve">to the invention and testing of theories</w:t>
      </w:r>
      <w:r>
        <w:t xml:space="preserve">”</w:t>
      </w:r>
      <w:r>
        <w:t xml:space="preserve"> </w:t>
      </w:r>
      <w:r>
        <w:t xml:space="preserve">(1987: 8), the actual conduct and intellectual role of experiments being largely overlooked. In philosophy too,</w:t>
      </w:r>
      <w:r>
        <w:t xml:space="preserve"> </w:t>
      </w:r>
      <w:r>
        <w:t xml:space="preserve">“</w:t>
      </w:r>
      <w:r>
        <w:t xml:space="preserve">experiment for theory</w:t>
      </w:r>
      <w:r>
        <w:t xml:space="preserve">”</w:t>
      </w:r>
      <w:r>
        <w:t xml:space="preserve"> </w:t>
      </w:r>
      <w:r>
        <w:t xml:space="preserve">dominated until (in Ian Hacking’s paraphrase of Nietzsche) Thomas Kuhn’s</w:t>
      </w:r>
      <w:r>
        <w:t xml:space="preserve"> </w:t>
      </w:r>
      <w:r>
        <w:rPr>
          <w:i/>
        </w:rPr>
        <w:t xml:space="preserve">The Structure of Scientific Revolutions</w:t>
      </w:r>
      <w:r>
        <w:t xml:space="preserve"> </w:t>
      </w:r>
      <w:r>
        <w:t xml:space="preserve">“</w:t>
      </w:r>
      <w:r>
        <w:t xml:space="preserve">unwrapped the mummy of science</w:t>
      </w:r>
      <w:r>
        <w:t xml:space="preserve">”</w:t>
      </w:r>
      <w:r>
        <w:t xml:space="preserve"> </w:t>
      </w:r>
      <w:r>
        <w:t xml:space="preserve">by historicizing it.</w:t>
      </w:r>
      <w:r>
        <w:rPr>
          <w:rStyle w:val="FootnoteReference"/>
        </w:rPr>
        <w:footnoteReference w:id="89"/>
      </w:r>
      <w:r>
        <w:t xml:space="preserve"> </w:t>
      </w:r>
      <w:r>
        <w:t xml:space="preserve">If – What had actually always been happening in experimental work could then become a proper subject of investigation. Furthermore, Kuhn’s ample demonstration of</w:t>
      </w:r>
      <w:r>
        <w:t xml:space="preserve"> </w:t>
      </w:r>
      <w:r>
        <w:t xml:space="preserve">“</w:t>
      </w:r>
      <w:r>
        <w:t xml:space="preserve">the essential role theory plays in the conduct of experimentation, the interpretation of data, and in the definition of</w:t>
      </w:r>
      <w:r>
        <w:t xml:space="preserve"> </w:t>
      </w:r>
      <w:r>
        <w:t xml:space="preserve">‘</w:t>
      </w:r>
      <w:r>
        <w:t xml:space="preserve">relevant</w:t>
      </w:r>
      <w:r>
        <w:t xml:space="preserve">’</w:t>
      </w:r>
      <w:r>
        <w:t xml:space="preserve"> </w:t>
      </w:r>
      <w:r>
        <w:t xml:space="preserve">phenomena</w:t>
      </w:r>
      <w:r>
        <w:t xml:space="preserve">”</w:t>
      </w:r>
      <w:r>
        <w:t xml:space="preserve"> </w:t>
      </w:r>
      <w:r>
        <w:t xml:space="preserve">depolarized theory and experiment.</w:t>
      </w:r>
      <w:r>
        <w:rPr>
          <w:rStyle w:val="FootnoteReference"/>
        </w:rPr>
        <w:footnoteReference w:id="90"/>
      </w:r>
      <w:r>
        <w:t xml:space="preserve"> </w:t>
      </w:r>
      <w:r>
        <w:t xml:space="preserve">In other words, from an entirely subordinate and observational role, experiment emerged alongside theory as an interdependent partner.</w:t>
      </w:r>
    </w:p>
    <w:p>
      <w:pPr>
        <w:pStyle w:val="BodyText"/>
      </w:pPr>
      <w:r>
        <w:t xml:space="preserve">Subsequently, through the work of Hacking, Feyerabend, Galison, and several others, the fiction of a unitary</w:t>
      </w:r>
      <w:r>
        <w:t xml:space="preserve"> </w:t>
      </w:r>
      <w:r>
        <w:t xml:space="preserve">“</w:t>
      </w:r>
      <w:r>
        <w:t xml:space="preserve">scientific method</w:t>
      </w:r>
      <w:r>
        <w:t xml:space="preserve">”</w:t>
      </w:r>
      <w:r>
        <w:t xml:space="preserve">, in which theory cleanly defines the role of experiment, has been dispelled. As Hacking says, calling for a</w:t>
      </w:r>
      <w:r>
        <w:t xml:space="preserve"> </w:t>
      </w:r>
      <w:r>
        <w:t xml:space="preserve">“</w:t>
      </w:r>
      <w:r>
        <w:t xml:space="preserve">Back-to-Bacon</w:t>
      </w:r>
      <w:r>
        <w:t xml:space="preserve">”</w:t>
      </w:r>
      <w:r>
        <w:t xml:space="preserve"> </w:t>
      </w:r>
      <w:r>
        <w:t xml:space="preserve">movement,</w:t>
      </w:r>
      <w:r>
        <w:t xml:space="preserve"> </w:t>
      </w:r>
      <w:r>
        <w:t xml:space="preserve">“</w:t>
      </w:r>
      <w:r>
        <w:t xml:space="preserve">Experiment has a life of its own</w:t>
      </w:r>
      <w:r>
        <w:t xml:space="preserve">”</w:t>
      </w:r>
      <w:r>
        <w:t xml:space="preserve"> </w:t>
      </w:r>
      <w:r>
        <w:t xml:space="preserve">(1983: 150), sometimes preceded by theory, sometimes not. But the consequent liberation of experiment from the debilitating pretense of grubby handmaiden to</w:t>
      </w:r>
      <w:r>
        <w:t xml:space="preserve"> </w:t>
      </w:r>
      <w:r>
        <w:t xml:space="preserve">“</w:t>
      </w:r>
      <w:r>
        <w:t xml:space="preserve">pure</w:t>
      </w:r>
      <w:r>
        <w:t xml:space="preserve">”</w:t>
      </w:r>
      <w:r>
        <w:t xml:space="preserve"> </w:t>
      </w:r>
      <w:r>
        <w:t xml:space="preserve">theory has at the same time directed attention back to the very hard, old problem of discovery: how does this happen?</w:t>
      </w:r>
    </w:p>
    <w:p>
      <w:pPr>
        <w:pStyle w:val="Heading1"/>
      </w:pPr>
      <w:bookmarkStart w:id="91" w:name="conclusion"/>
      <w:r>
        <w:t xml:space="preserve">Conclusion</w:t>
      </w:r>
      <w:bookmarkEnd w:id="91"/>
    </w:p>
    <w:p>
      <w:pPr>
        <w:pStyle w:val="FirstParagraph"/>
      </w:pPr>
      <w:r>
        <w:t xml:space="preserve">Why do we need an answer to this question? Because, I have argued, ours is an experimental practice, using equipment and instantiating definite methods, for the skilled application of which we need to know what we are doing as well as it can be known. I have labeled the core of this practice</w:t>
      </w:r>
      <w:r>
        <w:t xml:space="preserve"> </w:t>
      </w:r>
      <w:r>
        <w:t xml:space="preserve">“</w:t>
      </w:r>
      <w:r>
        <w:t xml:space="preserve">modeling</w:t>
      </w:r>
      <w:r>
        <w:t xml:space="preserve">”</w:t>
      </w:r>
      <w:r>
        <w:t xml:space="preserve">, and suggested how, properly understood, modeling points the way to a computing that is of as well as in the humanities: a continual process of coming to know by manipulating representations. We are, I have suggested, in good epistemological company. But this only sharpens the epistemological question. The signified of modeling vanishes into the murk because we lack a disciplined way of talking about it. Methods are explicit, actions definite, results forthcoming, yet we have been unable fully and persuasively to articulate the intellectual case for the means by which these results are produced. Hence the just-a-tool status of computing, the not-a-discipline slur, the tradesman’s entrance or other back door into the academy. No one doubts the usefulness of the practice. Rather it’s the</w:t>
      </w:r>
      <w:r>
        <w:t xml:space="preserve"> </w:t>
      </w:r>
      <w:r>
        <w:rPr>
          <w:i/>
        </w:rPr>
        <w:t xml:space="preserve">intellection of praxis</w:t>
      </w:r>
      <w:r>
        <w:t xml:space="preserve"> </w:t>
      </w:r>
      <w:r>
        <w:t xml:space="preserve">to which the next stage in the argument I have begun here must turn.</w:t>
      </w:r>
    </w:p>
    <w:p>
      <w:pPr>
        <w:pStyle w:val="Heading1"/>
      </w:pPr>
      <w:bookmarkStart w:id="92" w:name="note"/>
      <w:r>
        <w:t xml:space="preserve">Note</w:t>
      </w:r>
      <w:bookmarkEnd w:id="92"/>
    </w:p>
    <w:p>
      <w:pPr>
        <w:pStyle w:val="Heading1"/>
      </w:pPr>
      <w:bookmarkStart w:id="93" w:name="works-cited"/>
      <w:r>
        <w:t xml:space="preserve">Works Cited</w:t>
      </w:r>
      <w:bookmarkEnd w:id="93"/>
    </w:p>
    <w:bookmarkStart w:id="125" w:name="refs"/>
    <w:bookmarkStart w:id="94" w:name="ref-beacham_pompey_2003"/>
    <w:p>
      <w:pPr>
        <w:pStyle w:val="Bibliography"/>
      </w:pPr>
      <w:r>
        <w:t xml:space="preserve">Beacham, Richard, and Hugh Denard. “The Pompey Project: Digital Research and Virtual Reconstruction of Rome’s First Theatre.”</w:t>
      </w:r>
      <w:r>
        <w:t xml:space="preserve"> </w:t>
      </w:r>
      <w:r>
        <w:rPr>
          <w:i/>
        </w:rPr>
        <w:t xml:space="preserve">Comphuma Computers and the Humanities</w:t>
      </w:r>
      <w:r>
        <w:t xml:space="preserve"> </w:t>
      </w:r>
      <w:r>
        <w:t xml:space="preserve">37, no. 1 (2003): 129–39.</w:t>
      </w:r>
    </w:p>
    <w:bookmarkEnd w:id="94"/>
    <w:bookmarkStart w:id="95" w:name="ref-brown_thought_2019"/>
    <w:p>
      <w:pPr>
        <w:pStyle w:val="Bibliography"/>
      </w:pPr>
      <w:r>
        <w:t xml:space="preserve">Brown, James Robert, and Yiftach Fehige. “Thought Experiments.” In</w:t>
      </w:r>
      <w:r>
        <w:t xml:space="preserve"> </w:t>
      </w:r>
      <w:r>
        <w:rPr>
          <w:i/>
        </w:rPr>
        <w:t xml:space="preserve">The Stanford Encyclopedia of Philosophy</w:t>
      </w:r>
      <w:r>
        <w:t xml:space="preserve">, edited by Edward N. Zalta, Winter 2019. Metaphysics Research Lab, Stanford University, 2019.</w:t>
      </w:r>
      <w:r>
        <w:t xml:space="preserve"> </w:t>
      </w:r>
      <w:hyperlink r:id="rId85">
        <w:r>
          <w:rPr>
            <w:rStyle w:val="Hyperlink"/>
          </w:rPr>
          <w:t xml:space="preserve">https://plato.stanford.edu/archives/win2019/entrieshought-experiment/</w:t>
        </w:r>
      </w:hyperlink>
      <w:r>
        <w:t xml:space="preserve">.</w:t>
      </w:r>
    </w:p>
    <w:bookmarkEnd w:id="95"/>
    <w:bookmarkStart w:id="96" w:name="ref-burch_computer_1999"/>
    <w:p>
      <w:pPr>
        <w:pStyle w:val="Bibliography"/>
      </w:pPr>
      <w:r>
        <w:t xml:space="preserve">Burch, Thomas K, University of Western Ontario, and Population Studies Centre.</w:t>
      </w:r>
      <w:r>
        <w:t xml:space="preserve"> </w:t>
      </w:r>
      <w:r>
        <w:rPr>
          <w:i/>
        </w:rPr>
        <w:t xml:space="preserve">Computer Modelling of Theory: Explanation for the 21st Century</w:t>
      </w:r>
      <w:r>
        <w:t xml:space="preserve">. London, Canada: Population Studies Centre, University of Western Ontario, 1999.</w:t>
      </w:r>
    </w:p>
    <w:bookmarkEnd w:id="96"/>
    <w:bookmarkStart w:id="97" w:name="ref-cartwright_how_1984"/>
    <w:p>
      <w:pPr>
        <w:pStyle w:val="Bibliography"/>
      </w:pPr>
      <w:r>
        <w:t xml:space="preserve">Cartwright, Nancy.</w:t>
      </w:r>
      <w:r>
        <w:t xml:space="preserve"> </w:t>
      </w:r>
      <w:r>
        <w:rPr>
          <w:i/>
        </w:rPr>
        <w:t xml:space="preserve">How the Laws of Physics Lie</w:t>
      </w:r>
      <w:r>
        <w:t xml:space="preserve">. Oxford; New York: Clarendon Press : Oxford University Press, 1984.</w:t>
      </w:r>
    </w:p>
    <w:bookmarkEnd w:id="97"/>
    <w:bookmarkStart w:id="98" w:name="ref-clarke_models_2015"/>
    <w:p>
      <w:pPr>
        <w:pStyle w:val="Bibliography"/>
      </w:pPr>
      <w:r>
        <w:t xml:space="preserve">Clarke, David L.</w:t>
      </w:r>
      <w:r>
        <w:t xml:space="preserve"> </w:t>
      </w:r>
      <w:r>
        <w:rPr>
          <w:i/>
        </w:rPr>
        <w:t xml:space="preserve">Models in Archaeology</w:t>
      </w:r>
      <w:r>
        <w:t xml:space="preserve">. London; New York: Routledge, Taylor &amp; Francis Group, 2015.</w:t>
      </w:r>
      <w:r>
        <w:t xml:space="preserve"> </w:t>
      </w:r>
      <w:hyperlink r:id="rId29">
        <w:r>
          <w:rPr>
            <w:rStyle w:val="Hyperlink"/>
          </w:rPr>
          <w:t xml:space="preserve">http://public.eblib.com/choice/publicfullrecord.aspx?p=1826744</w:t>
        </w:r>
      </w:hyperlink>
      <w:r>
        <w:t xml:space="preserve">.</w:t>
      </w:r>
    </w:p>
    <w:bookmarkEnd w:id="98"/>
    <w:bookmarkStart w:id="99" w:name="ref-fetzer_role_1999"/>
    <w:p>
      <w:pPr>
        <w:pStyle w:val="Bibliography"/>
      </w:pPr>
      <w:r>
        <w:t xml:space="preserve">Fetzer, James H. “The Role of Models in Computer Science.”</w:t>
      </w:r>
      <w:r>
        <w:t xml:space="preserve"> </w:t>
      </w:r>
      <w:r>
        <w:rPr>
          <w:i/>
        </w:rPr>
        <w:t xml:space="preserve">The Monist</w:t>
      </w:r>
      <w:r>
        <w:t xml:space="preserve"> </w:t>
      </w:r>
      <w:r>
        <w:t xml:space="preserve">82, no. 1 (1999): 20–36.</w:t>
      </w:r>
      <w:r>
        <w:t xml:space="preserve"> </w:t>
      </w:r>
      <w:hyperlink r:id="rId42">
        <w:r>
          <w:rPr>
            <w:rStyle w:val="Hyperlink"/>
          </w:rPr>
          <w:t xml:space="preserve">https://www.jstor.org/stable/27903621</w:t>
        </w:r>
      </w:hyperlink>
      <w:r>
        <w:t xml:space="preserve">.</w:t>
      </w:r>
    </w:p>
    <w:bookmarkEnd w:id="99"/>
    <w:bookmarkStart w:id="100" w:name="ref-galison_how_1987"/>
    <w:p>
      <w:pPr>
        <w:pStyle w:val="Bibliography"/>
      </w:pPr>
      <w:r>
        <w:t xml:space="preserve">Galison, Peter.</w:t>
      </w:r>
      <w:r>
        <w:t xml:space="preserve"> </w:t>
      </w:r>
      <w:r>
        <w:rPr>
          <w:i/>
        </w:rPr>
        <w:t xml:space="preserve">How Experiments End</w:t>
      </w:r>
      <w:r>
        <w:t xml:space="preserve">. Chicago: University of Chicago Press, 1987.</w:t>
      </w:r>
    </w:p>
    <w:bookmarkEnd w:id="100"/>
    <w:bookmarkStart w:id="101" w:name="ref-geertz_interpretation_2017"/>
    <w:p>
      <w:pPr>
        <w:pStyle w:val="Bibliography"/>
      </w:pPr>
      <w:r>
        <w:t xml:space="preserve">Geertz, Clifford.</w:t>
      </w:r>
      <w:r>
        <w:t xml:space="preserve"> </w:t>
      </w:r>
      <w:r>
        <w:rPr>
          <w:i/>
        </w:rPr>
        <w:t xml:space="preserve">The Interpretation of Cultures</w:t>
      </w:r>
      <w:r>
        <w:t xml:space="preserve">, 2017.</w:t>
      </w:r>
    </w:p>
    <w:bookmarkEnd w:id="101"/>
    <w:bookmarkStart w:id="102" w:name="ref-gentner_analogy_2002"/>
    <w:p>
      <w:pPr>
        <w:pStyle w:val="Bibliography"/>
      </w:pPr>
      <w:r>
        <w:t xml:space="preserve">Gentner, Dedre. “Analogy in Scientific Discovery: The Case of Johannes Kepler,” 2002.</w:t>
      </w:r>
    </w:p>
    <w:bookmarkEnd w:id="102"/>
    <w:bookmarkStart w:id="103" w:name="ref-gooding_david_c_experiment_2017"/>
    <w:p>
      <w:pPr>
        <w:pStyle w:val="Bibliography"/>
      </w:pPr>
      <w:r>
        <w:t xml:space="preserve">Gooding David C. “Experiment.”</w:t>
      </w:r>
      <w:r>
        <w:t xml:space="preserve"> </w:t>
      </w:r>
      <w:r>
        <w:rPr>
          <w:i/>
        </w:rPr>
        <w:t xml:space="preserve">A Companion to the Philosophy of Science</w:t>
      </w:r>
      <w:r>
        <w:t xml:space="preserve">, Wiley Online Books, September 2017. doi:</w:t>
      </w:r>
      <w:hyperlink r:id="rId28">
        <w:r>
          <w:rPr>
            <w:rStyle w:val="Hyperlink"/>
          </w:rPr>
          <w:t xml:space="preserve">10.1002/9781405164481.ch18</w:t>
        </w:r>
      </w:hyperlink>
      <w:r>
        <w:t xml:space="preserve">.</w:t>
      </w:r>
    </w:p>
    <w:bookmarkEnd w:id="103"/>
    <w:bookmarkStart w:id="104" w:name="ref-grenville_idea_2017"/>
    <w:p>
      <w:pPr>
        <w:pStyle w:val="Bibliography"/>
      </w:pPr>
      <w:r>
        <w:t xml:space="preserve">Grenville, Kate, and Evie Wyld.</w:t>
      </w:r>
      <w:r>
        <w:t xml:space="preserve"> </w:t>
      </w:r>
      <w:r>
        <w:rPr>
          <w:i/>
        </w:rPr>
        <w:t xml:space="preserve">The Idea of Perfection</w:t>
      </w:r>
      <w:r>
        <w:t xml:space="preserve">, 2017.</w:t>
      </w:r>
    </w:p>
    <w:bookmarkEnd w:id="104"/>
    <w:bookmarkStart w:id="105" w:name="ref-hacking_representing_1983"/>
    <w:p>
      <w:pPr>
        <w:pStyle w:val="Bibliography"/>
      </w:pPr>
      <w:r>
        <w:t xml:space="preserve">Hacking, Jan.</w:t>
      </w:r>
      <w:r>
        <w:t xml:space="preserve"> </w:t>
      </w:r>
      <w:r>
        <w:rPr>
          <w:i/>
        </w:rPr>
        <w:t xml:space="preserve">Representing and Intervening: Introductory Topics in the Philosophy of Natural Science</w:t>
      </w:r>
      <w:r>
        <w:t xml:space="preserve">. Cambridge: Cambridge University Press, 1983.</w:t>
      </w:r>
    </w:p>
    <w:bookmarkEnd w:id="105"/>
    <w:bookmarkStart w:id="106" w:name="ref-hoffman_monster_1995"/>
    <w:p>
      <w:pPr>
        <w:pStyle w:val="Bibliography"/>
      </w:pPr>
      <w:r>
        <w:t xml:space="preserve">Hoffman, Robert R. “Monster Analogies.”</w:t>
      </w:r>
      <w:r>
        <w:t xml:space="preserve"> </w:t>
      </w:r>
      <w:r>
        <w:rPr>
          <w:i/>
        </w:rPr>
        <w:t xml:space="preserve">AI Magazine</w:t>
      </w:r>
      <w:r>
        <w:t xml:space="preserve"> </w:t>
      </w:r>
      <w:r>
        <w:t xml:space="preserve">16, no. 3 (September 1995): 11–11. doi:</w:t>
      </w:r>
      <w:hyperlink r:id="rId52">
        <w:r>
          <w:rPr>
            <w:rStyle w:val="Hyperlink"/>
          </w:rPr>
          <w:t xml:space="preserve">10.1609/aimag.v16i3.1145</w:t>
        </w:r>
      </w:hyperlink>
      <w:r>
        <w:t xml:space="preserve">.</w:t>
      </w:r>
    </w:p>
    <w:bookmarkEnd w:id="106"/>
    <w:bookmarkStart w:id="107" w:name="ref-jones_models_2008"/>
    <w:p>
      <w:pPr>
        <w:pStyle w:val="Bibliography"/>
      </w:pPr>
      <w:r>
        <w:t xml:space="preserve">Jones, Daniela M. Bailer. “Models, Metaphors and Analogies.” In</w:t>
      </w:r>
      <w:r>
        <w:t xml:space="preserve"> </w:t>
      </w:r>
      <w:r>
        <w:rPr>
          <w:i/>
        </w:rPr>
        <w:t xml:space="preserve">The Blackwell Guide to the Philosophy of Science</w:t>
      </w:r>
      <w:r>
        <w:t xml:space="preserve">, 108–27. John Wiley &amp; Sons, Ltd, 2008. doi:</w:t>
      </w:r>
      <w:hyperlink r:id="rId27">
        <w:r>
          <w:rPr>
            <w:rStyle w:val="Hyperlink"/>
          </w:rPr>
          <w:t xml:space="preserve">10.1002/9780470756614.ch6</w:t>
        </w:r>
      </w:hyperlink>
      <w:r>
        <w:t xml:space="preserve">.</w:t>
      </w:r>
    </w:p>
    <w:bookmarkEnd w:id="107"/>
    <w:bookmarkStart w:id="108" w:name="ref-kirschenbaum_editors_2002"/>
    <w:p>
      <w:pPr>
        <w:pStyle w:val="Bibliography"/>
      </w:pPr>
      <w:r>
        <w:t xml:space="preserve">Kirschenbaum, Matthew G. “Editor’s Introduction: Image-Based Humanities Computing.”</w:t>
      </w:r>
      <w:r>
        <w:t xml:space="preserve"> </w:t>
      </w:r>
      <w:r>
        <w:rPr>
          <w:i/>
        </w:rPr>
        <w:t xml:space="preserve">Computers and the Humanities</w:t>
      </w:r>
      <w:r>
        <w:t xml:space="preserve"> </w:t>
      </w:r>
      <w:r>
        <w:t xml:space="preserve">36, no. 1 (2002): 3–6.</w:t>
      </w:r>
      <w:r>
        <w:t xml:space="preserve"> </w:t>
      </w:r>
      <w:hyperlink r:id="rId70">
        <w:r>
          <w:rPr>
            <w:rStyle w:val="Hyperlink"/>
          </w:rPr>
          <w:t xml:space="preserve">https://www.jstor.org/stable/30204693</w:t>
        </w:r>
      </w:hyperlink>
      <w:r>
        <w:t xml:space="preserve">.</w:t>
      </w:r>
    </w:p>
    <w:bookmarkEnd w:id="108"/>
    <w:bookmarkStart w:id="109" w:name="ref-leff_models_2013"/>
    <w:p>
      <w:pPr>
        <w:pStyle w:val="Bibliography"/>
      </w:pPr>
      <w:r>
        <w:t xml:space="preserve">Leff, Gordon. “Models Inherent in History,” 2013, 148–63.</w:t>
      </w:r>
    </w:p>
    <w:bookmarkEnd w:id="109"/>
    <w:bookmarkStart w:id="110" w:name="ref-lloyd_models_2016"/>
    <w:p>
      <w:pPr>
        <w:pStyle w:val="Bibliography"/>
      </w:pPr>
      <w:r>
        <w:t xml:space="preserve">Lloyd, Elisabeth A. “Models.” In</w:t>
      </w:r>
      <w:r>
        <w:t xml:space="preserve"> </w:t>
      </w:r>
      <w:r>
        <w:rPr>
          <w:i/>
        </w:rPr>
        <w:t xml:space="preserve">Routledge Encyclopedia of Philosophy</w:t>
      </w:r>
      <w:r>
        <w:t xml:space="preserve">, 1st ed. London: Routledge, 2016. doi:</w:t>
      </w:r>
      <w:hyperlink r:id="rId32">
        <w:r>
          <w:rPr>
            <w:rStyle w:val="Hyperlink"/>
          </w:rPr>
          <w:t xml:space="preserve">10.4324/9780415249126-Q072-1</w:t>
        </w:r>
      </w:hyperlink>
      <w:r>
        <w:t xml:space="preserve">.</w:t>
      </w:r>
    </w:p>
    <w:bookmarkEnd w:id="110"/>
    <w:bookmarkStart w:id="111" w:name="ref-lougee_would-be_1986"/>
    <w:p>
      <w:pPr>
        <w:pStyle w:val="Bibliography"/>
      </w:pPr>
      <w:r>
        <w:t xml:space="preserve">Lougee, Carolyn C. “The Would-Be Gentleman: A Historical Simulation of the France of Louis XIV.”</w:t>
      </w:r>
      <w:r>
        <w:t xml:space="preserve"> </w:t>
      </w:r>
      <w:r>
        <w:rPr>
          <w:i/>
        </w:rPr>
        <w:t xml:space="preserve">ACM SIGCUE Outlook</w:t>
      </w:r>
      <w:r>
        <w:t xml:space="preserve"> </w:t>
      </w:r>
      <w:r>
        <w:t xml:space="preserve">19, nos. 1-2 (April 1986): 15–19. doi:</w:t>
      </w:r>
      <w:hyperlink r:id="rId79">
        <w:r>
          <w:rPr>
            <w:rStyle w:val="Hyperlink"/>
          </w:rPr>
          <w:t xml:space="preserve">10.1145/951656.951657</w:t>
        </w:r>
      </w:hyperlink>
      <w:r>
        <w:t xml:space="preserve">.</w:t>
      </w:r>
    </w:p>
    <w:bookmarkEnd w:id="111"/>
    <w:bookmarkStart w:id="112" w:name="ref-minsky_matter_1965"/>
    <w:p>
      <w:pPr>
        <w:pStyle w:val="Bibliography"/>
      </w:pPr>
      <w:r>
        <w:t xml:space="preserve">Minsky, Marvin. “Matter, Mind and Models,” March 1965.</w:t>
      </w:r>
      <w:r>
        <w:t xml:space="preserve"> </w:t>
      </w:r>
      <w:hyperlink r:id="rId39">
        <w:r>
          <w:rPr>
            <w:rStyle w:val="Hyperlink"/>
          </w:rPr>
          <w:t xml:space="preserve">http://dspace.mit.edu/handle/1721.1/6119</w:t>
        </w:r>
      </w:hyperlink>
      <w:r>
        <w:t xml:space="preserve">.</w:t>
      </w:r>
    </w:p>
    <w:bookmarkEnd w:id="112"/>
    <w:bookmarkStart w:id="113" w:name="ref-morgan_models_1999"/>
    <w:p>
      <w:pPr>
        <w:pStyle w:val="Bibliography"/>
      </w:pPr>
      <w:r>
        <w:t xml:space="preserve">Morgan, Mary S., and Margaret Morrison.</w:t>
      </w:r>
      <w:r>
        <w:t xml:space="preserve"> </w:t>
      </w:r>
      <w:r>
        <w:rPr>
          <w:i/>
        </w:rPr>
        <w:t xml:space="preserve">Models as Mediators</w:t>
      </w:r>
      <w:r>
        <w:t xml:space="preserve">. New York: Cambridge University Press, 1999.</w:t>
      </w:r>
    </w:p>
    <w:bookmarkEnd w:id="113"/>
    <w:bookmarkStart w:id="114" w:name="ref-morrison_experiment_2016"/>
    <w:p>
      <w:pPr>
        <w:pStyle w:val="Bibliography"/>
      </w:pPr>
      <w:r>
        <w:t xml:space="preserve">Morrison, Margaret C. “Experiment.” In</w:t>
      </w:r>
      <w:r>
        <w:t xml:space="preserve"> </w:t>
      </w:r>
      <w:r>
        <w:rPr>
          <w:i/>
        </w:rPr>
        <w:t xml:space="preserve">Routledge Encyclopedia of Philosophy</w:t>
      </w:r>
      <w:r>
        <w:t xml:space="preserve">, 1st ed. London: Routledge, 2016. doi:</w:t>
      </w:r>
      <w:hyperlink r:id="rId31">
        <w:r>
          <w:rPr>
            <w:rStyle w:val="Hyperlink"/>
          </w:rPr>
          <w:t xml:space="preserve">10.4324/9780415249126-Q033-1</w:t>
        </w:r>
      </w:hyperlink>
      <w:r>
        <w:t xml:space="preserve">.</w:t>
      </w:r>
    </w:p>
    <w:bookmarkEnd w:id="114"/>
    <w:bookmarkStart w:id="115" w:name="ref-netz_shaping_1999"/>
    <w:p>
      <w:pPr>
        <w:pStyle w:val="Bibliography"/>
      </w:pPr>
      <w:r>
        <w:t xml:space="preserve">Netz, Reviel.</w:t>
      </w:r>
      <w:r>
        <w:t xml:space="preserve"> </w:t>
      </w:r>
      <w:r>
        <w:rPr>
          <w:i/>
        </w:rPr>
        <w:t xml:space="preserve">The Shaping of Deduction in Greek Mathematics a Study in Cognitive History</w:t>
      </w:r>
      <w:r>
        <w:t xml:space="preserve">. Cambridge: Cambridge UP, 1999.</w:t>
      </w:r>
    </w:p>
    <w:bookmarkEnd w:id="115"/>
    <w:bookmarkStart w:id="116" w:name="ref-shanin_rules_1972"/>
    <w:p>
      <w:pPr>
        <w:pStyle w:val="Bibliography"/>
      </w:pPr>
      <w:r>
        <w:t xml:space="preserve">Shanin, Teodor.</w:t>
      </w:r>
      <w:r>
        <w:t xml:space="preserve"> </w:t>
      </w:r>
      <w:r>
        <w:rPr>
          <w:i/>
        </w:rPr>
        <w:t xml:space="preserve">The Rules of the Game: Cross-Disciplinary Essays on Models in Scholarly Thought</w:t>
      </w:r>
      <w:r>
        <w:t xml:space="preserve">. London: Tavistock Publications, 1972.</w:t>
      </w:r>
    </w:p>
    <w:bookmarkEnd w:id="116"/>
    <w:bookmarkStart w:id="117" w:name="ref-simon_scences_1969"/>
    <w:p>
      <w:pPr>
        <w:pStyle w:val="Bibliography"/>
      </w:pPr>
      <w:r>
        <w:t xml:space="preserve">Simon, Herbert A.</w:t>
      </w:r>
      <w:r>
        <w:t xml:space="preserve"> </w:t>
      </w:r>
      <w:r>
        <w:rPr>
          <w:i/>
        </w:rPr>
        <w:t xml:space="preserve">The Scences of the Artificial</w:t>
      </w:r>
      <w:r>
        <w:t xml:space="preserve">. Cambridge (Mass.): The M.I.T. press, 1969.</w:t>
      </w:r>
    </w:p>
    <w:bookmarkEnd w:id="117"/>
    <w:bookmarkStart w:id="118" w:name="ref-smith_limits_1985"/>
    <w:p>
      <w:pPr>
        <w:pStyle w:val="Bibliography"/>
      </w:pPr>
      <w:r>
        <w:t xml:space="preserve">Smith, Brian Cantwell.</w:t>
      </w:r>
      <w:r>
        <w:t xml:space="preserve"> </w:t>
      </w:r>
      <w:r>
        <w:rPr>
          <w:i/>
        </w:rPr>
        <w:t xml:space="preserve">Limits of Correctness in Computers</w:t>
      </w:r>
      <w:r>
        <w:t xml:space="preserve">. Stanford, CA: Stanford University, CSLI, 1985.</w:t>
      </w:r>
    </w:p>
    <w:bookmarkEnd w:id="118"/>
    <w:bookmarkStart w:id="119" w:name="ref-sowa_knowledge_2000"/>
    <w:p>
      <w:pPr>
        <w:pStyle w:val="Bibliography"/>
      </w:pPr>
      <w:r>
        <w:t xml:space="preserve">Sowa, John F.</w:t>
      </w:r>
      <w:r>
        <w:t xml:space="preserve"> </w:t>
      </w:r>
      <w:r>
        <w:rPr>
          <w:i/>
        </w:rPr>
        <w:t xml:space="preserve">Knowledge Representation: Logical, Philosophical, and Computational Foundations</w:t>
      </w:r>
      <w:r>
        <w:t xml:space="preserve">. Pacific Grove: Brooks/Cole, 2000.</w:t>
      </w:r>
    </w:p>
    <w:bookmarkEnd w:id="119"/>
    <w:bookmarkStart w:id="120" w:name="ref-toulmin_philosophy_1953"/>
    <w:p>
      <w:pPr>
        <w:pStyle w:val="Bibliography"/>
      </w:pPr>
      <w:r>
        <w:t xml:space="preserve">Toulmin, Stephen.</w:t>
      </w:r>
      <w:r>
        <w:t xml:space="preserve"> </w:t>
      </w:r>
      <w:r>
        <w:rPr>
          <w:i/>
        </w:rPr>
        <w:t xml:space="preserve">The Philosophy of Science</w:t>
      </w:r>
      <w:r>
        <w:t xml:space="preserve">. London: Hutchinson’s University Library, 1953.</w:t>
      </w:r>
    </w:p>
    <w:bookmarkEnd w:id="120"/>
    <w:bookmarkStart w:id="121" w:name="ref-toulmin_uses_1958"/>
    <w:p>
      <w:pPr>
        <w:pStyle w:val="Bibliography"/>
      </w:pPr>
      <w:r>
        <w:t xml:space="preserve">———.</w:t>
      </w:r>
      <w:r>
        <w:t xml:space="preserve"> </w:t>
      </w:r>
      <w:r>
        <w:rPr>
          <w:i/>
        </w:rPr>
        <w:t xml:space="preserve">The Uses of Argument.</w:t>
      </w:r>
      <w:r>
        <w:t xml:space="preserve"> </w:t>
      </w:r>
      <w:r>
        <w:t xml:space="preserve">Cambridge [England: University Press, 1958.</w:t>
      </w:r>
    </w:p>
    <w:bookmarkEnd w:id="121"/>
    <w:bookmarkStart w:id="122" w:name="ref-wimsatt_false_1987"/>
    <w:p>
      <w:pPr>
        <w:pStyle w:val="Bibliography"/>
      </w:pPr>
      <w:r>
        <w:t xml:space="preserve">Wimsatt, W. “False Models as a Means to Truer Theories,” 1987.</w:t>
      </w:r>
      <w:r>
        <w:t xml:space="preserve"> </w:t>
      </w:r>
      <w:hyperlink r:id="rId30">
        <w:r>
          <w:rPr>
            <w:rStyle w:val="Hyperlink"/>
          </w:rPr>
          <w:t xml:space="preserve">/paper/False-Models-as-a-Means-to-Truer-Theories-Wimsatt/df5a743ccb01c615e0663694b2f8dff6789df3b4</w:t>
        </w:r>
      </w:hyperlink>
      <w:r>
        <w:t xml:space="preserve">.</w:t>
      </w:r>
    </w:p>
    <w:bookmarkEnd w:id="122"/>
    <w:bookmarkStart w:id="123" w:name="ref-winograd_thinking_1987"/>
    <w:p>
      <w:pPr>
        <w:pStyle w:val="Bibliography"/>
      </w:pPr>
      <w:r>
        <w:t xml:space="preserve">Winograd, Terry.</w:t>
      </w:r>
      <w:r>
        <w:t xml:space="preserve"> </w:t>
      </w:r>
      <w:r>
        <w:rPr>
          <w:i/>
        </w:rPr>
        <w:t xml:space="preserve">Thinking Machines: Can There Be? Are We?</w:t>
      </w:r>
      <w:r>
        <w:t xml:space="preserve"> </w:t>
      </w:r>
      <w:r>
        <w:t xml:space="preserve">Stanford, Calif.: Department of Computer Science, Stanford University, 1987.</w:t>
      </w:r>
    </w:p>
    <w:bookmarkEnd w:id="123"/>
    <w:bookmarkStart w:id="124" w:name="ref-ziman_real_2000"/>
    <w:p>
      <w:pPr>
        <w:pStyle w:val="Bibliography"/>
      </w:pPr>
      <w:r>
        <w:t xml:space="preserve">Ziman, John.</w:t>
      </w:r>
      <w:r>
        <w:t xml:space="preserve"> </w:t>
      </w:r>
      <w:r>
        <w:rPr>
          <w:i/>
        </w:rPr>
        <w:t xml:space="preserve">Real Science: What It Is, and What It Means</w:t>
      </w:r>
      <w:r>
        <w:t xml:space="preserve">. Cambridge, UK: Cambridge University Press, 2000.</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Kate Grenville and Evie Wyld,</w:t>
      </w:r>
      <w:r>
        <w:t xml:space="preserve"> </w:t>
      </w:r>
      <w:r>
        <w:rPr>
          <w:i/>
        </w:rPr>
        <w:t xml:space="preserve">The Idea of Perfection</w:t>
      </w:r>
      <w:r>
        <w:t xml:space="preserve">, 2017, 62–63.</w:t>
      </w:r>
    </w:p>
  </w:footnote>
  <w:footnote w:id="26">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w:t>
      </w:r>
      <w:r>
        <w:t xml:space="preserve"> </w:t>
      </w:r>
      <w:r>
        <w:t xml:space="preserve">Daniela M. Bailer Jones, “Models, Metaphors and Analogies,” in</w:t>
      </w:r>
      <w:r>
        <w:t xml:space="preserve"> </w:t>
      </w:r>
      <w:r>
        <w:rPr>
          <w:i/>
        </w:rPr>
        <w:t xml:space="preserve">The Blackwell Guide to the Philosophy of Science</w:t>
      </w:r>
      <w:r>
        <w:t xml:space="preserve"> </w:t>
      </w:r>
      <w:r>
        <w:t xml:space="preserve">(John Wiley &amp; Sons, Ltd, 2008), 108–27, doi:</w:t>
      </w:r>
      <w:hyperlink r:id="rId27">
        <w:r>
          <w:rPr>
            <w:rStyle w:val="Hyperlink"/>
          </w:rPr>
          <w:t xml:space="preserve">10.1002/9780470756614.ch6</w:t>
        </w:r>
      </w:hyperlink>
      <w:r>
        <w:t xml:space="preserve">.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w:t>
      </w:r>
      <w:r>
        <w:t xml:space="preserve"> </w:t>
      </w:r>
      <w:r>
        <w:t xml:space="preserve">Jan Hacking,</w:t>
      </w:r>
      <w:r>
        <w:t xml:space="preserve"> </w:t>
      </w:r>
      <w:r>
        <w:rPr>
          <w:i/>
        </w:rPr>
        <w:t xml:space="preserve">Representing and Intervening: Introductory Topics in the Philosophy of Natural Science</w:t>
      </w:r>
      <w:r>
        <w:t xml:space="preserve"> </w:t>
      </w:r>
      <w:r>
        <w:t xml:space="preserve">(Cambridge: Cambridge University Press, 1983)</w:t>
      </w:r>
      <w:r>
        <w:t xml:space="preserve">;</w:t>
      </w:r>
      <w:r>
        <w:t xml:space="preserve"> </w:t>
      </w:r>
      <w:r>
        <w:t xml:space="preserve">Gooding David C., “Experiment,”</w:t>
      </w:r>
      <w:r>
        <w:t xml:space="preserve"> </w:t>
      </w:r>
      <w:r>
        <w:rPr>
          <w:i/>
        </w:rPr>
        <w:t xml:space="preserve">A Companion to the Philosophy of Science</w:t>
      </w:r>
      <w:r>
        <w:t xml:space="preserve">, Wiley Online Books, September 2017, doi:</w:t>
      </w:r>
      <w:hyperlink r:id="rId28">
        <w:r>
          <w:rPr>
            <w:rStyle w:val="Hyperlink"/>
          </w:rPr>
          <w:t xml:space="preserve">10.1002/9781405164481.ch18</w:t>
        </w:r>
      </w:hyperlink>
      <w:r>
        <w:t xml:space="preserve">. Quite helpful in rethinking the basic issues for the humanities are the writings from the disciplines other than physics, e.g.,</w:t>
      </w:r>
      <w:r>
        <w:t xml:space="preserve"> </w:t>
      </w:r>
      <w:r>
        <w:t xml:space="preserve">David L Clarke,</w:t>
      </w:r>
      <w:r>
        <w:t xml:space="preserve"> </w:t>
      </w:r>
      <w:r>
        <w:rPr>
          <w:i/>
        </w:rPr>
        <w:t xml:space="preserve">Models in Archaeology</w:t>
      </w:r>
      <w:r>
        <w:t xml:space="preserve"> </w:t>
      </w:r>
      <w:r>
        <w:t xml:space="preserve">(London; New York: Routledge, Taylor &amp; Francis Group, 2015),</w:t>
      </w:r>
      <w:r>
        <w:t xml:space="preserve"> </w:t>
      </w:r>
      <w:hyperlink r:id="rId29">
        <w:r>
          <w:rPr>
            <w:rStyle w:val="Hyperlink"/>
          </w:rPr>
          <w:t xml:space="preserve">http://public.eblib.com/choice/publicfullrecord.aspx?p=1826744</w:t>
        </w:r>
      </w:hyperlink>
      <w:r>
        <w:t xml:space="preserve">.</w:t>
      </w:r>
      <w:r>
        <w:t xml:space="preserve"> </w:t>
      </w:r>
      <w:r>
        <w:t xml:space="preserve">on archaeology;</w:t>
      </w:r>
      <w:r>
        <w:t xml:space="preserve"> </w:t>
      </w:r>
      <w:r>
        <w:t xml:space="preserve">W. Wimsatt, “False Models as a Means to Truer Theories,” 1987,</w:t>
      </w:r>
      <w:r>
        <w:t xml:space="preserve"> </w:t>
      </w:r>
      <w:hyperlink r:id="rId30">
        <w:r>
          <w:rPr>
            <w:rStyle w:val="Hyperlink"/>
          </w:rPr>
          <w:t xml:space="preserve">/paper/False-Models-as-a-Means-to-Truer-Theories-Wimsatt/df5a743ccb01c615e0663694b2f8dff6789df3b4</w:t>
        </w:r>
      </w:hyperlink>
      <w:r>
        <w:t xml:space="preserve">.</w:t>
      </w:r>
      <w:r>
        <w:t xml:space="preserve"> </w:t>
      </w:r>
      <w:r>
        <w:t xml:space="preserve">on biology; Del Re (2000) on chemistry; and on the social sciences, the essays by de Callatay, Mironesco, Burch, and Gardin in Franck (2002). For interdisciplinary studies see</w:t>
      </w:r>
      <w:r>
        <w:t xml:space="preserve"> </w:t>
      </w:r>
      <w:r>
        <w:t xml:space="preserve">Teodor Shanin,</w:t>
      </w:r>
      <w:r>
        <w:t xml:space="preserve"> </w:t>
      </w:r>
      <w:r>
        <w:rPr>
          <w:i/>
        </w:rPr>
        <w:t xml:space="preserve">The Rules of the Game: Cross-Disciplinary Essays on Models in Scholarly Thought</w:t>
      </w:r>
      <w:r>
        <w:t xml:space="preserve"> </w:t>
      </w:r>
      <w:r>
        <w:t xml:space="preserve">(London: Tavistock Publications, 1972).</w:t>
      </w:r>
      <w:r>
        <w:t xml:space="preserve"> </w:t>
      </w:r>
      <w:r>
        <w:t xml:space="preserve">and</w:t>
      </w:r>
      <w:r>
        <w:t xml:space="preserve"> </w:t>
      </w:r>
      <w:r>
        <w:t xml:space="preserve">Margaret C. Morrison, “Experiment,” in</w:t>
      </w:r>
      <w:r>
        <w:t xml:space="preserve"> </w:t>
      </w:r>
      <w:r>
        <w:rPr>
          <w:i/>
        </w:rPr>
        <w:t xml:space="preserve">Routledge Encyclopedia of Philosophy</w:t>
      </w:r>
      <w:r>
        <w:t xml:space="preserve">, 1st ed. (London: Routledge, 2016), doi:</w:t>
      </w:r>
      <w:hyperlink r:id="rId31">
        <w:r>
          <w:rPr>
            <w:rStyle w:val="Hyperlink"/>
          </w:rPr>
          <w:t xml:space="preserve">10.4324/9780415249126-Q033-1</w:t>
        </w:r>
      </w:hyperlink>
      <w:r>
        <w:t xml:space="preserve">, esp. </w:t>
      </w:r>
      <w:r>
        <w:t xml:space="preserve">“</w:t>
      </w:r>
      <w:r>
        <w:t xml:space="preserve">Models as Mediating Instruments</w:t>
      </w:r>
      <w:r>
        <w:t xml:space="preserve">”</w:t>
      </w:r>
      <w:r>
        <w:t xml:space="preserve"> </w:t>
      </w:r>
      <w:r>
        <w:t xml:space="preserve">(pp. 10–37). For an overview see</w:t>
      </w:r>
      <w:r>
        <w:t xml:space="preserve"> </w:t>
      </w:r>
      <w:r>
        <w:t xml:space="preserve">Elisabeth A. Lloyd, “Models,” in</w:t>
      </w:r>
      <w:r>
        <w:t xml:space="preserve"> </w:t>
      </w:r>
      <w:r>
        <w:rPr>
          <w:i/>
        </w:rPr>
        <w:t xml:space="preserve">Routledge Encyclopedia of Philosophy</w:t>
      </w:r>
      <w:r>
        <w:t xml:space="preserve">, 1st ed. (London: Routledge, 2016), doi:</w:t>
      </w:r>
      <w:hyperlink r:id="rId32">
        <w:r>
          <w:rPr>
            <w:rStyle w:val="Hyperlink"/>
          </w:rPr>
          <w:t xml:space="preserve">10.4324/9780415249126-Q072-1</w:t>
        </w:r>
      </w:hyperlink>
      <w:r>
        <w:t xml:space="preserve">.</w:t>
      </w:r>
    </w:p>
  </w:footnote>
  <w:footnote w:id="33">
    <w:p>
      <w:pPr>
        <w:pStyle w:val="FootnoteText"/>
      </w:pPr>
      <w:r>
        <w:rPr>
          <w:rStyle w:val="FootnoteReference"/>
        </w:rPr>
        <w:footnoteRef/>
      </w:r>
      <w:r>
        <w:t xml:space="preserve"> </w:t>
      </w:r>
      <w:r>
        <w:t xml:space="preserve">Clifford Geertz,</w:t>
      </w:r>
      <w:r>
        <w:t xml:space="preserve"> </w:t>
      </w:r>
      <w:r>
        <w:rPr>
          <w:i/>
        </w:rPr>
        <w:t xml:space="preserve">The Interpretation of Cultures</w:t>
      </w:r>
      <w:r>
        <w:t xml:space="preserve">, 2017, 93.</w:t>
      </w:r>
    </w:p>
  </w:footnote>
  <w:footnote w:id="34">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35">
    <w:p>
      <w:pPr>
        <w:pStyle w:val="FootnoteText"/>
      </w:pPr>
      <w:r>
        <w:rPr>
          <w:rStyle w:val="FootnoteReference"/>
        </w:rPr>
        <w:footnoteRef/>
      </w:r>
      <w:r>
        <w:t xml:space="preserve"> </w:t>
      </w:r>
      <w:r>
        <w:t xml:space="preserve">Nancy. Cartwright,</w:t>
      </w:r>
      <w:r>
        <w:t xml:space="preserve"> </w:t>
      </w:r>
      <w:r>
        <w:rPr>
          <w:i/>
        </w:rPr>
        <w:t xml:space="preserve">How the Laws of Physics Lie</w:t>
      </w:r>
      <w:r>
        <w:t xml:space="preserve"> </w:t>
      </w:r>
      <w:r>
        <w:t xml:space="preserve">(Oxford; New York: Clarendon Press : Oxford University Press, 1984), 158.</w:t>
      </w:r>
    </w:p>
  </w:footnote>
  <w:footnote w:id="36">
    <w:p>
      <w:pPr>
        <w:pStyle w:val="FootnoteText"/>
      </w:pPr>
      <w:r>
        <w:rPr>
          <w:rStyle w:val="FootnoteReference"/>
        </w:rPr>
        <w:footnoteRef/>
      </w:r>
      <w:r>
        <w:t xml:space="preserve"> </w:t>
      </w:r>
      <w:r>
        <w:t xml:space="preserve">Mary S. Morgan and Margaret Morrison,</w:t>
      </w:r>
      <w:r>
        <w:t xml:space="preserve"> </w:t>
      </w:r>
      <w:r>
        <w:rPr>
          <w:i/>
        </w:rPr>
        <w:t xml:space="preserve">Models as Mediators</w:t>
      </w:r>
      <w:r>
        <w:t xml:space="preserve"> </w:t>
      </w:r>
      <w:r>
        <w:t xml:space="preserve">(New York: Cambridge University Press, 1999).</w:t>
      </w:r>
    </w:p>
  </w:footnote>
  <w:footnote w:id="37">
    <w:p>
      <w:pPr>
        <w:pStyle w:val="FootnoteText"/>
      </w:pPr>
      <w:r>
        <w:rPr>
          <w:rStyle w:val="FootnoteReference"/>
        </w:rPr>
        <w:footnoteRef/>
      </w:r>
      <w:r>
        <w:t xml:space="preserve"> </w:t>
      </w:r>
      <w:r>
        <w:t xml:space="preserve">Gordon Leff, “Models Inherent in History,” 2013, 148–63.</w:t>
      </w:r>
    </w:p>
  </w:footnote>
  <w:footnote w:id="38">
    <w:p>
      <w:pPr>
        <w:pStyle w:val="FootnoteText"/>
      </w:pPr>
      <w:r>
        <w:rPr>
          <w:rStyle w:val="FootnoteReference"/>
        </w:rPr>
        <w:footnoteRef/>
      </w:r>
      <w:r>
        <w:t xml:space="preserve"> </w:t>
      </w:r>
      <w:r>
        <w:t xml:space="preserve">Marvin Minsky, “Matter, Mind and Models,” March 1965,</w:t>
      </w:r>
      <w:r>
        <w:t xml:space="preserve"> </w:t>
      </w:r>
      <w:hyperlink r:id="rId39">
        <w:r>
          <w:rPr>
            <w:rStyle w:val="Hyperlink"/>
          </w:rPr>
          <w:t xml:space="preserve">http://dspace.mit.edu/handle/1721.1/6119</w:t>
        </w:r>
      </w:hyperlink>
      <w:r>
        <w:t xml:space="preserve">.</w:t>
      </w:r>
    </w:p>
  </w:footnote>
  <w:footnote w:id="40">
    <w:p>
      <w:pPr>
        <w:pStyle w:val="FootnoteText"/>
      </w:pPr>
      <w:r>
        <w:rPr>
          <w:rStyle w:val="FootnoteReference"/>
        </w:rPr>
        <w:footnoteRef/>
      </w:r>
      <w:r>
        <w:t xml:space="preserve"> </w:t>
      </w:r>
      <w:r>
        <w:t xml:space="preserve">Brian Cantwell Smith,</w:t>
      </w:r>
      <w:r>
        <w:t xml:space="preserve"> </w:t>
      </w:r>
      <w:r>
        <w:rPr>
          <w:i/>
        </w:rPr>
        <w:t xml:space="preserve">Limits of Correctness in Computers</w:t>
      </w:r>
      <w:r>
        <w:t xml:space="preserve"> </w:t>
      </w:r>
      <w:r>
        <w:t xml:space="preserve">(Stanford, CA: Stanford University, CSLI, 1985), 460.</w:t>
      </w:r>
    </w:p>
  </w:footnote>
  <w:footnote w:id="41">
    <w:p>
      <w:pPr>
        <w:pStyle w:val="FootnoteText"/>
      </w:pPr>
      <w:r>
        <w:rPr>
          <w:rStyle w:val="FootnoteReference"/>
        </w:rPr>
        <w:footnoteRef/>
      </w:r>
      <w:r>
        <w:t xml:space="preserve"> </w:t>
      </w:r>
      <w:r>
        <w:t xml:space="preserve">James H. Fetzer, “The Role of Models in Computer Science,”</w:t>
      </w:r>
      <w:r>
        <w:t xml:space="preserve"> </w:t>
      </w:r>
      <w:r>
        <w:rPr>
          <w:i/>
        </w:rPr>
        <w:t xml:space="preserve">The Monist</w:t>
      </w:r>
      <w:r>
        <w:t xml:space="preserve"> </w:t>
      </w:r>
      <w:r>
        <w:t xml:space="preserve">82, no. 1 (1999): 23,</w:t>
      </w:r>
      <w:r>
        <w:t xml:space="preserve"> </w:t>
      </w:r>
      <w:hyperlink r:id="rId42">
        <w:r>
          <w:rPr>
            <w:rStyle w:val="Hyperlink"/>
          </w:rPr>
          <w:t xml:space="preserve">https://www.jstor.org/stable/27903621</w:t>
        </w:r>
      </w:hyperlink>
      <w:r>
        <w:t xml:space="preserve">.</w:t>
      </w:r>
    </w:p>
  </w:footnote>
  <w:footnote w:id="43">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 More serious criticism is leveled by Terry</w:t>
      </w:r>
      <w:r>
        <w:t xml:space="preserve"> </w:t>
      </w:r>
      <w:r>
        <w:t xml:space="preserve">Terry Winograd,</w:t>
      </w:r>
      <w:r>
        <w:t xml:space="preserve"> </w:t>
      </w:r>
      <w:r>
        <w:rPr>
          <w:i/>
        </w:rPr>
        <w:t xml:space="preserve">Thinking Machines: Can There Be? Are We?</w:t>
      </w:r>
      <w:r>
        <w:t xml:space="preserve"> </w:t>
      </w:r>
      <w:r>
        <w:t xml:space="preserve">(Stanford, Calif.: Department of Computer Science, Stanford University, 1987), 207–8</w:t>
      </w:r>
      <w:r>
        <w:t xml:space="preserve">; see below.</w:t>
      </w:r>
    </w:p>
  </w:footnote>
  <w:footnote w:id="45">
    <w:p>
      <w:pPr>
        <w:pStyle w:val="FootnoteText"/>
      </w:pPr>
      <w:r>
        <w:rPr>
          <w:rStyle w:val="FootnoteReference"/>
        </w:rPr>
        <w:footnoteRef/>
      </w:r>
      <w:r>
        <w:t xml:space="preserve"> </w:t>
      </w:r>
      <w:r>
        <w:t xml:space="preserve">John Ziman,</w:t>
      </w:r>
      <w:r>
        <w:t xml:space="preserve"> </w:t>
      </w:r>
      <w:r>
        <w:rPr>
          <w:i/>
        </w:rPr>
        <w:t xml:space="preserve">Real Science: What It Is, and What It Means</w:t>
      </w:r>
      <w:r>
        <w:t xml:space="preserve"> </w:t>
      </w:r>
      <w:r>
        <w:t xml:space="preserve">(Cambridge, UK: Cambridge University Press, 2000), 126–38, 147–50.</w:t>
      </w:r>
    </w:p>
  </w:footnote>
  <w:footnote w:id="46">
    <w:p>
      <w:pPr>
        <w:pStyle w:val="FootnoteText"/>
      </w:pPr>
      <w:r>
        <w:rPr>
          <w:rStyle w:val="FootnoteReference"/>
        </w:rPr>
        <w:footnoteRef/>
      </w:r>
      <w:r>
        <w:t xml:space="preserve"> </w:t>
      </w:r>
      <w:r>
        <w:t xml:space="preserve">Stephen Toulmin,</w:t>
      </w:r>
      <w:r>
        <w:t xml:space="preserve"> </w:t>
      </w:r>
      <w:r>
        <w:rPr>
          <w:i/>
        </w:rPr>
        <w:t xml:space="preserve">The Philosophy of Science</w:t>
      </w:r>
      <w:r>
        <w:t xml:space="preserve"> </w:t>
      </w:r>
      <w:r>
        <w:t xml:space="preserve">(London: Hutchinson’s University Library, 1953), 94–109.</w:t>
      </w:r>
    </w:p>
  </w:footnote>
  <w:footnote w:id="47">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Dening 1996: 35–63).</w:t>
      </w:r>
    </w:p>
  </w:footnote>
  <w:footnote w:id="49">
    <w:p>
      <w:pPr>
        <w:pStyle w:val="FootnoteText"/>
      </w:pPr>
      <w:r>
        <w:rPr>
          <w:rStyle w:val="FootnoteReference"/>
        </w:rPr>
        <w:footnoteRef/>
      </w:r>
      <w:r>
        <w:t xml:space="preserve"> </w:t>
      </w:r>
      <w:r>
        <w:t xml:space="preserve">For the concept in imaginative language and thought see Gibbs (1994; reviewed by Turner 1995), Turner (1996); in computer science, Hoffman (1995) – whose summary of research is quite valuable; in cognitive science, including psychology, Mitchell (1993), Holyoak and Thagard (1997); in the philosophy of science, Achinstein (1968), Leatherdale (1974), Gentner (2002), Shelley (2002); in relation to modeling, Bailer-Jones (1999), Bailer-Jones and Bailer-Jones (2002). I do not deal here with metaphor in relation to modeling, for which see Black (1979), Johnson (2002).</w:t>
      </w:r>
    </w:p>
  </w:footnote>
  <w:footnote w:id="50">
    <w:p>
      <w:pPr>
        <w:pStyle w:val="FootnoteText"/>
      </w:pPr>
      <w:r>
        <w:rPr>
          <w:rStyle w:val="FootnoteReference"/>
        </w:rPr>
        <w:footnoteRef/>
      </w:r>
      <w:r>
        <w:t xml:space="preserve"> </w:t>
      </w:r>
      <w:r>
        <w:t xml:space="preserve">Dedre Gentner, “Analogy in Scientific Discovery: The Case of Johannes Kepler,” 2002.</w:t>
      </w:r>
    </w:p>
  </w:footnote>
  <w:footnote w:id="51">
    <w:p>
      <w:pPr>
        <w:pStyle w:val="FootnoteText"/>
      </w:pPr>
      <w:r>
        <w:rPr>
          <w:rStyle w:val="FootnoteReference"/>
        </w:rPr>
        <w:footnoteRef/>
      </w:r>
      <w:r>
        <w:t xml:space="preserve"> </w:t>
      </w:r>
      <w:r>
        <w:t xml:space="preserve">Robert R. Hoffman, “Monster Analogies,”</w:t>
      </w:r>
      <w:r>
        <w:t xml:space="preserve"> </w:t>
      </w:r>
      <w:r>
        <w:rPr>
          <w:i/>
        </w:rPr>
        <w:t xml:space="preserve">AI Magazine</w:t>
      </w:r>
      <w:r>
        <w:t xml:space="preserve"> </w:t>
      </w:r>
      <w:r>
        <w:t xml:space="preserve">16, no. 3 (September 1995): 11–11, doi:</w:t>
      </w:r>
      <w:hyperlink r:id="rId52">
        <w:r>
          <w:rPr>
            <w:rStyle w:val="Hyperlink"/>
          </w:rPr>
          <w:t xml:space="preserve">10.1609/aimag.v16i3.1145</w:t>
        </w:r>
      </w:hyperlink>
      <w:r>
        <w:t xml:space="preserve">.</w:t>
      </w:r>
    </w:p>
  </w:footnote>
  <w:footnote w:id="54">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 (1998), Hopkins (2000).</w:t>
      </w:r>
    </w:p>
  </w:footnote>
  <w:footnote w:id="55">
    <w:p>
      <w:pPr>
        <w:pStyle w:val="FootnoteText"/>
      </w:pPr>
      <w:r>
        <w:rPr>
          <w:rStyle w:val="FootnoteReference"/>
        </w:rPr>
        <w:footnoteRef/>
      </w:r>
      <w:r>
        <w:t xml:space="preserve"> </w:t>
      </w:r>
      <w:r>
        <w:t xml:space="preserve">Possibly the best and least problematic view is afforded by Davis et al. (1993); see also Sowa (2000); Barr and Feigenbaum (1981). Lenat (1998) illustrates the problematic tendencies in this field; Winograd (1991) and Dreyfus (1985) provide the antidote.</w:t>
      </w:r>
    </w:p>
  </w:footnote>
  <w:footnote w:id="56">
    <w:p>
      <w:pPr>
        <w:pStyle w:val="FootnoteText"/>
      </w:pPr>
      <w:r>
        <w:rPr>
          <w:rStyle w:val="FootnoteReference"/>
        </w:rPr>
        <w:footnoteRef/>
      </w:r>
      <w:r>
        <w:t xml:space="preserve"> </w:t>
      </w:r>
      <w:r>
        <w:t xml:space="preserve">Frye (1991: 4),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 – as the ambitious claim; see also Winder (1996).</w:t>
      </w:r>
    </w:p>
  </w:footnote>
  <w:footnote w:id="57">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footnote>
  <w:footnote w:id="58">
    <w:p>
      <w:pPr>
        <w:pStyle w:val="FootnoteText"/>
      </w:pPr>
      <w:r>
        <w:rPr>
          <w:rStyle w:val="FootnoteReference"/>
        </w:rPr>
        <w:footnoteRef/>
      </w:r>
      <w:r>
        <w:t xml:space="preserve"> </w:t>
      </w:r>
      <w:r>
        <w:t xml:space="preserve">Winograd and Flores (1986: 97–100, 131–3, 174–7); Dreyfus (1985). See also Brooks (1991).</w:t>
      </w:r>
    </w:p>
  </w:footnote>
  <w:footnote w:id="59">
    <w:p>
      <w:pPr>
        <w:pStyle w:val="FootnoteText"/>
      </w:pPr>
      <w:r>
        <w:rPr>
          <w:rStyle w:val="FootnoteReference"/>
        </w:rPr>
        <w:footnoteRef/>
      </w:r>
      <w:r>
        <w:t xml:space="preserve"> </w:t>
      </w:r>
      <w:r>
        <w:t xml:space="preserve">John F Sowa,</w:t>
      </w:r>
      <w:r>
        <w:t xml:space="preserve"> </w:t>
      </w:r>
      <w:r>
        <w:rPr>
          <w:i/>
        </w:rPr>
        <w:t xml:space="preserve">Knowledge Representation: Logical, Philosophical, and Computational Foundations</w:t>
      </w:r>
      <w:r>
        <w:t xml:space="preserve"> </w:t>
      </w:r>
      <w:r>
        <w:t xml:space="preserve">(Pacific Grove: Brooks/Cole, 2000), 12.</w:t>
      </w:r>
    </w:p>
  </w:footnote>
  <w:footnote w:id="61">
    <w:p>
      <w:pPr>
        <w:pStyle w:val="FootnoteText"/>
      </w:pPr>
      <w:r>
        <w:rPr>
          <w:rStyle w:val="FootnoteReference"/>
        </w:rPr>
        <w:footnoteRef/>
      </w:r>
      <w:r>
        <w:t xml:space="preserve"> </w:t>
      </w:r>
      <w:r>
        <w:t xml:space="preserve">See, however, the discussion in Netz (1999: 35–8).</w:t>
      </w:r>
    </w:p>
  </w:footnote>
  <w:footnote w:id="62">
    <w:p>
      <w:pPr>
        <w:pStyle w:val="FootnoteText"/>
      </w:pPr>
      <w:r>
        <w:rPr>
          <w:rStyle w:val="FootnoteReference"/>
        </w:rPr>
        <w:footnoteRef/>
      </w:r>
      <w:r>
        <w:t xml:space="preserve"> </w:t>
      </w:r>
      <w:r>
        <w:t xml:space="preserve">Goodman (1976: 170f), who distinguishes between analogue and digital diagrams. As Netz explains, the lettered diagram provides a good example of the latter (1999: 34f).</w:t>
      </w:r>
    </w:p>
  </w:footnote>
  <w:footnote w:id="63">
    <w:p>
      <w:pPr>
        <w:pStyle w:val="FootnoteText"/>
      </w:pPr>
      <w:r>
        <w:rPr>
          <w:rStyle w:val="FootnoteReference"/>
        </w:rPr>
        <w:footnoteRef/>
      </w:r>
      <w:r>
        <w:t xml:space="preserve"> </w:t>
      </w:r>
      <w:r>
        <w:t xml:space="preserve">Shin and Lemon (2002); note the extensive bibliography.</w:t>
      </w:r>
    </w:p>
  </w:footnote>
  <w:footnote w:id="64">
    <w:p>
      <w:pPr>
        <w:pStyle w:val="FootnoteText"/>
      </w:pPr>
      <w:r>
        <w:rPr>
          <w:rStyle w:val="FootnoteReference"/>
        </w:rPr>
        <w:footnoteRef/>
      </w:r>
      <w:r>
        <w:t xml:space="preserve"> </w:t>
      </w:r>
      <w:r>
        <w:t xml:space="preserve">Reviel Netz,</w:t>
      </w:r>
      <w:r>
        <w:t xml:space="preserve"> </w:t>
      </w:r>
      <w:r>
        <w:rPr>
          <w:i/>
        </w:rPr>
        <w:t xml:space="preserve">The Shaping of Deduction in Greek Mathematics a Study in Cognitive History</w:t>
      </w:r>
      <w:r>
        <w:t xml:space="preserve"> </w:t>
      </w:r>
      <w:r>
        <w:t xml:space="preserve">(Cambridge: Cambridge UP, 1999).</w:t>
      </w:r>
    </w:p>
  </w:footnote>
  <w:footnote w:id="66">
    <w:p>
      <w:pPr>
        <w:pStyle w:val="FootnoteText"/>
      </w:pPr>
      <w:r>
        <w:rPr>
          <w:rStyle w:val="FootnoteReference"/>
        </w:rPr>
        <w:footnoteRef/>
      </w:r>
      <w:r>
        <w:t xml:space="preserve"> </w:t>
      </w:r>
      <w:r>
        <w:t xml:space="preserve">Robinson and Petchenik (1976); see also Monmonier (1996); Wood (1992). Turnbull (1994) argues specifically for the link between maps and theories.</w:t>
      </w:r>
    </w:p>
  </w:footnote>
  <w:footnote w:id="67">
    <w:p>
      <w:pPr>
        <w:pStyle w:val="FootnoteText"/>
      </w:pPr>
      <w:r>
        <w:rPr>
          <w:rStyle w:val="FootnoteReference"/>
        </w:rPr>
        <w:footnoteRef/>
      </w:r>
      <w:r>
        <w:t xml:space="preserve"> </w:t>
      </w:r>
      <w:r>
        <w:t xml:space="preserve">See Bateson (2002: 27–8), who cites Alfred Korzybski’s principle that</w:t>
      </w:r>
      <w:r>
        <w:t xml:space="preserve"> </w:t>
      </w:r>
      <w:r>
        <w:t xml:space="preserve">“</w:t>
      </w:r>
      <w:r>
        <w:t xml:space="preserve">the map is not the territory</w:t>
      </w:r>
      <w:r>
        <w:t xml:space="preserve">”</w:t>
      </w:r>
      <w:r>
        <w:t xml:space="preserve"> </w:t>
      </w:r>
      <w:r>
        <w:t xml:space="preserve">(Korzybski 1933) 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 (1972: 15); Kent (2000/1978: xix).</w:t>
      </w:r>
    </w:p>
  </w:footnote>
  <w:footnote w:id="68">
    <w:p>
      <w:pPr>
        <w:pStyle w:val="FootnoteText"/>
      </w:pPr>
      <w:r>
        <w:rPr>
          <w:rStyle w:val="FootnoteReference"/>
        </w:rPr>
        <w:footnoteRef/>
      </w:r>
      <w:r>
        <w:t xml:space="preserve"> </w:t>
      </w:r>
      <w:r>
        <w:t xml:space="preserve">Stephen Toulmin,</w:t>
      </w:r>
      <w:r>
        <w:t xml:space="preserve"> </w:t>
      </w:r>
      <w:r>
        <w:rPr>
          <w:i/>
        </w:rPr>
        <w:t xml:space="preserve">The Uses of Argument.</w:t>
      </w:r>
      <w:r>
        <w:t xml:space="preserve"> </w:t>
      </w:r>
      <w:r>
        <w:t xml:space="preserve">(Cambridge [England: University Press, 1958).</w:t>
      </w:r>
    </w:p>
  </w:footnote>
  <w:footnote w:id="69">
    <w:p>
      <w:pPr>
        <w:pStyle w:val="FootnoteText"/>
      </w:pPr>
      <w:r>
        <w:rPr>
          <w:rStyle w:val="FootnoteReference"/>
        </w:rPr>
        <w:footnoteRef/>
      </w:r>
      <w:r>
        <w:t xml:space="preserve"> </w:t>
      </w:r>
      <w:r>
        <w:t xml:space="preserve">Matthew G. Kirschenbaum, “Editor’s Introduction: Image-Based Humanities Computing,”</w:t>
      </w:r>
      <w:r>
        <w:t xml:space="preserve"> </w:t>
      </w:r>
      <w:r>
        <w:rPr>
          <w:i/>
        </w:rPr>
        <w:t xml:space="preserve">Computers and the Humanities</w:t>
      </w:r>
      <w:r>
        <w:t xml:space="preserve"> </w:t>
      </w:r>
      <w:r>
        <w:t xml:space="preserve">36, no. 1 (2002): 3–6,</w:t>
      </w:r>
      <w:r>
        <w:t xml:space="preserve"> </w:t>
      </w:r>
      <w:hyperlink r:id="rId70">
        <w:r>
          <w:rPr>
            <w:rStyle w:val="Hyperlink"/>
          </w:rPr>
          <w:t xml:space="preserve">https://www.jstor.org/stable/30204693</w:t>
        </w:r>
      </w:hyperlink>
      <w:r>
        <w:t xml:space="preserve">.</w:t>
      </w:r>
    </w:p>
  </w:footnote>
  <w:footnote w:id="72">
    <w:p>
      <w:pPr>
        <w:pStyle w:val="FootnoteText"/>
      </w:pPr>
      <w:r>
        <w:rPr>
          <w:rStyle w:val="FootnoteReference"/>
        </w:rPr>
        <w:footnoteRef/>
      </w:r>
      <w:r>
        <w:t xml:space="preserve"> </w:t>
      </w:r>
      <w:r>
        <w:t xml:space="preserve">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 Guala (2002), who also stresses the necessity of including the designer or initiator as part of the simulation.</w:t>
      </w:r>
    </w:p>
  </w:footnote>
  <w:footnote w:id="73">
    <w:p>
      <w:pPr>
        <w:pStyle w:val="FootnoteText"/>
      </w:pPr>
      <w:r>
        <w:rPr>
          <w:rStyle w:val="FootnoteReference"/>
        </w:rPr>
        <w:footnoteRef/>
      </w:r>
      <w:r>
        <w:t xml:space="preserve"> </w:t>
      </w:r>
      <w:r>
        <w:t xml:space="preserve">Herbert A Simon,</w:t>
      </w:r>
      <w:r>
        <w:t xml:space="preserve"> </w:t>
      </w:r>
      <w:r>
        <w:rPr>
          <w:i/>
        </w:rPr>
        <w:t xml:space="preserve">The Scences of the Artificial</w:t>
      </w:r>
      <w:r>
        <w:t xml:space="preserve"> </w:t>
      </w:r>
      <w:r>
        <w:t xml:space="preserve">(Cambridge (Mass.): The M.I.T. press, 1969), 15–18.</w:t>
      </w:r>
    </w:p>
  </w:footnote>
  <w:footnote w:id="74">
    <w:p>
      <w:pPr>
        <w:pStyle w:val="FootnoteText"/>
      </w:pPr>
      <w:r>
        <w:rPr>
          <w:rStyle w:val="FootnoteReference"/>
        </w:rPr>
        <w:footnoteRef/>
      </w:r>
      <w:r>
        <w:t xml:space="preserve"> </w:t>
      </w:r>
      <w:r>
        <w:t xml:space="preserve">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 assumption or display, a surface resemblance or imitation …</w:t>
      </w:r>
      <w:r>
        <w:t xml:space="preserve">”</w:t>
      </w:r>
      <w:r>
        <w:t xml:space="preserve"> </w:t>
      </w:r>
      <w:r>
        <w:t xml:space="preserve">(OED 1 .a., 2) – an animated trompe l’oeil.</w:t>
      </w:r>
    </w:p>
  </w:footnote>
  <w:footnote w:id="75">
    <w:p>
      <w:pPr>
        <w:pStyle w:val="FootnoteText"/>
      </w:pPr>
      <w:r>
        <w:rPr>
          <w:rStyle w:val="FootnoteReference"/>
        </w:rPr>
        <w:footnoteRef/>
      </w:r>
      <w:r>
        <w:t xml:space="preserve"> </w:t>
      </w:r>
      <w:r>
        <w:t xml:space="preserve">Recent research in psychology and cognitive science, working with the representational model of mind, might be summarized by the proposition that reality as we know and participate in it is simulated. Thus mental simulation is used to explain aspects of cognition (see, e.g., Markman and Dietrich 2000; Davies and Stone 2000). Especially relevant here is the idea that perceptual 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 knowledgeable (Craig et al. 2002)</w:t>
      </w:r>
    </w:p>
  </w:footnote>
  <w:footnote w:id="76">
    <w:p>
      <w:pPr>
        <w:pStyle w:val="FootnoteText"/>
      </w:pPr>
      <w:r>
        <w:rPr>
          <w:rStyle w:val="FootnoteReference"/>
        </w:rPr>
        <w:footnoteRef/>
      </w:r>
      <w:r>
        <w:t xml:space="preserve"> </w:t>
      </w:r>
      <w:r>
        <w:t xml:space="preserve">Thomas K Burch, University of Western Ontario, and Population Studies Centre,</w:t>
      </w:r>
      <w:r>
        <w:t xml:space="preserve"> </w:t>
      </w:r>
      <w:r>
        <w:rPr>
          <w:i/>
        </w:rPr>
        <w:t xml:space="preserve">Computer Modelling of Theory: Explanation for the 21st Century</w:t>
      </w:r>
      <w:r>
        <w:t xml:space="preserve"> </w:t>
      </w:r>
      <w:r>
        <w:t xml:space="preserve">(London, Canada: Population Studies Centre, University of Western Ontario, 1999).</w:t>
      </w:r>
    </w:p>
  </w:footnote>
  <w:footnote w:id="77">
    <w:p>
      <w:pPr>
        <w:pStyle w:val="FootnoteText"/>
      </w:pPr>
      <w:r>
        <w:rPr>
          <w:rStyle w:val="FootnoteReference"/>
        </w:rPr>
        <w:footnoteRef/>
      </w:r>
      <w:r>
        <w:t xml:space="preserve"> </w:t>
      </w:r>
      <w:r>
        <w:t xml:space="preserve">Rowe (1994), quoted by Burch (2002: 245); see also Winsberg (2001).</w:t>
      </w:r>
    </w:p>
  </w:footnote>
  <w:footnote w:id="78">
    <w:p>
      <w:pPr>
        <w:pStyle w:val="FootnoteText"/>
      </w:pPr>
      <w:r>
        <w:rPr>
          <w:rStyle w:val="FootnoteReference"/>
        </w:rPr>
        <w:footnoteRef/>
      </w:r>
      <w:r>
        <w:t xml:space="preserve"> </w:t>
      </w:r>
      <w:r>
        <w:t xml:space="preserve">Carolyn C. Lougee, “The Would-Be Gentleman: A Historical Simulation of the France of Louis XIV,”</w:t>
      </w:r>
      <w:r>
        <w:t xml:space="preserve"> </w:t>
      </w:r>
      <w:r>
        <w:rPr>
          <w:i/>
        </w:rPr>
        <w:t xml:space="preserve">ACM SIGCUE Outlook</w:t>
      </w:r>
      <w:r>
        <w:t xml:space="preserve"> </w:t>
      </w:r>
      <w:r>
        <w:t xml:space="preserve">19, nos. 1-2 (April 1986): 15–19, doi:</w:t>
      </w:r>
      <w:hyperlink r:id="rId79">
        <w:r>
          <w:rPr>
            <w:rStyle w:val="Hyperlink"/>
          </w:rPr>
          <w:t xml:space="preserve">10.1145/951656.951657</w:t>
        </w:r>
      </w:hyperlink>
      <w:r>
        <w:t xml:space="preserve">.</w:t>
      </w:r>
    </w:p>
  </w:footnote>
  <w:footnote w:id="80">
    <w:p>
      <w:pPr>
        <w:pStyle w:val="FootnoteText"/>
      </w:pPr>
      <w:r>
        <w:rPr>
          <w:rStyle w:val="FootnoteReference"/>
        </w:rPr>
        <w:footnoteRef/>
      </w:r>
      <w:r>
        <w:t xml:space="preserve"> </w:t>
      </w:r>
      <w:r>
        <w:t xml:space="preserve">Richard Beacham and Hugh Denard, “The Pompey Project: Digital Research and Virtual Reconstruction of Rome’s First Theatre,”</w:t>
      </w:r>
      <w:r>
        <w:t xml:space="preserve"> </w:t>
      </w:r>
      <w:r>
        <w:rPr>
          <w:i/>
        </w:rPr>
        <w:t xml:space="preserve">Comphuma Computers and the Humanities</w:t>
      </w:r>
      <w:r>
        <w:t xml:space="preserve"> </w:t>
      </w:r>
      <w:r>
        <w:t xml:space="preserve">37, no. 1 (2003): 129–39.</w:t>
      </w:r>
    </w:p>
  </w:footnote>
  <w:footnote w:id="82">
    <w:p>
      <w:pPr>
        <w:pStyle w:val="FootnoteText"/>
      </w:pPr>
      <w:r>
        <w:rPr>
          <w:rStyle w:val="FootnoteReference"/>
        </w:rPr>
        <w:footnoteRef/>
      </w:r>
      <w:r>
        <w:t xml:space="preserve"> </w:t>
      </w:r>
      <w:r>
        <w:t xml:space="preserve">Peter Galison,</w:t>
      </w:r>
      <w:r>
        <w:t xml:space="preserve"> </w:t>
      </w:r>
      <w:r>
        <w:rPr>
          <w:i/>
        </w:rPr>
        <w:t xml:space="preserve">How Experiments End</w:t>
      </w:r>
      <w:r>
        <w:t xml:space="preserve"> </w:t>
      </w:r>
      <w:r>
        <w:t xml:space="preserve">(Chicago: University of Chicago Press, 1987), 1.</w:t>
      </w:r>
    </w:p>
  </w:footnote>
  <w:footnote w:id="83">
    <w:p>
      <w:pPr>
        <w:pStyle w:val="FootnoteText"/>
      </w:pPr>
      <w:r>
        <w:rPr>
          <w:rStyle w:val="FootnoteReference"/>
        </w:rPr>
        <w:footnoteRef/>
      </w:r>
      <w:r>
        <w:t xml:space="preserve"> </w:t>
      </w:r>
      <w:r>
        <w:t xml:space="preserve">This is true for scientific experiment much more often and more significantly than popular and earlier philosophical accounts would have us believe. Ian Hacking illustrates the point in an illuminating discussion of the famous Michelson-Morley experiment,</w:t>
      </w:r>
      <w:r>
        <w:t xml:space="preserve"> </w:t>
      </w:r>
      <w:r>
        <w:t xml:space="preserve">“</w:t>
      </w:r>
      <w:r>
        <w:t xml:space="preserve">a good example of the Baconian exploration of nature</w:t>
      </w:r>
      <w:r>
        <w:t xml:space="preserve">”</w:t>
      </w:r>
      <w:r>
        <w:t xml:space="preserve"> </w:t>
      </w:r>
      <w:r>
        <w:t xml:space="preserve">(1983: 254); see his discription (1983: 253–61), and esp. the book as a whole. See also Gooding (2000) and Morrison (1998) for an overview of experiment in current philosophy of science; the triplet of articles presented at a symposium on</w:t>
      </w:r>
      <w:r>
        <w:t xml:space="preserve"> </w:t>
      </w:r>
      <w:r>
        <w:t xml:space="preserve">“</w:t>
      </w:r>
      <w:r>
        <w:t xml:space="preserve">The Philosophical Significance of Experimentation</w:t>
      </w:r>
      <w:r>
        <w:t xml:space="preserve">”</w:t>
      </w:r>
      <w:r>
        <w:t xml:space="preserve">, Hacking (1988), Heelan (1988), and Galison (1988); and Franklin (2002) for physics in particular.</w:t>
      </w:r>
    </w:p>
  </w:footnote>
  <w:footnote w:id="84">
    <w:p>
      <w:pPr>
        <w:pStyle w:val="FootnoteText"/>
      </w:pPr>
      <w:r>
        <w:rPr>
          <w:rStyle w:val="FootnoteReference"/>
        </w:rPr>
        <w:footnoteRef/>
      </w:r>
      <w:r>
        <w:t xml:space="preserve"> </w:t>
      </w:r>
      <w:r>
        <w:t xml:space="preserve">James Robert Brown and Yiftach Fehige, “Thought Experiments,” in</w:t>
      </w:r>
      <w:r>
        <w:t xml:space="preserve"> </w:t>
      </w:r>
      <w:r>
        <w:rPr>
          <w:i/>
        </w:rPr>
        <w:t xml:space="preserve">The Stanford Encyclopedia of Philosophy</w:t>
      </w:r>
      <w:r>
        <w:t xml:space="preserve">, ed. Edward N. Zalta, Winter 2019 (Metaphysics Research Lab, Stanford University, 2019),</w:t>
      </w:r>
      <w:r>
        <w:t xml:space="preserve"> </w:t>
      </w:r>
      <w:hyperlink r:id="rId85">
        <w:r>
          <w:rPr>
            <w:rStyle w:val="Hyperlink"/>
          </w:rPr>
          <w:t xml:space="preserve">https://plato.stanford.edu/archives/win2019/entrieshought-experiment/</w:t>
        </w:r>
      </w:hyperlink>
      <w:r>
        <w:t xml:space="preserve">.</w:t>
      </w:r>
    </w:p>
  </w:footnote>
  <w:footnote w:id="86">
    <w:p>
      <w:pPr>
        <w:pStyle w:val="FootnoteText"/>
      </w:pPr>
      <w:r>
        <w:rPr>
          <w:rStyle w:val="FootnoteReference"/>
        </w:rPr>
        <w:footnoteRef/>
      </w:r>
      <w:r>
        <w:t xml:space="preserve"> </w:t>
      </w:r>
      <w:r>
        <w:t xml:space="preserve">See also Brown (2000), Gooding (1998) and note esp. the careful argument in Kuhn (1964) toward an understanding of how thought experiment can lead to new knowledge, not simply expose logical contradictions or confusions.</w:t>
      </w:r>
    </w:p>
  </w:footnote>
  <w:footnote w:id="87">
    <w:p>
      <w:pPr>
        <w:pStyle w:val="FootnoteText"/>
      </w:pPr>
      <w:r>
        <w:rPr>
          <w:rStyle w:val="FootnoteReference"/>
        </w:rPr>
        <w:footnoteRef/>
      </w:r>
      <w:r>
        <w:t xml:space="preserve"> </w:t>
      </w:r>
      <w:r>
        <w:t xml:space="preserve">I rely primarily on Galison (1987), Hacking (1983) and Nickels (2000).</w:t>
      </w:r>
    </w:p>
  </w:footnote>
  <w:footnote w:id="88">
    <w:p>
      <w:pPr>
        <w:pStyle w:val="FootnoteText"/>
      </w:pPr>
      <w:r>
        <w:rPr>
          <w:rStyle w:val="FootnoteReference"/>
        </w:rPr>
        <w:footnoteRef/>
      </w:r>
      <w:r>
        <w:t xml:space="preserve"> </w:t>
      </w:r>
      <w:r>
        <w:t xml:space="preserve">Reichenbach introduced the distinction to mark</w:t>
      </w:r>
      <w:r>
        <w:t xml:space="preserve"> </w:t>
      </w:r>
      <w:r>
        <w:t xml:space="preserve">“</w:t>
      </w:r>
      <w:r>
        <w:t xml:space="preserve">the well-known difference</w:t>
      </w:r>
      <w:r>
        <w:t xml:space="preserve">”</w:t>
      </w:r>
      <w:r>
        <w:t xml:space="preserve"> </w:t>
      </w:r>
      <w:r>
        <w:t xml:space="preserve">between</w:t>
      </w:r>
      <w:r>
        <w:t xml:space="preserve"> </w:t>
      </w:r>
      <w:r>
        <w:t xml:space="preserve">“</w:t>
      </w:r>
      <w:r>
        <w:t xml:space="preserve">the form in which thinking processes are communicated to other persons [and] the form in which they are subjectively performed</w:t>
      </w:r>
      <w:r>
        <w:t xml:space="preserve">”</w:t>
      </w:r>
      <w:r>
        <w:t xml:space="preserve">, i.e., justification and discovery, respectively (Reichenbach 1938, chapter 1); compare Feyerabend (1993: 147–58). This distinction involves a long-standing argument that goes back to the debate between William Whewell (first to use the term</w:t>
      </w:r>
      <w:r>
        <w:t xml:space="preserve"> </w:t>
      </w:r>
      <w:r>
        <w:t xml:space="preserve">“</w:t>
      </w:r>
      <w:r>
        <w:t xml:space="preserve">philosophy of science</w:t>
      </w:r>
      <w:r>
        <w:t xml:space="preserve">”</w:t>
      </w:r>
      <w:r>
        <w:t xml:space="preserve">) and John Stuart Mill; it was then taken up by Charles Sanders Peirce on the one hand and Karl Popper on the other. Popper, in Logik der Forschung (translated as The Logic of Scientific Discovery) characteristically ruled discovery out of court by identifying it as a matter for psychology, recalling Duhem’s and Reichenbach’s use of that term:</w:t>
      </w:r>
      <w:r>
        <w:t xml:space="preserve"> </w:t>
      </w:r>
      <w:r>
        <w:t xml:space="preserve">“</w:t>
      </w:r>
      <w:r>
        <w:t xml:space="preserve">The question of how it happens that a new idea occurs to a man … may be of great interest to empirical psychology; but it is irrelevant to the logical analysis of scientific knowledge</w:t>
      </w:r>
      <w:r>
        <w:t xml:space="preserve">”</w:t>
      </w:r>
      <w:r>
        <w:t xml:space="preserve"> </w:t>
      </w:r>
      <w:r>
        <w:t xml:space="preserve">(Popper 1959/1935: 7). See Nickels (2000).</w:t>
      </w:r>
    </w:p>
  </w:footnote>
  <w:footnote w:id="89">
    <w:p>
      <w:pPr>
        <w:pStyle w:val="FootnoteText"/>
      </w:pPr>
      <w:r>
        <w:rPr>
          <w:rStyle w:val="FootnoteReference"/>
        </w:rPr>
        <w:footnoteRef/>
      </w:r>
      <w:r>
        <w:t xml:space="preserve"> </w:t>
      </w:r>
      <w:r>
        <w:t xml:space="preserve">Hacking,</w:t>
      </w:r>
      <w:r>
        <w:t xml:space="preserve"> </w:t>
      </w:r>
      <w:r>
        <w:rPr>
          <w:i/>
        </w:rPr>
        <w:t xml:space="preserve">Representing and Intervening</w:t>
      </w:r>
      <w:r>
        <w:t xml:space="preserve">.</w:t>
      </w:r>
    </w:p>
  </w:footnote>
  <w:footnote w:id="90">
    <w:p>
      <w:pPr>
        <w:pStyle w:val="FootnoteText"/>
      </w:pPr>
      <w:r>
        <w:rPr>
          <w:rStyle w:val="FootnoteReference"/>
        </w:rPr>
        <w:footnoteRef/>
      </w:r>
      <w:r>
        <w:t xml:space="preserve"> </w:t>
      </w:r>
      <w:r>
        <w:t xml:space="preserve">Galison,</w:t>
      </w:r>
      <w:r>
        <w:t xml:space="preserve"> </w:t>
      </w:r>
      <w:r>
        <w:rPr>
          <w:i/>
        </w:rPr>
        <w:t xml:space="preserve">How Experiments End</w:t>
      </w:r>
      <w:r>
        <w:t xml:space="preserve">, 80.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paper/False-Models-as-a-Means-to-Truer-Theories-Wimsatt/df5a743ccb01c615e0663694b2f8dff6789df3b4" TargetMode="External" /><Relationship Type="http://schemas.openxmlformats.org/officeDocument/2006/relationships/hyperlink" Id="rId39" Target="http://dspace.mit.edu/handle/1721.1/6119" TargetMode="External" /><Relationship Type="http://schemas.openxmlformats.org/officeDocument/2006/relationships/hyperlink" Id="rId29" Target="http://public.eblib.com/choice/publicfullrecord.aspx?p=1826744" TargetMode="External" /><Relationship Type="http://schemas.openxmlformats.org/officeDocument/2006/relationships/hyperlink" Id="rId27" Target="https://doi.org/10.1002/9780470756614.ch6" TargetMode="External" /><Relationship Type="http://schemas.openxmlformats.org/officeDocument/2006/relationships/hyperlink" Id="rId28" Target="https://doi.org/10.1002/9781405164481.ch18" TargetMode="External" /><Relationship Type="http://schemas.openxmlformats.org/officeDocument/2006/relationships/hyperlink" Id="rId79" Target="https://doi.org/10.1145/951656.951657" TargetMode="External" /><Relationship Type="http://schemas.openxmlformats.org/officeDocument/2006/relationships/hyperlink" Id="rId52" Target="https://doi.org/10.1609/aimag.v16i3.1145" TargetMode="External" /><Relationship Type="http://schemas.openxmlformats.org/officeDocument/2006/relationships/hyperlink" Id="rId31" Target="https://doi.org/10.4324/9780415249126-Q033-1" TargetMode="External" /><Relationship Type="http://schemas.openxmlformats.org/officeDocument/2006/relationships/hyperlink" Id="rId32" Target="https://doi.org/10.4324/9780415249126-Q072-1" TargetMode="External" /><Relationship Type="http://schemas.openxmlformats.org/officeDocument/2006/relationships/hyperlink" Id="rId85" Target="https://plato.stanford.edu/archives/win2019/entrieshought-experiment/" TargetMode="External" /><Relationship Type="http://schemas.openxmlformats.org/officeDocument/2006/relationships/hyperlink" Id="rId42" Target="https://www.jstor.org/stable/27903621" TargetMode="External" /><Relationship Type="http://schemas.openxmlformats.org/officeDocument/2006/relationships/hyperlink" Id="rId70" Target="https://www.jstor.org/stable/30204693" TargetMode="External" /></Relationships>
</file>

<file path=word/_rels/footnotes.xml.rels><?xml version="1.0" encoding="UTF-8"?>
<Relationships xmlns="http://schemas.openxmlformats.org/package/2006/relationships"><Relationship Type="http://schemas.openxmlformats.org/officeDocument/2006/relationships/hyperlink" Id="rId30" Target="/paper/False-Models-as-a-Means-to-Truer-Theories-Wimsatt/df5a743ccb01c615e0663694b2f8dff6789df3b4" TargetMode="External" /><Relationship Type="http://schemas.openxmlformats.org/officeDocument/2006/relationships/hyperlink" Id="rId39" Target="http://dspace.mit.edu/handle/1721.1/6119" TargetMode="External" /><Relationship Type="http://schemas.openxmlformats.org/officeDocument/2006/relationships/hyperlink" Id="rId29" Target="http://public.eblib.com/choice/publicfullrecord.aspx?p=1826744" TargetMode="External" /><Relationship Type="http://schemas.openxmlformats.org/officeDocument/2006/relationships/hyperlink" Id="rId27" Target="https://doi.org/10.1002/9780470756614.ch6" TargetMode="External" /><Relationship Type="http://schemas.openxmlformats.org/officeDocument/2006/relationships/hyperlink" Id="rId28" Target="https://doi.org/10.1002/9781405164481.ch18" TargetMode="External" /><Relationship Type="http://schemas.openxmlformats.org/officeDocument/2006/relationships/hyperlink" Id="rId79" Target="https://doi.org/10.1145/951656.951657" TargetMode="External" /><Relationship Type="http://schemas.openxmlformats.org/officeDocument/2006/relationships/hyperlink" Id="rId52" Target="https://doi.org/10.1609/aimag.v16i3.1145" TargetMode="External" /><Relationship Type="http://schemas.openxmlformats.org/officeDocument/2006/relationships/hyperlink" Id="rId31" Target="https://doi.org/10.4324/9780415249126-Q033-1" TargetMode="External" /><Relationship Type="http://schemas.openxmlformats.org/officeDocument/2006/relationships/hyperlink" Id="rId32" Target="https://doi.org/10.4324/9780415249126-Q072-1" TargetMode="External" /><Relationship Type="http://schemas.openxmlformats.org/officeDocument/2006/relationships/hyperlink" Id="rId85" Target="https://plato.stanford.edu/archives/win2019/entrieshought-experiment/" TargetMode="External" /><Relationship Type="http://schemas.openxmlformats.org/officeDocument/2006/relationships/hyperlink" Id="rId42" Target="https://www.jstor.org/stable/27903621" TargetMode="External" /><Relationship Type="http://schemas.openxmlformats.org/officeDocument/2006/relationships/hyperlink" Id="rId70" Target="https://www.jstor.org/stable/302046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 study in Words and Meanings</dc:title>
  <dc:creator>Willard McCarty</dc:creator>
  <cp:keywords/>
  <dcterms:created xsi:type="dcterms:W3CDTF">2020-10-30T18:06:44Z</dcterms:created>
  <dcterms:modified xsi:type="dcterms:W3CDTF">2020-10-30T18:06:44Z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biblio_hw4_romanov.bib</vt:lpwstr>
  </property>
  <property fmtid="{D5CDD505-2E9C-101B-9397-08002B2CF9AE}" pid="3" name="csl">
    <vt:lpwstr>cms-fullnote.csl</vt:lpwstr>
  </property>
  <property fmtid="{D5CDD505-2E9C-101B-9397-08002B2CF9AE}" pid="4" name="date">
    <vt:lpwstr>/today</vt:lpwstr>
  </property>
</Properties>
</file>