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lineRule="auto" w:line="259" w:before="240" w:after="0"/>
            <w:ind w:hanging="0" w:left="0"/>
            <w:jc w:val="center"/>
            <w:rPr>
              <w:rFonts w:ascii="Times New Roman" w:hAnsi="Times New Roman" w:cs="Tahoma"/>
              <w:b w:val="false"/>
              <w:bCs w:val="false"/>
              <w:color w:val="000000"/>
              <w:sz w:val="28"/>
              <w:szCs w:val="32"/>
              <w:lang w:eastAsia="ru-RU"/>
            </w:rPr>
          </w:pPr>
          <w:r>
            <w:rPr>
              <w:rFonts w:cs="Tahoma"/>
              <w:b w:val="false"/>
              <w:bCs w:val="false"/>
              <w:color w:val="000000"/>
              <w:sz w:val="28"/>
              <w:szCs w:val="32"/>
              <w:lang w:eastAsia="ru-RU"/>
            </w:rPr>
            <w:t>Содержание</w:t>
          </w:r>
        </w:p>
        <w:p>
          <w:pPr>
            <w:pStyle w:val="TOC1"/>
            <w:tabs>
              <w:tab w:val="clear" w:pos="708"/>
              <w:tab w:val="right" w:pos="9355" w:leader="dot"/>
            </w:tabs>
            <w:rPr/>
          </w:pPr>
          <w:r>
            <w:fldChar w:fldCharType="begin"/>
          </w:r>
          <w:r>
            <w:rPr>
              <w:rStyle w:val="Style16"/>
            </w:rPr>
            <w:instrText xml:space="preserve"> TOC \o "1-3" \h</w:instrText>
          </w:r>
          <w:r>
            <w:rPr>
              <w:rStyle w:val="Style16"/>
            </w:rPr>
            <w:fldChar w:fldCharType="separate"/>
          </w:r>
          <w:hyperlink w:anchor="__RefHeading___Toc22169_2829662935">
            <w:r>
              <w:rPr>
                <w:rStyle w:val="Style16"/>
              </w:rPr>
              <w:t>Введение</w:t>
            </w:r>
            <w:r>
              <w:rPr>
                <w:rStyle w:val="Style16"/>
              </w:rPr>
              <w:tab/>
              <w:t>2</w:t>
            </w:r>
          </w:hyperlink>
        </w:p>
        <w:p>
          <w:pPr>
            <w:pStyle w:val="TOC1"/>
            <w:tabs>
              <w:tab w:val="clear" w:pos="708"/>
              <w:tab w:val="right" w:pos="9355" w:leader="dot"/>
            </w:tabs>
            <w:rPr/>
          </w:pPr>
          <w:hyperlink w:anchor="__RefHeading___Toc37927_2829662935">
            <w:r>
              <w:rPr>
                <w:rStyle w:val="Style16"/>
              </w:rPr>
              <w:t>1. Теоретическая основа исследования</w:t>
              <w:tab/>
              <w:t>5</w:t>
            </w:r>
          </w:hyperlink>
        </w:p>
        <w:p>
          <w:pPr>
            <w:pStyle w:val="TOC1"/>
            <w:tabs>
              <w:tab w:val="clear" w:pos="708"/>
              <w:tab w:val="right" w:pos="9355" w:leader="dot"/>
            </w:tabs>
            <w:rPr/>
          </w:pPr>
          <w:hyperlink w:anchor="__RefHeading___Toc22187_2829662935">
            <w:r>
              <w:rPr>
                <w:rStyle w:val="Style16"/>
              </w:rPr>
              <w:t>2. Архитектурное решение</w:t>
              <w:tab/>
              <w:t>30</w:t>
            </w:r>
          </w:hyperlink>
        </w:p>
        <w:p>
          <w:pPr>
            <w:pStyle w:val="TOC1"/>
            <w:tabs>
              <w:tab w:val="clear" w:pos="708"/>
              <w:tab w:val="right" w:pos="9355" w:leader="dot"/>
            </w:tabs>
            <w:rPr/>
          </w:pPr>
          <w:hyperlink w:anchor="__RefHeading___Toc37925_2829662935">
            <w:r>
              <w:rPr>
                <w:rStyle w:val="Style16"/>
              </w:rPr>
              <w:t>3. Техническая реализация</w:t>
              <w:tab/>
              <w:t>34</w:t>
            </w:r>
          </w:hyperlink>
        </w:p>
        <w:p>
          <w:pPr>
            <w:pStyle w:val="TOC1"/>
            <w:tabs>
              <w:tab w:val="clear" w:pos="708"/>
              <w:tab w:val="right" w:pos="9355" w:leader="dot"/>
            </w:tabs>
            <w:rPr/>
          </w:pPr>
          <w:hyperlink w:anchor="__RefHeading___Toc22201_2829662935">
            <w:r>
              <w:rPr>
                <w:rStyle w:val="Style16"/>
              </w:rPr>
              <w:t>4. Тестирование и опытная эксплуатация информационной системы</w:t>
              <w:tab/>
              <w:t>53</w:t>
            </w:r>
          </w:hyperlink>
        </w:p>
        <w:p>
          <w:pPr>
            <w:pStyle w:val="TOC1"/>
            <w:tabs>
              <w:tab w:val="clear" w:pos="708"/>
              <w:tab w:val="right" w:pos="9355" w:leader="dot"/>
            </w:tabs>
            <w:rPr/>
          </w:pPr>
          <w:hyperlink w:anchor="__RefHeading___Toc22203_2829662935">
            <w:r>
              <w:rPr>
                <w:rStyle w:val="Style16"/>
              </w:rPr>
              <w:t>5. Оценка экономической эффективности проекта</w:t>
              <w:tab/>
              <w:t>54</w:t>
            </w:r>
          </w:hyperlink>
        </w:p>
        <w:p>
          <w:pPr>
            <w:pStyle w:val="TOC1"/>
            <w:tabs>
              <w:tab w:val="clear" w:pos="708"/>
              <w:tab w:val="right" w:pos="9355" w:leader="dot"/>
            </w:tabs>
            <w:rPr/>
          </w:pPr>
          <w:hyperlink w:anchor="__RefHeading___Toc22211_2829662935">
            <w:r>
              <w:rPr>
                <w:rStyle w:val="Style16"/>
              </w:rPr>
              <w:t>Заключение</w:t>
              <w:tab/>
              <w:t>59</w:t>
            </w:r>
          </w:hyperlink>
        </w:p>
        <w:p>
          <w:pPr>
            <w:pStyle w:val="TOC1"/>
            <w:tabs>
              <w:tab w:val="clear" w:pos="708"/>
              <w:tab w:val="right" w:pos="9355" w:leader="dot"/>
            </w:tabs>
            <w:rPr/>
          </w:pPr>
          <w:hyperlink w:anchor="__RefHeading___Toc22213_2829662935">
            <w:r>
              <w:rPr>
                <w:rStyle w:val="Style16"/>
              </w:rPr>
              <w:t>Список литературы</w:t>
              <w:tab/>
              <w:t>61</w:t>
            </w:r>
          </w:hyperlink>
          <w:r>
            <w:rPr>
              <w:rStyle w:val="Style16"/>
            </w:rPr>
            <w:fldChar w:fldCharType="end"/>
          </w:r>
        </w:p>
      </w:sdtContent>
    </w:sdt>
    <w:p>
      <w:pPr>
        <w:pStyle w:val="Normal"/>
        <w:rPr>
          <w:rFonts w:ascii="Times New Roman" w:hAnsi="Times New Roman" w:eastAsia="Cambria" w:cs="Times New Roman"/>
          <w:bCs/>
          <w:sz w:val="28"/>
          <w:szCs w:val="28"/>
        </w:rPr>
      </w:pPr>
      <w:r>
        <w:rPr>
          <w:rFonts w:eastAsia="Cambria" w:cs="Times New Roman"/>
          <w:bCs/>
          <w:sz w:val="28"/>
          <w:szCs w:val="28"/>
        </w:rPr>
      </w:r>
      <w:r>
        <w:br w:type="page"/>
      </w:r>
    </w:p>
    <w:p>
      <w:pPr>
        <w:pStyle w:val="Heading1"/>
        <w:spacing w:before="0" w:after="240"/>
        <w:ind w:hanging="0" w:left="0"/>
        <w:jc w:val="center"/>
        <w:rPr>
          <w:rFonts w:ascii="Times New Roman" w:hAnsi="Times New Roman" w:eastAsia="Cambria"/>
          <w:b w:val="false"/>
          <w:color w:val="auto"/>
        </w:rPr>
      </w:pPr>
      <w:bookmarkStart w:id="0" w:name="__RefHeading___Toc22169_2829662935"/>
      <w:bookmarkStart w:id="1" w:name="_Toc515886983"/>
      <w:bookmarkEnd w:id="0"/>
      <w:r>
        <w:rPr>
          <w:rFonts w:eastAsia="Cambria"/>
          <w:b w:val="false"/>
          <w:color w:val="auto"/>
        </w:rPr>
        <w:t>Введение</w:t>
      </w:r>
      <w:bookmarkEnd w:id="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[1]</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основе вышесказанного, было принято решение о внедрении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Актуальность исследования:</w:t>
      </w:r>
      <w:r>
        <w:rPr>
          <w:rFonts w:eastAsia="Times New Roman" w:cs="Times New Roman"/>
          <w:sz w:val="28"/>
          <w:szCs w:val="28"/>
          <w:lang w:eastAsia="ru-RU"/>
        </w:rPr>
        <w:t xml:space="preserve"> Актуальность темы исследования обусловлена критической важностью выбора надежных поставщиков для обеспечения бесперебойной деятельности торговых предприятий в условиях современной рыночной нестабильности. Основная проблема заключается в противоречии между необходимостью быстрого принятия решений о закупках и трудоемкостью традиционных методов сбора и верификации информации о контрагентах, которая часто разрозненна и труднодоступна. . В связи с этим разработка программного модуля на основе интеллектуального анализа данных, позволяющего оперативно и объективно оценивать благонадежность поставщиков, является своевременным и практически значимым решением.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Объект исследования:</w:t>
      </w:r>
      <w:r>
        <w:rPr>
          <w:rFonts w:eastAsia="Times New Roman" w:cs="Times New Roman"/>
          <w:sz w:val="28"/>
          <w:szCs w:val="28"/>
          <w:lang w:eastAsia="ru-RU"/>
        </w:rPr>
        <w:t xml:space="preserve"> торговая организация АО "РТК".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Предмет исследования:</w:t>
      </w:r>
      <w:r>
        <w:rPr>
          <w:rFonts w:eastAsia="Times New Roman" w:cs="Times New Roman"/>
          <w:sz w:val="28"/>
          <w:szCs w:val="28"/>
          <w:lang w:eastAsia="ru-RU"/>
        </w:rPr>
        <w:t xml:space="preserve"> закупочная деятельность организации, в частности процесс </w:t>
      </w:r>
      <w:r>
        <w:rPr>
          <w:rFonts w:cs="Times New Roman"/>
          <w:color w:val="000000"/>
          <w:sz w:val="28"/>
          <w:szCs w:val="28"/>
          <w:shd w:fill="FFFFFF" w:val="clear"/>
        </w:rPr>
        <w:t>оценки благонадежности и выбора поставщика товаров</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b/>
          <w:bCs/>
          <w:sz w:val="28"/>
          <w:szCs w:val="28"/>
        </w:rPr>
        <w:t>Цель работы:</w:t>
      </w:r>
      <w:r>
        <w:rPr>
          <w:rFonts w:eastAsia="Times New Roman" w:cs="Times New Roman"/>
          <w:sz w:val="28"/>
          <w:szCs w:val="28"/>
        </w:rPr>
        <w:t xml:space="preserve"> </w:t>
      </w:r>
      <w:r>
        <w:rPr>
          <w:rFonts w:cs="Times New Roman"/>
          <w:color w:val="000000"/>
          <w:sz w:val="28"/>
          <w:szCs w:val="28"/>
          <w:shd w:fill="FFFFFF" w:val="clear"/>
        </w:rPr>
        <w:t xml:space="preserve">разработка информационной системы оценки благонадежности поставщика товаров </w:t>
      </w:r>
      <w:r>
        <w:rPr>
          <w:rFonts w:eastAsia="Times New Roman" w:cs="Times New Roman"/>
          <w:sz w:val="28"/>
          <w:szCs w:val="28"/>
        </w:rPr>
        <w:t xml:space="preserve">для повышения качества и эффективности труда сотрудников </w:t>
      </w:r>
      <w:r>
        <w:rPr>
          <w:rFonts w:cs="Times New Roman"/>
          <w:color w:val="000000"/>
          <w:sz w:val="28"/>
          <w:szCs w:val="28"/>
          <w:shd w:fill="FFFFFF" w:val="clear"/>
        </w:rPr>
        <w:t>организации АО "РТК"</w:t>
      </w:r>
      <w:r>
        <w:rPr>
          <w:rFonts w:eastAsia="Times New Roman" w:cs="Times New Roman"/>
          <w:sz w:val="28"/>
          <w:szCs w:val="28"/>
        </w:rPr>
        <w:t>.</w:t>
      </w:r>
    </w:p>
    <w:p>
      <w:pPr>
        <w:pStyle w:val="Normal"/>
        <w:spacing w:lineRule="auto" w:line="360" w:before="0" w:after="0"/>
        <w:ind w:firstLine="709"/>
        <w:jc w:val="both"/>
        <w:rPr>
          <w:b/>
          <w:bCs/>
        </w:rPr>
      </w:pPr>
      <w:r>
        <w:rPr>
          <w:rFonts w:eastAsia="Times New Roman" w:cs="Times New Roman"/>
          <w:b/>
          <w:bCs/>
          <w:sz w:val="28"/>
          <w:szCs w:val="28"/>
          <w:lang w:val="ru-RU"/>
        </w:rPr>
        <w:t>З</w:t>
      </w:r>
      <w:r>
        <w:rPr>
          <w:rFonts w:eastAsia="Times New Roman" w:cs="Times New Roman"/>
          <w:b/>
          <w:bCs/>
          <w:sz w:val="28"/>
          <w:szCs w:val="28"/>
        </w:rPr>
        <w:t>адачи:</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Провести анализ теоретических основ и существующих методов оценки благонадежности поставщиков, а также выполнить обзор и сравнительный анализ рынка аналогичного программного обеспечения.</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Выполнить анализ деятельности и организационной структуры АО "РТК", исследовать бизнес-процесс закупки товаров и выбора поставщика, выявить его недостатки и сформировать предложения по автоматизации.</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Разработать архитектуру и выполнить техническую реализацию информационной системы (модуля) для оценки благонадежности поставщиков на платформе «1С:Предприятие 8.3» с интеграцией Python-сервиса на основе машинного обучения.</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Провести тестирование и опытную эксплуатацию разработанной информационной системы для подтверждения ее работоспособности и стабильности.</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Оценить экономическую эффективность внедрения разработанного проектного решения.</w:t>
      </w:r>
    </w:p>
    <w:p>
      <w:pPr>
        <w:pStyle w:val="Normal"/>
        <w:spacing w:lineRule="auto" w:line="360" w:before="0" w:after="0"/>
        <w:jc w:val="both"/>
        <w:rPr>
          <w:rFonts w:ascii="Times New Roman" w:hAnsi="Times New Roman" w:eastAsia="Times New Roman" w:cs="Times New Roman"/>
          <w:sz w:val="28"/>
          <w:szCs w:val="28"/>
        </w:rPr>
      </w:pPr>
      <w:r>
        <w:rPr>
          <w:rFonts w:eastAsia="Times New Roman" w:cs="Times New Roman"/>
          <w:sz w:val="28"/>
          <w:szCs w:val="28"/>
        </w:rPr>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r>
        <w:br w:type="page"/>
      </w:r>
    </w:p>
    <w:p>
      <w:pPr>
        <w:pStyle w:val="Heading1"/>
        <w:spacing w:before="0" w:after="240"/>
        <w:ind w:hanging="0" w:left="0"/>
        <w:jc w:val="center"/>
        <w:rPr/>
      </w:pPr>
      <w:bookmarkStart w:id="2" w:name="__RefHeading___Toc37927_2829662935"/>
      <w:bookmarkEnd w:id="2"/>
      <w:r>
        <w:rPr/>
        <w:t>1. Теоретическая основа исследования</w:t>
      </w:r>
    </w:p>
    <w:p>
      <w:pPr>
        <w:pStyle w:val="Normal"/>
        <w:numPr>
          <w:ilvl w:val="1"/>
          <w:numId w:val="7"/>
        </w:numPr>
        <w:jc w:val="center"/>
        <w:rPr>
          <w:rFonts w:ascii="Times New Roman" w:hAnsi="Times New Roman" w:eastAsia="Cambria"/>
          <w:b w:val="false"/>
          <w:color w:val="auto"/>
        </w:rPr>
      </w:pPr>
      <w:bookmarkStart w:id="3" w:name="__RefHeading___Toc22171_2829662935"/>
      <w:bookmarkStart w:id="4" w:name="_Toc515886984"/>
      <w:bookmarkStart w:id="5" w:name="_Hlk515217304"/>
      <w:bookmarkStart w:id="6" w:name="_Toc483760664"/>
      <w:bookmarkEnd w:id="3"/>
      <w:r>
        <w:rPr/>
        <w:t>Методы и модели анализа данных</w:t>
      </w:r>
      <w:bookmarkEnd w:id="6"/>
      <w:r>
        <w:rPr/>
        <w:t xml:space="preserve"> для оценки благонадежности поставщика товаров</w:t>
      </w:r>
      <w:bookmarkEnd w:id="4"/>
      <w:bookmarkEnd w:id="5"/>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[3]</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существует большое количество поставщиков одинаковых товаров и услуг, что приводит в основном к выбору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 [4]</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pPr>
        <w:pStyle w:val="Normal"/>
        <w:shd w:val="clear" w:fill="FFFFFF"/>
        <w:spacing w:lineRule="auto" w:line="360" w:before="0" w:after="0"/>
        <w:ind w:firstLine="709"/>
        <w:contextualSpacing/>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 [5]</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shd w:fill="FFFFFF" w:val="clear"/>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[6]</w:t>
      </w:r>
    </w:p>
    <w:p>
      <w:pPr>
        <w:pStyle w:val="Normal"/>
        <w:spacing w:lineRule="auto" w:line="360" w:before="0" w:after="0"/>
        <w:ind w:firstLine="709"/>
        <w:jc w:val="both"/>
        <w:rPr>
          <w:rFonts w:ascii="Times New Roman" w:hAnsi="Times New Roman" w:eastAsia="Times New Roman" w:cs="Times New Roman"/>
          <w:sz w:val="28"/>
          <w:szCs w:val="28"/>
          <w:shd w:fill="FFFFFF" w:val="clear"/>
          <w:lang w:eastAsia="ru-RU"/>
        </w:rPr>
      </w:pPr>
      <w:r>
        <w:rPr>
          <w:rFonts w:eastAsia="Times New Roman" w:cs="Times New Roman"/>
          <w:sz w:val="28"/>
          <w:szCs w:val="28"/>
          <w:shd w:fill="FFFFFF" w:val="clear"/>
          <w:lang w:eastAsia="ru-RU"/>
        </w:rPr>
        <w:t>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1.1.</w:t>
      </w:r>
    </w:p>
    <w:p>
      <w:pPr>
        <w:pStyle w:val="Normal"/>
        <w:spacing w:lineRule="auto" w:line="360" w:before="0" w:after="0"/>
        <w:ind w:firstLine="709"/>
        <w:jc w:val="both"/>
        <w:rPr>
          <w:rFonts w:ascii="Times New Roman" w:hAnsi="Times New Roman" w:eastAsia="Times New Roman" w:cs="Times New Roman"/>
          <w:color w:val="645952"/>
          <w:sz w:val="28"/>
          <w:szCs w:val="28"/>
          <w:shd w:fill="FFFFFF" w:val="clear"/>
          <w:lang w:eastAsia="ru-RU"/>
        </w:rPr>
      </w:pPr>
      <w:r>
        <w:rPr>
          <w:rFonts w:eastAsia="Times New Roman" w:cs="Times New Roman"/>
          <w:color w:val="645952"/>
          <w:sz w:val="28"/>
          <w:szCs w:val="28"/>
          <w:shd w:fill="FFFFFF" w:val="clear"/>
          <w:lang w:eastAsia="ru-RU"/>
        </w:rPr>
      </w:r>
    </w:p>
    <w:p>
      <w:pPr>
        <w:pStyle w:val="Normal"/>
        <w:keepNext w:val="true"/>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2629535" cy="2599690"/>
            <wp:effectExtent l="0" t="0" r="0" b="0"/>
            <wp:docPr id="1" name="Рисунок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46" descr=""/>
                    <pic:cNvPicPr>
                      <a:picLocks noChangeAspect="1" noChangeArrowheads="1"/>
                    </pic:cNvPicPr>
                  </pic:nvPicPr>
                  <pic:blipFill>
                    <a:blip r:embed="rId2"/>
                    <a:stretch>
                      <a:fillRect/>
                    </a:stretch>
                  </pic:blipFill>
                  <pic:spPr bwMode="auto">
                    <a:xfrm>
                      <a:off x="0" y="0"/>
                      <a:ext cx="2629535" cy="2599690"/>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1.1 – Типы задач анализа данных</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val="false"/>
        <w:shd w:val="clear" w:fill="FFFFFF"/>
        <w:spacing w:lineRule="auto" w:line="360" w:before="0" w:after="0"/>
        <w:ind w:firstLine="709"/>
        <w:contextualSpacing/>
        <w:jc w:val="both"/>
        <w:rPr>
          <w:rFonts w:ascii="Times New Roman" w:hAnsi="Times New Roman" w:cs="Times New Roman"/>
          <w:sz w:val="28"/>
          <w:szCs w:val="28"/>
        </w:rPr>
      </w:pPr>
      <w:r>
        <w:rPr>
          <w:rFonts w:cs="Times New Roman"/>
          <w:sz w:val="28"/>
          <w:szCs w:val="28"/>
        </w:rPr>
        <w:t>Рассмотрим основные методы оценки качества поставщиков, наиболее широко применяемые в настоящее время.</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(таблица 3).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 формализованном виде рейтинг </w:t>
      </w:r>
      <w:r>
        <w:rPr>
          <w:rFonts w:cs="Times New Roman"/>
          <w:sz w:val="28"/>
          <w:szCs w:val="28"/>
          <w:lang w:val="en-US"/>
        </w:rPr>
        <w:t>R</w:t>
      </w:r>
      <w:r>
        <w:rPr>
          <w:rFonts w:cs="Times New Roman"/>
          <w:sz w:val="28"/>
          <w:szCs w:val="28"/>
        </w:rPr>
        <w:t xml:space="preserve"> поставщика определяется выражением:</w:t>
      </w:r>
    </w:p>
    <w:p>
      <w:pPr>
        <w:pStyle w:val="Normal"/>
        <w:widowControl w:val="false"/>
        <w:shd w:val="clear" w:fill="FFFFFF"/>
        <w:spacing w:lineRule="auto" w:line="360" w:before="0" w:after="0"/>
        <w:ind w:firstLine="709"/>
        <w:jc w:val="center"/>
        <w:rPr>
          <w:rFonts w:ascii="Times New Roman" w:hAnsi="Times New Roman" w:cs="Times New Roman"/>
          <w:sz w:val="28"/>
          <w:szCs w:val="28"/>
        </w:rPr>
      </w:pPr>
      <w:r>
        <w:rPr>
          <w:rFonts w:cs="Times New Roman"/>
          <w:i/>
          <w:sz w:val="28"/>
          <w:szCs w:val="28"/>
          <w:lang w:val="en-US"/>
        </w:rPr>
        <w:t>R</w:t>
      </w:r>
      <w:r>
        <w:rPr>
          <w:rFonts w:cs="Times New Roman"/>
          <w:i/>
          <w:sz w:val="28"/>
          <w:szCs w:val="28"/>
        </w:rPr>
        <w:t xml:space="preserve"> = </w:t>
      </w:r>
      <w:r>
        <w:rPr>
          <w:rFonts w:eastAsia="Symbol" w:cs="Symbol" w:ascii="Symbol" w:hAnsi="Symbol"/>
          <w:i/>
          <w:sz w:val="28"/>
          <w:szCs w:val="28"/>
          <w:lang w:val="en-US"/>
        </w:rPr>
        <w:sym w:font="Symbol" w:char="f0e5"/>
      </w:r>
      <w:r>
        <w:rPr>
          <w:rFonts w:cs="Times New Roman"/>
          <w:i/>
          <w:sz w:val="28"/>
          <w:szCs w:val="28"/>
        </w:rPr>
        <w:t xml:space="preserve"> </w:t>
      </w:r>
      <w:r>
        <w:rPr>
          <w:rFonts w:cs="Times New Roman"/>
          <w:i/>
          <w:sz w:val="28"/>
          <w:szCs w:val="28"/>
          <w:lang w:val="en-US"/>
        </w:rPr>
        <w:t>C</w:t>
      </w:r>
      <w:r>
        <w:rPr>
          <w:rFonts w:cs="Times New Roman"/>
          <w:i/>
          <w:sz w:val="28"/>
          <w:szCs w:val="28"/>
          <w:vertAlign w:val="subscript"/>
          <w:lang w:val="en-US"/>
        </w:rPr>
        <w:t>i</w:t>
      </w:r>
      <w:r>
        <w:rPr>
          <w:rFonts w:cs="Times New Roman"/>
          <w:i/>
          <w:sz w:val="28"/>
          <w:szCs w:val="28"/>
        </w:rPr>
        <w:t xml:space="preserve"> </w:t>
      </w:r>
      <w:r>
        <w:rPr>
          <w:rFonts w:cs="Times New Roman"/>
          <w:i/>
          <w:sz w:val="28"/>
          <w:szCs w:val="28"/>
          <w:lang w:val="en-US"/>
        </w:rPr>
        <w:t>X</w:t>
      </w:r>
      <w:r>
        <w:rPr>
          <w:rFonts w:cs="Times New Roman"/>
          <w:i/>
          <w:sz w:val="28"/>
          <w:szCs w:val="28"/>
          <w:vertAlign w:val="subscript"/>
          <w:lang w:val="en-US"/>
        </w:rPr>
        <w:t>i</w:t>
      </w:r>
      <w:r>
        <w:rPr>
          <w:rFonts w:cs="Times New Roman"/>
          <w:i/>
          <w:sz w:val="28"/>
          <w:szCs w:val="28"/>
        </w:rPr>
        <w:t xml:space="preserve"> </w:t>
        <w:tab/>
        <w:t>,</w:t>
      </w:r>
      <w:r>
        <w:rPr>
          <w:rFonts w:cs="Times New Roman"/>
          <w:sz w:val="28"/>
          <w:szCs w:val="28"/>
        </w:rPr>
        <w:tab/>
        <w:t>(1)</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где </w:t>
      </w:r>
      <w:r>
        <w:rPr>
          <w:rFonts w:cs="Times New Roman"/>
          <w:i/>
          <w:sz w:val="28"/>
          <w:szCs w:val="28"/>
          <w:lang w:val="en-US"/>
        </w:rPr>
        <w:t>N</w:t>
      </w:r>
      <w:r>
        <w:rPr>
          <w:rFonts w:cs="Times New Roman"/>
          <w:sz w:val="28"/>
          <w:szCs w:val="28"/>
        </w:rPr>
        <w:t xml:space="preserve"> – число показателей оценки рейтинга поставщика;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X</w:t>
      </w:r>
      <w:r>
        <w:rPr>
          <w:rFonts w:cs="Times New Roman"/>
          <w:i/>
          <w:sz w:val="28"/>
          <w:szCs w:val="28"/>
          <w:vertAlign w:val="subscript"/>
          <w:lang w:val="en-US"/>
        </w:rPr>
        <w:t>i</w:t>
      </w:r>
      <w:r>
        <w:rPr>
          <w:rFonts w:cs="Times New Roman"/>
          <w:sz w:val="28"/>
          <w:szCs w:val="28"/>
        </w:rPr>
        <w:t xml:space="preserve"> – удельный вес показателя (выраженный в долях, а не в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C</w:t>
      </w:r>
      <w:r>
        <w:rPr>
          <w:rFonts w:cs="Times New Roman"/>
          <w:i/>
          <w:sz w:val="28"/>
          <w:szCs w:val="28"/>
          <w:vertAlign w:val="subscript"/>
          <w:lang w:val="en-US"/>
        </w:rPr>
        <w:t>i</w:t>
      </w:r>
      <w:r>
        <w:rPr>
          <w:rFonts w:cs="Times New Roman"/>
          <w:sz w:val="28"/>
          <w:szCs w:val="28"/>
        </w:rPr>
        <w:t xml:space="preserve"> – балльная оценка величины этого показателя, обеспечиваемая данным поставщиком.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оценки затрат</w:t>
      </w:r>
      <w:r>
        <w:rPr>
          <w:rFonts w:cs="Times New Roman"/>
          <w:i/>
          <w:sz w:val="28"/>
          <w:szCs w:val="28"/>
        </w:rPr>
        <w:t xml:space="preserve"> - э</w:t>
      </w:r>
      <w:r>
        <w:rPr>
          <w:rFonts w:cs="Times New Roman"/>
          <w:sz w:val="28"/>
          <w:szCs w:val="28"/>
        </w:rPr>
        <w:t>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общей прибыли).</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suppressAutoHyphens w:val="true"/>
        <w:overflowPunct w:val="false"/>
        <w:spacing w:lineRule="auto" w:line="360"/>
        <w:ind w:hanging="0" w:left="0"/>
        <w:jc w:val="center"/>
        <w:rPr/>
      </w:pPr>
      <w:r>
        <w:rPr/>
      </w:r>
      <w:r>
        <w:br w:type="page"/>
      </w:r>
    </w:p>
    <w:p>
      <w:pPr>
        <w:pStyle w:val="Normal"/>
        <w:numPr>
          <w:ilvl w:val="1"/>
          <w:numId w:val="7"/>
        </w:numPr>
        <w:spacing w:before="0" w:after="160"/>
        <w:jc w:val="center"/>
        <w:rPr/>
      </w:pPr>
      <w:bookmarkStart w:id="7" w:name="__RefHeading___Toc22173_2829662935"/>
      <w:bookmarkStart w:id="8" w:name="_Toc515886985"/>
      <w:bookmarkEnd w:id="7"/>
      <w:r>
        <w:rPr/>
        <w:t>Характеристика деятельности АО "РТК"</w:t>
      </w:r>
      <w:bookmarkEnd w:id="8"/>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АО "РТК" – компания, основным видом деятельности которой является торговля розничная телекоммуникационным оборудованием, мобильными телефонами и аксессуарами в специализированных магазинах.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Организация зарегистрирована 7 сентября 2001 г. регистратором ИФНС России № 9 по г.Москве.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Основные функции каждого магазина компании следующие:</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Заказ и закупка товаров у поставщиков;</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заказа и продажа товаров клиентам;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Возврат товаров поставщику в случаях, оговоренных договором;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Складской учет;</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Проведение инвентаризации;</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первичной документации.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7"/>
        </w:numPr>
        <w:jc w:val="center"/>
        <w:rPr>
          <w:rFonts w:ascii="Times New Roman" w:hAnsi="Times New Roman" w:eastAsia="Times New Roman"/>
          <w:b w:val="false"/>
          <w:color w:val="auto"/>
          <w:lang w:eastAsia="ru-RU"/>
        </w:rPr>
      </w:pPr>
      <w:bookmarkStart w:id="9" w:name="__RefHeading___Toc22175_2829662935"/>
      <w:bookmarkStart w:id="10" w:name="_Toc515886986"/>
      <w:bookmarkEnd w:id="9"/>
      <w:r>
        <w:rPr/>
        <w:t>Организационная структура управления АО "РТК"</w:t>
      </w:r>
      <w:bookmarkEnd w:id="1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Контроль и управление сетью магазинов компании «АО "РТК" осуществляет ряд лиц, работающих в центральном офисе компании. Свою организационную структуру также имеет каждая торговая точка в отдельности.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1.2).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3686810" cy="252031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rcRect l="0" t="5437" r="0" b="8677"/>
                    <a:stretch>
                      <a:fillRect/>
                    </a:stretch>
                  </pic:blipFill>
                  <pic:spPr bwMode="auto">
                    <a:xfrm>
                      <a:off x="0" y="0"/>
                      <a:ext cx="3686810" cy="2520315"/>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rFonts w:eastAsia="Times New Roman" w:cs="Times New Roman"/>
          <w:sz w:val="28"/>
          <w:szCs w:val="28"/>
          <w:lang w:eastAsia="ru-RU"/>
        </w:rPr>
        <w:t>Рисунок 1.2 - Организационная структура магазина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ab/>
        <w:tab/>
        <w:tab/>
        <w:tab/>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Организация продаж;</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Консультация клиентов магазина по характеристикам и стоимости товаров;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Проведение платежных операций;</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Выдача покупок;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Контроль товаров в торговом зале;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Инвентаризация;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Составление первичной отчетности.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Pr>
          <w:rFonts w:eastAsia="Times New Roman" w:cs="Times New Roman"/>
          <w:sz w:val="28"/>
          <w:szCs w:val="28"/>
          <w:lang w:val="en-US" w:eastAsia="ru-RU"/>
        </w:rPr>
        <w:t>IDEF</w:t>
      </w:r>
      <w:r>
        <w:rPr>
          <w:rFonts w:eastAsia="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АО "РТК".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jc w:val="center"/>
        <w:rPr>
          <w:rFonts w:ascii="Times New Roman" w:hAnsi="Times New Roman" w:eastAsia="Times New Roman"/>
          <w:b w:val="false"/>
          <w:color w:val="auto"/>
          <w:lang w:eastAsia="ru-RU"/>
        </w:rPr>
      </w:pPr>
      <w:bookmarkStart w:id="11" w:name="__RefHeading___Toc22177_2829662935"/>
      <w:bookmarkEnd w:id="11"/>
      <w:r>
        <w:rPr>
          <w:rFonts w:eastAsia="Times New Roman"/>
          <w:b w:val="false"/>
          <w:color w:val="auto"/>
          <w:lang w:eastAsia="ru-RU"/>
        </w:rPr>
        <w:t xml:space="preserve">1.4 </w:t>
      </w:r>
      <w:bookmarkStart w:id="12" w:name="_Toc515886987"/>
      <w:r>
        <w:rPr>
          <w:rFonts w:eastAsia="Times New Roman"/>
          <w:b w:val="false"/>
          <w:color w:val="auto"/>
          <w:lang w:eastAsia="ru-RU"/>
        </w:rPr>
        <w:t>Описание и анализ бизнес процесса закупки товаров</w:t>
      </w:r>
      <w:bookmarkEnd w:id="1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Pr>
          <w:rFonts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АО "РТК"</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 xml:space="preserve">Моделирование проведём с помощью стандарта IDEF0 в контексте </w:t>
      </w:r>
      <w:r>
        <w:rPr>
          <w:rFonts w:cs="Times New Roman"/>
          <w:sz w:val="28"/>
          <w:szCs w:val="28"/>
          <w:lang w:val="en-US"/>
        </w:rPr>
        <w:t>AS</w:t>
      </w:r>
      <w:r>
        <w:rPr>
          <w:rFonts w:cs="Times New Roman"/>
          <w:sz w:val="28"/>
          <w:szCs w:val="28"/>
        </w:rPr>
        <w:t>-</w:t>
      </w:r>
      <w:r>
        <w:rPr>
          <w:rFonts w:cs="Times New Roman"/>
          <w:sz w:val="28"/>
          <w:szCs w:val="28"/>
          <w:lang w:val="en-US"/>
        </w:rPr>
        <w:t>IS</w:t>
      </w:r>
      <w:r>
        <w:rPr>
          <w:rFonts w:cs="Times New Roman"/>
          <w:sz w:val="28"/>
          <w:szCs w:val="28"/>
        </w:rPr>
        <w:t>. Данная модель предназначена для описания существующих бизнес-процессов на предприятии.</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 [7]</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1.3.</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r>
    </w:p>
    <w:p>
      <w:pPr>
        <w:pStyle w:val="Normal"/>
        <w:spacing w:lineRule="auto" w:line="360" w:before="0" w:after="0"/>
        <w:jc w:val="center"/>
        <w:rPr>
          <w:rFonts w:ascii="Times New Roman" w:hAnsi="Times New Roman" w:cs="Times New Roman"/>
          <w:sz w:val="28"/>
          <w:szCs w:val="28"/>
        </w:rPr>
      </w:pPr>
      <w:r>
        <w:rPr/>
        <w:drawing>
          <wp:inline distT="0" distB="0" distL="0" distR="0">
            <wp:extent cx="4762500" cy="3317875"/>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4"/>
                    <a:stretch>
                      <a:fillRect/>
                    </a:stretch>
                  </pic:blipFill>
                  <pic:spPr bwMode="auto">
                    <a:xfrm>
                      <a:off x="0" y="0"/>
                      <a:ext cx="4762500" cy="3317875"/>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rPr>
      </w:pPr>
      <w:bookmarkStart w:id="13" w:name="OLE_LINK24"/>
      <w:bookmarkStart w:id="14" w:name="OLE_LINK25"/>
      <w:bookmarkEnd w:id="13"/>
      <w:bookmarkEnd w:id="14"/>
      <w:r>
        <w:rPr>
          <w:rFonts w:eastAsia="Times New Roman" w:cs="Times New Roman"/>
          <w:sz w:val="28"/>
          <w:szCs w:val="28"/>
          <w:lang w:eastAsia="ru-RU"/>
        </w:rPr>
        <w:t>Рисунок 1.</w:t>
      </w:r>
      <w:r>
        <w:rPr>
          <w:rFonts w:cs="Times New Roman"/>
          <w:sz w:val="28"/>
          <w:szCs w:val="28"/>
        </w:rPr>
        <w:t xml:space="preserve">3 – </w:t>
      </w:r>
      <w:r>
        <w:rPr>
          <w:rFonts w:cs="Times New Roman"/>
          <w:sz w:val="28"/>
          <w:szCs w:val="28"/>
          <w:lang w:eastAsia="ar-SA"/>
        </w:rPr>
        <w:t xml:space="preserve">Контекстная диаграмма </w:t>
      </w:r>
      <w:r>
        <w:rPr>
          <w:rFonts w:cs="Times New Roman"/>
          <w:sz w:val="28"/>
          <w:szCs w:val="28"/>
        </w:rPr>
        <w:t>процесса закупки товаров в АО "РТК"</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bookmarkStart w:id="15" w:name="OLE_LINK24_Копия_1"/>
      <w:bookmarkStart w:id="16" w:name="OLE_LINK25_Копия_1"/>
      <w:bookmarkStart w:id="17" w:name="OLE_LINK24_Копия_1"/>
      <w:bookmarkStart w:id="18" w:name="OLE_LINK25_Копия_1"/>
      <w:bookmarkEnd w:id="17"/>
      <w:bookmarkEnd w:id="18"/>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lang w:eastAsia="ar-SA"/>
        </w:rPr>
        <w:t xml:space="preserve">Декомпозиция </w:t>
      </w:r>
      <w:r>
        <w:rPr>
          <w:rFonts w:cs="Times New Roman"/>
          <w:sz w:val="28"/>
          <w:szCs w:val="28"/>
        </w:rPr>
        <w:t>процесса закупки товаров в АО "РТК" представлена на рисунке 1.4.</w:t>
      </w:r>
    </w:p>
    <w:p>
      <w:pPr>
        <w:pStyle w:val="Normal"/>
        <w:spacing w:lineRule="auto" w:line="360" w:before="0" w:after="0"/>
        <w:jc w:val="center"/>
        <w:rPr>
          <w:rFonts w:ascii="Times New Roman" w:hAnsi="Times New Roman" w:cs="Times New Roman"/>
          <w:sz w:val="28"/>
          <w:szCs w:val="28"/>
        </w:rPr>
      </w:pPr>
      <w:r>
        <w:rPr/>
        <w:drawing>
          <wp:inline distT="0" distB="0" distL="0" distR="0">
            <wp:extent cx="4972050" cy="346583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5"/>
                    <a:stretch>
                      <a:fillRect/>
                    </a:stretch>
                  </pic:blipFill>
                  <pic:spPr bwMode="auto">
                    <a:xfrm>
                      <a:off x="0" y="0"/>
                      <a:ext cx="4972050" cy="3465830"/>
                    </a:xfrm>
                    <a:prstGeom prst="rect">
                      <a:avLst/>
                    </a:prstGeom>
                  </pic:spPr>
                </pic:pic>
              </a:graphicData>
            </a:graphic>
          </wp:inline>
        </w:drawing>
      </w:r>
    </w:p>
    <w:p>
      <w:pPr>
        <w:pStyle w:val="Normal"/>
        <w:suppressAutoHyphens w:val="true"/>
        <w:spacing w:lineRule="auto" w:line="360" w:before="0" w:after="0"/>
        <w:ind w:firstLine="709"/>
        <w:jc w:val="center"/>
        <w:rPr>
          <w:rFonts w:ascii="Times New Roman" w:hAnsi="Times New Roman" w:cs="Times New Roman"/>
          <w:sz w:val="28"/>
          <w:szCs w:val="28"/>
        </w:rPr>
      </w:pPr>
      <w:r>
        <w:rPr>
          <w:rFonts w:eastAsia="Times New Roman" w:cs="Times New Roman"/>
          <w:sz w:val="28"/>
          <w:szCs w:val="28"/>
          <w:lang w:eastAsia="ru-RU"/>
        </w:rPr>
        <w:t>Рисунок 1.</w:t>
      </w:r>
      <w:r>
        <w:rPr>
          <w:rFonts w:cs="Times New Roman"/>
          <w:sz w:val="28"/>
          <w:szCs w:val="28"/>
        </w:rPr>
        <w:t xml:space="preserve">4 – </w:t>
      </w:r>
      <w:r>
        <w:rPr>
          <w:rFonts w:cs="Times New Roman"/>
          <w:sz w:val="28"/>
          <w:szCs w:val="28"/>
          <w:lang w:eastAsia="ar-SA"/>
        </w:rPr>
        <w:t xml:space="preserve">Декомпозиция диаграммы </w:t>
      </w:r>
      <w:r>
        <w:rPr>
          <w:rFonts w:cs="Times New Roman"/>
          <w:sz w:val="28"/>
          <w:szCs w:val="28"/>
        </w:rPr>
        <w:t>процесса закупки товаров в АО "РТК"</w:t>
      </w:r>
    </w:p>
    <w:p>
      <w:pPr>
        <w:pStyle w:val="Normal"/>
        <w:spacing w:lineRule="auto" w:line="360" w:before="0" w:after="0"/>
        <w:ind w:firstLine="709"/>
        <w:jc w:val="both"/>
        <w:rPr>
          <w:rFonts w:ascii="Times New Roman" w:hAnsi="Times New Roman" w:cs="Times New Roman"/>
          <w:sz w:val="28"/>
          <w:szCs w:val="28"/>
          <w:shd w:fill="FFFF00" w:val="clear"/>
        </w:rPr>
      </w:pPr>
      <w:r>
        <w:rPr>
          <w:rFonts w:cs="Times New Roman"/>
          <w:sz w:val="28"/>
          <w:szCs w:val="28"/>
          <w:shd w:fill="FFFF00" w:val="clear"/>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(Рисунок 1.5).</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940425" cy="4135755"/>
            <wp:effectExtent l="0" t="0" r="0" b="0"/>
            <wp:docPr id="5"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descr=""/>
                    <pic:cNvPicPr>
                      <a:picLocks noChangeAspect="1" noChangeArrowheads="1"/>
                    </pic:cNvPicPr>
                  </pic:nvPicPr>
                  <pic:blipFill>
                    <a:blip r:embed="rId6"/>
                    <a:stretch>
                      <a:fillRect/>
                    </a:stretch>
                  </pic:blipFill>
                  <pic:spPr bwMode="auto">
                    <a:xfrm>
                      <a:off x="0" y="0"/>
                      <a:ext cx="5940425" cy="413575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5 – </w:t>
      </w:r>
      <w:r>
        <w:rPr>
          <w:rFonts w:cs="Times New Roman"/>
          <w:sz w:val="28"/>
          <w:szCs w:val="28"/>
          <w:lang w:eastAsia="ar-SA"/>
        </w:rPr>
        <w:t>Декомпозиция блока А1 «Формирование заявки на товары»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Традиционная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Средства факсимильной связи;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Электронная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Личная доставка представителем Исполнителя (Заказчика)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(Рисунок 1.6).</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791200" cy="3872865"/>
            <wp:effectExtent l="0" t="0" r="0" b="0"/>
            <wp:docPr id="6"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descr=""/>
                    <pic:cNvPicPr>
                      <a:picLocks noChangeAspect="1" noChangeArrowheads="1"/>
                    </pic:cNvPicPr>
                  </pic:nvPicPr>
                  <pic:blipFill>
                    <a:blip r:embed="rId7"/>
                    <a:stretch>
                      <a:fillRect/>
                    </a:stretch>
                  </pic:blipFill>
                  <pic:spPr bwMode="auto">
                    <a:xfrm>
                      <a:off x="0" y="0"/>
                      <a:ext cx="5791200" cy="387286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6 – </w:t>
      </w:r>
      <w:r>
        <w:rPr>
          <w:rFonts w:cs="Times New Roman"/>
          <w:sz w:val="28"/>
          <w:szCs w:val="28"/>
          <w:lang w:eastAsia="ar-SA"/>
        </w:rPr>
        <w:t>Декомпозиция блока А2 «Выбор поставщика»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19" w:name="__RefHeading___Toc22179_2829662935"/>
      <w:bookmarkStart w:id="20" w:name="_Toc515886988"/>
      <w:bookmarkEnd w:id="19"/>
      <w:r>
        <w:rPr/>
        <w:t>Анализ процесса оценки благонадёжности и выбора поставщика</w:t>
      </w:r>
      <w:bookmarkEnd w:id="2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 [8]</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[9]</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На предприятии АО "РТК"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21" w:name="__RefHeading___Toc22181_2829662935"/>
      <w:bookmarkStart w:id="22" w:name="_Toc515886989"/>
      <w:bookmarkEnd w:id="21"/>
      <w:r>
        <w:rPr/>
        <w:t>Анализ недостатков и формирование предложений по автоматизации бизнес-процесса</w:t>
      </w:r>
      <w:bookmarkEnd w:id="2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[10]</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связи с этим возникает острая необходимость в внедрении на предприятии информационной системы для оценки благонадёжности 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10"/>
        </w:numPr>
        <w:jc w:val="center"/>
        <w:rPr>
          <w:rFonts w:ascii="Times New Roman" w:hAnsi="Times New Roman"/>
          <w:b w:val="false"/>
          <w:color w:val="auto"/>
        </w:rPr>
      </w:pPr>
      <w:bookmarkStart w:id="23" w:name="__RefHeading___Toc22183_2829662935"/>
      <w:bookmarkStart w:id="24" w:name="_Toc515886990"/>
      <w:bookmarkStart w:id="25" w:name="_Toc253151518"/>
      <w:bookmarkEnd w:id="23"/>
      <w:r>
        <w:rPr/>
        <w:t xml:space="preserve">Обзор существующих решений для автоматизации </w:t>
      </w:r>
      <w:bookmarkEnd w:id="25"/>
      <w:r>
        <w:rPr/>
        <w:t>бизнес-процесса</w:t>
      </w:r>
      <w:bookmarkEnd w:id="24"/>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360" w:before="0" w:after="0"/>
        <w:ind w:firstLine="992"/>
        <w:jc w:val="both"/>
        <w:rPr>
          <w:rFonts w:ascii="Times New Roman" w:hAnsi="Times New Roman" w:cs="Times New Roman"/>
          <w:sz w:val="28"/>
          <w:szCs w:val="28"/>
          <w:lang w:val="en-US"/>
        </w:rPr>
      </w:pPr>
      <w:bookmarkStart w:id="26" w:name="_Hlk515222634"/>
      <w:r>
        <w:rPr>
          <w:rFonts w:cs="Times New Roman"/>
          <w:sz w:val="28"/>
          <w:szCs w:val="28"/>
        </w:rPr>
        <w:t xml:space="preserve">PLUSSELL </w:t>
      </w:r>
      <w:bookmarkEnd w:id="26"/>
      <w:r>
        <w:rPr>
          <w:rFonts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 [</w:t>
      </w:r>
      <w:r>
        <w:rPr>
          <w:rFonts w:cs="Times New Roman"/>
          <w:sz w:val="28"/>
          <w:szCs w:val="28"/>
          <w:lang w:val="en-US"/>
        </w:rPr>
        <w:t>]</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Функциональные возможности программы:</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автоматизация и увеличение эффективности взаимодействия с поставщиками в единой системе.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открытость и соблюдение стандартов позволяет планировать и контролировать уровень заказов, поставок и иных задач.</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Сервис создания бланков документов. Согласовывайте любые заявки в два клика прямо из системы. Все документы структурированы по клиентам.</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Быстрое и удобное предложение цен от поставщиков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pPr>
        <w:pStyle w:val="Normal"/>
        <w:spacing w:lineRule="auto" w:line="360" w:before="0" w:after="0"/>
        <w:ind w:firstLine="992"/>
        <w:jc w:val="both"/>
        <w:rPr>
          <w:rFonts w:ascii="Times New Roman" w:hAnsi="Times New Roman" w:cs="Times New Roman"/>
          <w:sz w:val="28"/>
          <w:szCs w:val="28"/>
          <w:lang w:val="en-US"/>
        </w:rPr>
      </w:pPr>
      <w:bookmarkStart w:id="27" w:name="_Hlk515222629"/>
      <w:r>
        <w:rPr>
          <w:rFonts w:cs="Times New Roman"/>
          <w:sz w:val="28"/>
          <w:szCs w:val="28"/>
        </w:rPr>
        <w:t xml:space="preserve">SAP Ariba </w:t>
      </w:r>
      <w:bookmarkEnd w:id="27"/>
      <w:r>
        <w:rPr>
          <w:rFonts w:cs="Times New Roman"/>
          <w:sz w:val="28"/>
          <w:szCs w:val="28"/>
        </w:rPr>
        <w:t>– это облачная платформа для оптимизации закупок и взаимодействия с поставщиками через бизнес-сеть Ariba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 [</w:t>
      </w:r>
      <w:r>
        <w:rPr>
          <w:rFonts w:cs="Times New Roman"/>
          <w:sz w:val="28"/>
          <w:szCs w:val="28"/>
          <w:lang w:val="en-US"/>
        </w:rPr>
        <w:t>12]</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Преимущества платформы SAP Ariba:</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открыта для всех видов товаров и услуг, предоставляя инновационные способы подключения к крупнейшей в мире сети покупателей и поставщиков Ariba Network, объединяющей более 2,5 миллионов компаний по всему миру.</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возможность реализации процесса стратегических (pre-award) и операционных (post-award) закупок в одном решении.</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единой платформой, позволяющей покупателям и поставщикам управлять всей цепочкой закупочного бизнес-процесса: от 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csv-файлов.</w:t>
      </w:r>
    </w:p>
    <w:p>
      <w:pPr>
        <w:pStyle w:val="Normal"/>
        <w:spacing w:lineRule="auto" w:line="360" w:before="0" w:after="0"/>
        <w:ind w:firstLine="992"/>
        <w:jc w:val="both"/>
        <w:rPr>
          <w:rFonts w:ascii="Times New Roman" w:hAnsi="Times New Roman" w:cs="Times New Roman"/>
          <w:sz w:val="28"/>
          <w:szCs w:val="28"/>
        </w:rPr>
      </w:pPr>
      <w:bookmarkStart w:id="28" w:name="_Hlk515222622"/>
      <w:r>
        <w:rPr>
          <w:rFonts w:cs="Times New Roman"/>
          <w:sz w:val="28"/>
          <w:szCs w:val="28"/>
        </w:rPr>
        <w:t xml:space="preserve">iTender SRM - </w:t>
      </w:r>
      <w:bookmarkEnd w:id="28"/>
      <w:r>
        <w:rPr>
          <w:rFonts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 [13]</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Модуль iTender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Инструмент электронных закупок является частью комплексной SRM системы (Supplier Relationship Management) по управлению взаимоотношением с поставщиками.</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pPr>
        <w:pStyle w:val="Normal"/>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1.1.</w:t>
      </w:r>
    </w:p>
    <w:p>
      <w:pPr>
        <w:pStyle w:val="3"/>
        <w:keepNext w:val="false"/>
        <w:tabs>
          <w:tab w:val="clear" w:pos="708"/>
          <w:tab w:val="left" w:pos="993" w:leader="none"/>
        </w:tabs>
        <w:spacing w:lineRule="auto" w:line="360"/>
        <w:ind w:firstLine="709"/>
        <w:jc w:val="right"/>
        <w:rPr>
          <w:b w:val="false"/>
          <w:bCs w:val="false"/>
        </w:rPr>
      </w:pPr>
      <w:r>
        <w:rPr>
          <w:b w:val="false"/>
          <w:bCs w:val="false"/>
        </w:rPr>
        <w:t>Таблица 1.1</w:t>
      </w:r>
    </w:p>
    <w:p>
      <w:pPr>
        <w:pStyle w:val="3"/>
        <w:keepNext w:val="false"/>
        <w:tabs>
          <w:tab w:val="clear" w:pos="708"/>
          <w:tab w:val="left" w:pos="993" w:leader="none"/>
        </w:tabs>
        <w:spacing w:lineRule="auto" w:line="360"/>
        <w:ind w:firstLine="709"/>
        <w:rPr>
          <w:b w:val="false"/>
        </w:rPr>
      </w:pPr>
      <w:r>
        <w:rPr>
          <w:b w:val="false"/>
          <w:bCs w:val="false"/>
        </w:rPr>
        <w:t>Сравнительный анализ готовых решени</w:t>
      </w:r>
      <w:r>
        <w:rPr>
          <w:b w:val="false"/>
        </w:rPr>
        <w:t>й</w:t>
      </w:r>
    </w:p>
    <w:tbl>
      <w:tblPr>
        <w:tblW w:w="9505" w:type="dxa"/>
        <w:jc w:val="left"/>
        <w:tblInd w:w="0" w:type="dxa"/>
        <w:tblLayout w:type="fixed"/>
        <w:tblCellMar>
          <w:top w:w="0" w:type="dxa"/>
          <w:left w:w="108" w:type="dxa"/>
          <w:bottom w:w="0" w:type="dxa"/>
          <w:right w:w="108" w:type="dxa"/>
        </w:tblCellMar>
      </w:tblPr>
      <w:tblGrid>
        <w:gridCol w:w="1958"/>
        <w:gridCol w:w="1959"/>
        <w:gridCol w:w="1957"/>
        <w:gridCol w:w="1685"/>
        <w:gridCol w:w="1946"/>
      </w:tblGrid>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Название системы \</w:t>
            </w:r>
          </w:p>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Критерии</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PLUSSELL</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SAP Ariba</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rFonts w:ascii="Calibri" w:hAnsi="Calibri"/>
                <w:sz w:val="24"/>
                <w:szCs w:val="24"/>
              </w:rPr>
            </w:pPr>
            <w:r>
              <w:rPr>
                <w:rFonts w:eastAsia="Times New Roman" w:cs="Times New Roman"/>
                <w:kern w:val="0"/>
                <w:sz w:val="24"/>
                <w:szCs w:val="24"/>
                <w:lang w:val="ru-RU" w:eastAsia="ru-RU" w:bidi="ar-SA"/>
              </w:rPr>
              <w:t>iTender SRM</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Разработка собственной информационной системы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1</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2</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3</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4</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5</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Стоимость поставки ПО, руб</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62 100.00</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128 800.00</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17 260.00</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 требуется</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Масштабность внедрения</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Крупные оптовые компании и розничные магазины</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Оптовые компании и розничные магазины</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Решение поставленных задач</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Среднее</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Низкое</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оценки поставщиков</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r>
    </w:tbl>
    <w:p>
      <w:pPr>
        <w:pStyle w:val="Normal"/>
        <w:widowControl w:val="false"/>
        <w:tabs>
          <w:tab w:val="clear" w:pos="708"/>
          <w:tab w:val="left" w:pos="993" w:leader="none"/>
        </w:tabs>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cs="Times New Roman"/>
          <w:sz w:val="28"/>
          <w:szCs w:val="28"/>
        </w:rPr>
        <w:t xml:space="preserve">Все описанные системы являются мощными </w:t>
      </w:r>
      <w:r>
        <w:rPr>
          <w:rFonts w:cs="Times New Roman"/>
          <w:sz w:val="28"/>
          <w:szCs w:val="28"/>
          <w:lang w:val="en-US"/>
        </w:rPr>
        <w:t>CRM</w:t>
      </w:r>
      <w:r>
        <w:rPr>
          <w:rFonts w:cs="Times New Roman"/>
          <w:sz w:val="28"/>
          <w:szCs w:val="28"/>
        </w:rPr>
        <w:t>-системами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pPr>
        <w:pStyle w:val="Normal"/>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cs="Times New Roman"/>
          <w:color w:val="auto"/>
          <w:sz w:val="28"/>
          <w:szCs w:val="28"/>
        </w:rPr>
      </w:pPr>
      <w:bookmarkStart w:id="29" w:name="__RefHeading___Toc22185_2829662935"/>
      <w:bookmarkStart w:id="30" w:name="_Toc509339939"/>
      <w:bookmarkStart w:id="31" w:name="_Toc509264823"/>
      <w:bookmarkStart w:id="32" w:name="_Toc484799749"/>
      <w:bookmarkStart w:id="33" w:name="_Toc510113486"/>
      <w:bookmarkStart w:id="34" w:name="_Toc515886991"/>
      <w:bookmarkStart w:id="35" w:name="_Toc509663655"/>
      <w:bookmarkEnd w:id="29"/>
      <w:r>
        <w:rPr/>
        <w:t>Обоснование выбора среды для разработки информационной системы</w:t>
      </w:r>
      <w:bookmarkEnd w:id="30"/>
      <w:bookmarkEnd w:id="31"/>
      <w:bookmarkEnd w:id="32"/>
      <w:bookmarkEnd w:id="33"/>
      <w:bookmarkEnd w:id="34"/>
      <w:bookmarkEnd w:id="35"/>
    </w:p>
    <w:p>
      <w:pPr>
        <w:pStyle w:val="Normal"/>
        <w:spacing w:lineRule="auto" w:line="360" w:before="0" w:after="0"/>
        <w:ind w:firstLine="709" w:left="0"/>
        <w:jc w:val="both"/>
        <w:rPr>
          <w:rFonts w:ascii="Times New Roman" w:hAnsi="Times New Roman"/>
        </w:rPr>
      </w:pPr>
      <w:bookmarkStart w:id="36" w:name="__RefHeading___Toc2880_4046097046"/>
      <w:bookmarkEnd w:id="36"/>
      <w:r>
        <w:rPr>
          <w:rFonts w:cs="Times New Roman"/>
          <w:color w:val="000000"/>
          <w:sz w:val="28"/>
          <w:szCs w:val="28"/>
          <w:shd w:fill="FFFFFF" w:val="clear"/>
        </w:rPr>
        <w:t>Создаваемая информационная система должна соответствовать уровню современных веб-приложений, обладать интуитивным и понятным интерфейсом, при этом обеспечивать высокую производительность при обработке данных и работе с моделями машинного обучения. Система должна быть масштабируемой, легко интегрируемой с внешними сервисами и поддерживать возможность дальнейшего расширения функционала без значительных переработок архитектуры.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7" w:name="__RefHeading___Toc2882_4046097046"/>
      <w:bookmarkEnd w:id="37"/>
      <w:r>
        <w:rPr>
          <w:rFonts w:cs="Times New Roman"/>
          <w:color w:val="000000"/>
          <w:sz w:val="28"/>
          <w:szCs w:val="28"/>
          <w:shd w:fill="FFFFFF" w:val="clear"/>
        </w:rPr>
        <w:t>При выборе технологического стека для разработки были рассмотрены следующие варианты: классические десктоп-решения на базе Borland Delphi, системы управления базами данных (СУБД) с встроенной логикой (MS Access, Firebird SQL), платформы для бизнес-приложений (1С:Предприятие 8.3), а также современные веб-ориентированные стек на Python с использованием нейронных сетей и FastAPI.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8" w:name="__RefHeading___Toc2884_4046097046"/>
      <w:bookmarkEnd w:id="38"/>
      <w:r>
        <w:rPr>
          <w:rFonts w:cs="Times New Roman"/>
          <w:color w:val="000000"/>
          <w:sz w:val="28"/>
          <w:szCs w:val="28"/>
          <w:shd w:fill="FFFFFF" w:val="clear"/>
        </w:rPr>
        <w:t>Borland Delphi обладает удобными визуальными средствами проектирования, которые позволяют быстро создать графический интерфейс пользователя для Windows-приложений. Объектно-ориентированный подход позволяет рассматривать программу как набор взаимосвязанных объектов. Однако для задачи оценки рисков поставщиков с использованием нейронных сетей Delphi не предоставляет достаточных инструментов для интеграции современных библиотек машинного обучения, что является существенным ограничением.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9" w:name="__RefHeading___Toc2886_4046097046"/>
      <w:bookmarkEnd w:id="39"/>
      <w:r>
        <w:rPr>
          <w:rFonts w:cs="Times New Roman"/>
          <w:color w:val="000000"/>
          <w:sz w:val="28"/>
          <w:szCs w:val="28"/>
          <w:shd w:fill="FFFFFF" w:val="clear"/>
        </w:rPr>
        <w:t>MS Access как СУБД с элементами разработки подходит для небольших систем с ограниченной нагрузкой. Недостатками являются слабая производительность при работе с большими объемами данных, отсутствие встроенной поддержки нейросетевых моделей и ограниченные возможности по веб-интеграции.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0" w:name="__RefHeading___Toc2888_4046097046"/>
      <w:bookmarkEnd w:id="40"/>
      <w:r>
        <w:rPr>
          <w:rFonts w:cs="Times New Roman"/>
          <w:color w:val="000000"/>
          <w:sz w:val="28"/>
          <w:szCs w:val="28"/>
          <w:shd w:fill="FFFFFF" w:val="clear"/>
        </w:rPr>
        <w:t>Firebird SQL — свободная СУБД с многоверсионной архитектурой, подходящая для хранения данных. Однако для реализации интеллектуальной системы оценки рисков требуется не только хранение, но и сложная обработка данных с использованием предобученных моделей, что выходит за рамки возможностей Firebird.</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1" w:name="__RefHeading___Toc2890_4046097046"/>
      <w:bookmarkEnd w:id="41"/>
      <w:r>
        <w:rPr>
          <w:rFonts w:cs="Times New Roman"/>
          <w:color w:val="000000"/>
          <w:sz w:val="28"/>
          <w:szCs w:val="28"/>
          <w:shd w:fill="FFFFFF" w:val="clear"/>
        </w:rPr>
        <w:t>1С:Предприятие 8.3 — мощная платформа для разработки бизнес-приложений с русскоязычным интерфейсом и встроенным языком программирования. Она обеспечивает удобные средства для учета и отчетности, но обладает ограниченными возможностями для реализации и эксплуатации сложных нейронных сетей и алгоритмов машинного обучения, которые требуют интеграции со специализированными Python-библиотеками (TensorFlow, PyTorch,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2" w:name="__RefHeading___Toc2892_4046097046"/>
      <w:bookmarkEnd w:id="42"/>
      <w:r>
        <w:rPr>
          <w:rFonts w:cs="Times New Roman"/>
          <w:color w:val="000000"/>
          <w:sz w:val="28"/>
          <w:szCs w:val="28"/>
          <w:shd w:fill="FFFFFF" w:val="clear"/>
        </w:rPr>
        <w:t>Для реализации нейросетевой модели также были проанализированы различные библиотеки машинного обучения: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3" w:name="__RefHeading___Toc2894_4046097046"/>
      <w:bookmarkEnd w:id="43"/>
      <w:r>
        <w:rPr>
          <w:rFonts w:cs="Times New Roman"/>
          <w:color w:val="000000"/>
          <w:sz w:val="28"/>
          <w:szCs w:val="28"/>
          <w:shd w:fill="FFFFFF" w:val="clear"/>
        </w:rPr>
        <w:t>TensorFlow/Keras — фреймворк глубокого обучения, предлагающий высокоуровневые API для построения сложных нейронных сетей. Однако для задачи классификации рисков поставщиков, работающей преимущественно с табличными данными, избыточная сложность глубоких нейронных сетей не требуется. Более того, TensorFlow требует значительных вычислительных ресурсов и имеет более сложный процесс развертывания в производственной среде по сравнению с ансамблевыми методами.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4" w:name="__RefHeading___Toc2896_4046097046"/>
      <w:bookmarkEnd w:id="44"/>
      <w:r>
        <w:rPr>
          <w:rFonts w:cs="Times New Roman"/>
          <w:color w:val="000000"/>
          <w:sz w:val="28"/>
          <w:szCs w:val="28"/>
          <w:shd w:fill="FFFFFF" w:val="clear"/>
        </w:rPr>
        <w:t>PyTorch — другой популярный фреймворк для глубокого обучения, отличающийся динамическим графом вычислений и удобством отладки. Как и TensorFlow, PyTorch ориентирован на задачи компьютерного зрения и обработки естественного языка, где требуется работа с изображениями и текстами. Для структурированных финансовых данных классические ансамблевые методы часто показывают сравнимую или лучшую производительность при меньших вычислительных затратах.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5" w:name="__RefHeading___Toc2898_4046097046"/>
      <w:bookmarkEnd w:id="45"/>
      <w:r>
        <w:rPr>
          <w:rFonts w:cs="Times New Roman"/>
          <w:color w:val="000000"/>
          <w:sz w:val="28"/>
          <w:szCs w:val="28"/>
          <w:shd w:fill="FFFFFF" w:val="clear"/>
        </w:rPr>
        <w:t>CatBoost и LightGBM — современные реализации градиентного бустинга, конкурирующие с XGBoost. В ходе экспериментов XGBoost показал лучшую стабильность и интерпретируемость результатов на нашем наборе данных. Кроме того, XGBoost имеет более зрелую экосистему и лучше интегрируется с ансамблевыми подходами StackingClassifier из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6" w:name="__RefHeading___Toc2900_4046097046"/>
      <w:bookmarkEnd w:id="46"/>
      <w:r>
        <w:rPr>
          <w:rFonts w:cs="Times New Roman"/>
          <w:color w:val="000000"/>
          <w:sz w:val="28"/>
          <w:szCs w:val="28"/>
          <w:shd w:fill="FFFFFF" w:val="clear"/>
        </w:rPr>
        <w:t>FastAPI — современный высокопроизводительный фреймворк для создания API на Python. По сравнению с Flask, FastAPI предлагает встроенную поддержку асинхронных операций, автоматическую генерацию документации OpenAPI (Swagger) на основе аннотаций типов, а также автоматическую валидацию данных через интеграцию с Pydantic.</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7" w:name="__RefHeading___Toc2902_4046097046"/>
      <w:bookmarkEnd w:id="47"/>
      <w:r>
        <w:rPr>
          <w:rFonts w:cs="Times New Roman"/>
          <w:color w:val="000000"/>
          <w:sz w:val="28"/>
          <w:szCs w:val="28"/>
          <w:shd w:fill="FFFFFF" w:val="clear"/>
        </w:rPr>
        <w:t>Flask — минималистичный фреймворк для создания веб-приложений и API. Хотя Flask проще в освоении, он требует ручного конфигурирования многих компонентов, не имеет встроенной поддержки асинхронности и автоматической генерации документации OpenAPI, что усложняет разработку и поддержку промышленного решения.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8" w:name="__RefHeading___Toc2904_4046097046"/>
      <w:bookmarkEnd w:id="48"/>
      <w:r>
        <w:rPr>
          <w:rFonts w:cs="Times New Roman"/>
          <w:color w:val="000000"/>
          <w:sz w:val="28"/>
          <w:szCs w:val="28"/>
          <w:shd w:fill="FFFFFF" w:val="clear"/>
        </w:rPr>
        <w:t xml:space="preserve">Django/Django REST Framework (DRF) — полноценный </w:t>
      </w:r>
      <w:r>
        <w:rPr>
          <w:rFonts w:cs="Times New Roman"/>
          <w:color w:val="000000"/>
          <w:sz w:val="28"/>
          <w:szCs w:val="28"/>
          <w:shd w:fill="FFFFFF" w:val="clear"/>
          <w:lang w:val="en-US"/>
        </w:rPr>
        <w:t xml:space="preserve">Python </w:t>
      </w:r>
      <w:r>
        <w:rPr>
          <w:rFonts w:cs="Times New Roman"/>
          <w:color w:val="000000"/>
          <w:sz w:val="28"/>
          <w:szCs w:val="28"/>
          <w:shd w:fill="FFFFFF" w:val="clear"/>
        </w:rPr>
        <w:t xml:space="preserve">фреймворк. DRF предоставляет богатый набор инструментов для создания REST API, но обладает избыточной сложностью для нашей задачи, где требуется только один эндпоинт для предсказаний. Кроме того, Django имеет более высокие накладные расходы по сравнению с остальными </w:t>
      </w:r>
      <w:r>
        <w:rPr>
          <w:rFonts w:cs="Times New Roman"/>
          <w:color w:val="000000"/>
          <w:sz w:val="28"/>
          <w:szCs w:val="28"/>
          <w:shd w:fill="FFFFFF" w:val="clear"/>
          <w:lang w:val="en-US"/>
        </w:rPr>
        <w:t xml:space="preserve">Python </w:t>
      </w:r>
      <w:r>
        <w:rPr>
          <w:rFonts w:cs="Times New Roman"/>
          <w:color w:val="000000"/>
          <w:sz w:val="28"/>
          <w:szCs w:val="28"/>
          <w:shd w:fill="FFFFFF" w:val="clear"/>
          <w:lang w:val="ru-RU"/>
        </w:rPr>
        <w:t>фреймворками</w:t>
      </w:r>
      <w:r>
        <w:rPr>
          <w:rFonts w:cs="Times New Roman"/>
          <w:color w:val="000000"/>
          <w:sz w:val="28"/>
          <w:szCs w:val="28"/>
          <w:shd w:fill="FFFFFF" w:val="clear"/>
        </w:rPr>
        <w:t>.</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hanging="0" w:left="0"/>
        <w:jc w:val="both"/>
        <w:rPr>
          <w:rFonts w:ascii="Times New Roman" w:hAnsi="Times New Roman"/>
        </w:rPr>
      </w:pPr>
      <w:bookmarkStart w:id="49" w:name="__RefHeading___Toc2906_4046097046"/>
      <w:bookmarkEnd w:id="49"/>
      <w:r>
        <w:rPr>
          <w:rFonts w:cs="Times New Roman"/>
          <w:color w:val="000000"/>
          <w:sz w:val="28"/>
          <w:szCs w:val="28"/>
          <w:shd w:fill="FFFFFF" w:val="clear"/>
        </w:rPr>
        <w:tab/>
        <w:t>В контексте разработки интеллектуальной системы оценки рисков поставщиков, где ключевым компонентом является модель машинного обучения, обученная на исторических данных, наиболее целесообразным является выбор Python в качестве основного языка разработки. Python обладает следующими преимуществами: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0" w:name="__RefHeading___Toc2908_4046097046"/>
      <w:bookmarkEnd w:id="50"/>
      <w:r>
        <w:rPr>
          <w:rFonts w:cs="Times New Roman"/>
          <w:color w:val="000000"/>
          <w:sz w:val="28"/>
          <w:szCs w:val="28"/>
          <w:shd w:fill="FFFFFF" w:val="clear"/>
        </w:rPr>
        <w:t>Богатый набор библиотек для машинного обучения (Scikit-learn, XGBoost, TensorFlow, Keras) и обработки данных (Pandas, NumPy).</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1" w:name="__RefHeading___Toc2910_4046097046"/>
      <w:bookmarkEnd w:id="51"/>
      <w:r>
        <w:rPr>
          <w:rFonts w:cs="Times New Roman"/>
          <w:color w:val="000000"/>
          <w:sz w:val="28"/>
          <w:szCs w:val="28"/>
          <w:shd w:fill="FFFFFF" w:val="clear"/>
        </w:rPr>
        <w:t>Поддержка создания высокопроизводительных веб-API с помощью FastAPI, что позволяет легко интегрировать модель в информационную систему и предоставлять к ней доступ через HTTP-запросы.</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2" w:name="__RefHeading___Toc2912_4046097046"/>
      <w:bookmarkEnd w:id="52"/>
      <w:r>
        <w:rPr>
          <w:rFonts w:cs="Times New Roman"/>
          <w:color w:val="000000"/>
          <w:sz w:val="28"/>
          <w:szCs w:val="28"/>
          <w:shd w:fill="FFFFFF" w:val="clear"/>
        </w:rPr>
        <w:t>Кроссплатформенность и возможность развертывания на различных операционных системах и облачных платформах.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3" w:name="__RefHeading___Toc2914_4046097046"/>
      <w:bookmarkEnd w:id="53"/>
      <w:r>
        <w:rPr>
          <w:rFonts w:cs="Times New Roman"/>
          <w:color w:val="000000"/>
          <w:sz w:val="28"/>
          <w:szCs w:val="28"/>
          <w:shd w:fill="FFFFFF" w:val="clear"/>
        </w:rPr>
        <w:t>Окончательное решение: Для реализации нейросетевой модели был использован ансамблевый подход (StackingClassifier) на базе Scikit-learn, сочетающий несколько алгоритмов: RandomForest, GradientBoosting, XGBoost и логистическую регрессию в качестве метамодели. Этот подход позволяет достичь высокой точности классификации (более 90% на тестовых данных) и устойчивости к переобучению, превосходя по эффективности отдельно взятые глубокие нейронные сети для работы с табличными данными.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4" w:name="__RefHeading___Toc2916_4046097046"/>
      <w:bookmarkEnd w:id="54"/>
      <w:r>
        <w:rPr>
          <w:rFonts w:cs="Times New Roman"/>
          <w:color w:val="000000"/>
          <w:sz w:val="28"/>
          <w:szCs w:val="28"/>
          <w:shd w:fill="FFFFFF" w:val="clear"/>
        </w:rPr>
        <w:t>Для предоставления доступа к модели выбран FastAPI как оптимальный баланс между производительностью, простотой разработки и функциональностью:</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5" w:name="__RefHeading___Toc2918_4046097046"/>
      <w:bookmarkEnd w:id="55"/>
      <w:r>
        <w:rPr>
          <w:rFonts w:cs="Times New Roman"/>
          <w:color w:val="000000"/>
          <w:sz w:val="28"/>
          <w:szCs w:val="28"/>
          <w:shd w:fill="FFFFFF" w:val="clear"/>
        </w:rPr>
        <w:t>Автоматическая генерация документации OpenAPI/Swagger</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6" w:name="__RefHeading___Toc2920_4046097046"/>
      <w:bookmarkEnd w:id="56"/>
      <w:r>
        <w:rPr>
          <w:rFonts w:cs="Times New Roman"/>
          <w:color w:val="000000"/>
          <w:sz w:val="28"/>
          <w:szCs w:val="28"/>
          <w:shd w:fill="FFFFFF" w:val="clear"/>
        </w:rPr>
        <w:t>Высокая производительность, сравнимая с Node.js и Go</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7" w:name="__RefHeading___Toc2922_4046097046"/>
      <w:bookmarkEnd w:id="57"/>
      <w:r>
        <w:rPr>
          <w:rFonts w:cs="Times New Roman"/>
          <w:color w:val="000000"/>
          <w:sz w:val="28"/>
          <w:szCs w:val="28"/>
          <w:shd w:fill="FFFFFF" w:val="clear"/>
        </w:rPr>
        <w:t>Встроенная поддержка асинхронных операций</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8" w:name="__RefHeading___Toc2924_4046097046"/>
      <w:bookmarkEnd w:id="58"/>
      <w:r>
        <w:rPr>
          <w:rFonts w:cs="Times New Roman"/>
          <w:color w:val="000000"/>
          <w:sz w:val="28"/>
          <w:szCs w:val="28"/>
          <w:shd w:fill="FFFFFF" w:val="clear"/>
        </w:rPr>
        <w:t>Простая интеграция с Python-библиотеками машинного обучения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9" w:name="__RefHeading___Toc2926_4046097046"/>
      <w:bookmarkEnd w:id="59"/>
      <w:r>
        <w:rPr>
          <w:rFonts w:cs="Times New Roman"/>
          <w:color w:val="000000"/>
          <w:sz w:val="28"/>
          <w:szCs w:val="28"/>
          <w:shd w:fill="FFFFFF" w:val="clear"/>
        </w:rPr>
        <w:t>Автоматическая валидация данных через Pydantic</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0" w:name="__RefHeading___Toc2928_4046097046"/>
      <w:bookmarkEnd w:id="60"/>
      <w:r>
        <w:rPr>
          <w:rFonts w:cs="Times New Roman"/>
          <w:color w:val="000000"/>
          <w:sz w:val="28"/>
          <w:szCs w:val="28"/>
          <w:shd w:fill="FFFFFF" w:val="clear"/>
        </w:rPr>
        <w:t>Простота развертывания и масштабирования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1" w:name="__RefHeading___Toc2930_4046097046"/>
      <w:bookmarkEnd w:id="61"/>
      <w:r>
        <w:rPr>
          <w:rFonts w:cs="Times New Roman"/>
          <w:color w:val="000000"/>
          <w:sz w:val="28"/>
          <w:szCs w:val="28"/>
          <w:shd w:fill="FFFFFF" w:val="clear"/>
        </w:rPr>
        <w:t>Интерфейс системы реализован как веб-приложение, что обеспечивает:</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2" w:name="__RefHeading___Toc2932_4046097046"/>
      <w:bookmarkEnd w:id="62"/>
      <w:r>
        <w:rPr>
          <w:rFonts w:cs="Times New Roman"/>
          <w:color w:val="000000"/>
          <w:sz w:val="28"/>
          <w:szCs w:val="28"/>
          <w:shd w:fill="FFFFFF" w:val="clear"/>
        </w:rPr>
        <w:t>Доступ с любых устройств через браузер.</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3" w:name="__RefHeading___Toc2934_4046097046"/>
      <w:bookmarkEnd w:id="63"/>
      <w:r>
        <w:rPr>
          <w:rFonts w:cs="Times New Roman"/>
          <w:color w:val="000000"/>
          <w:sz w:val="28"/>
          <w:szCs w:val="28"/>
          <w:shd w:fill="FFFFFF" w:val="clear"/>
        </w:rPr>
        <w:t>Простую интеграцию с внешними системами через REST 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4" w:name="__RefHeading___Toc2936_4046097046"/>
      <w:bookmarkEnd w:id="64"/>
      <w:r>
        <w:rPr>
          <w:rFonts w:cs="Times New Roman"/>
          <w:color w:val="000000"/>
          <w:sz w:val="28"/>
          <w:szCs w:val="28"/>
          <w:shd w:fill="FFFFFF" w:val="clear"/>
        </w:rPr>
        <w:t>Важным аспектом разработки системы является выбор источника данных для оценки поставщиков. Были проанализированы три основных API-сервиса:</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5" w:name="__RefHeading___Toc2938_4046097046"/>
      <w:bookmarkEnd w:id="65"/>
      <w:r>
        <w:rPr>
          <w:rFonts w:cs="Times New Roman"/>
          <w:color w:val="000000"/>
          <w:sz w:val="28"/>
          <w:szCs w:val="28"/>
          <w:shd w:fill="FFFFFF" w:val="clear"/>
        </w:rPr>
        <w:t>API ФНС России (Федеральной налоговой службы) предоставляет официальные данные из государственных реестров, включая ЕГРЮЛ и ЕГРИП. Основные недостатки: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7"/>
        </w:numPr>
        <w:spacing w:lineRule="auto" w:line="360" w:before="0" w:after="0"/>
        <w:jc w:val="both"/>
        <w:rPr>
          <w:rFonts w:ascii="Times New Roman" w:hAnsi="Times New Roman"/>
        </w:rPr>
      </w:pPr>
      <w:bookmarkStart w:id="66" w:name="__RefHeading___Toc2940_4046097046"/>
      <w:bookmarkEnd w:id="66"/>
      <w:r>
        <w:rPr>
          <w:rFonts w:cs="Times New Roman"/>
          <w:color w:val="000000"/>
          <w:sz w:val="28"/>
          <w:szCs w:val="28"/>
          <w:shd w:fill="FFFFFF" w:val="clear"/>
        </w:rPr>
        <w:t>Ограниченное количество организаций в базовых подписках (обычно до 10 000 проверок в год)</w:t>
      </w:r>
    </w:p>
    <w:p>
      <w:pPr>
        <w:pStyle w:val="Normal"/>
        <w:numPr>
          <w:ilvl w:val="0"/>
          <w:numId w:val="7"/>
        </w:numPr>
        <w:spacing w:lineRule="auto" w:line="360" w:before="0" w:after="0"/>
        <w:jc w:val="both"/>
        <w:rPr>
          <w:rFonts w:ascii="Times New Roman" w:hAnsi="Times New Roman"/>
        </w:rPr>
      </w:pPr>
      <w:bookmarkStart w:id="67" w:name="__RefHeading___Toc2942_4046097046"/>
      <w:bookmarkEnd w:id="67"/>
      <w:r>
        <w:rPr>
          <w:rFonts w:cs="Times New Roman"/>
          <w:color w:val="000000"/>
          <w:sz w:val="28"/>
          <w:szCs w:val="28"/>
          <w:shd w:fill="FFFFFF" w:val="clear"/>
        </w:rPr>
        <w:t>Годовая подписка от 10 000 рублей, что неэффективно для малых и средних предприятий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8" w:name="__RefHeading___Toc2944_4046097046"/>
      <w:bookmarkEnd w:id="68"/>
      <w:r>
        <w:rPr>
          <w:rFonts w:cs="Times New Roman"/>
          <w:color w:val="000000"/>
          <w:sz w:val="28"/>
          <w:szCs w:val="28"/>
          <w:shd w:fill="FFFFFF" w:val="clear"/>
        </w:rPr>
        <w:t>Контур.Фокус — коммерческий сервис проверки контрагентов с расширенной аналитикой. Несмотря на богатый функционал, имеет существенные ограничения: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8"/>
        </w:numPr>
        <w:spacing w:lineRule="auto" w:line="360" w:before="0" w:after="0"/>
        <w:jc w:val="both"/>
        <w:rPr>
          <w:rFonts w:ascii="Times New Roman" w:hAnsi="Times New Roman"/>
        </w:rPr>
      </w:pPr>
      <w:bookmarkStart w:id="69" w:name="__RefHeading___Toc2946_4046097046"/>
      <w:bookmarkEnd w:id="69"/>
      <w:r>
        <w:rPr>
          <w:rFonts w:cs="Times New Roman"/>
          <w:color w:val="000000"/>
          <w:sz w:val="28"/>
          <w:szCs w:val="28"/>
          <w:shd w:fill="FFFFFF" w:val="clear"/>
        </w:rPr>
        <w:t>Ограничение на количество проверяемых организаций (обычно 10 000 в год в базовых тарифах)</w:t>
      </w:r>
    </w:p>
    <w:p>
      <w:pPr>
        <w:pStyle w:val="Normal"/>
        <w:numPr>
          <w:ilvl w:val="0"/>
          <w:numId w:val="8"/>
        </w:numPr>
        <w:spacing w:lineRule="auto" w:line="360" w:before="0" w:after="0"/>
        <w:jc w:val="both"/>
        <w:rPr>
          <w:rFonts w:ascii="Times New Roman" w:hAnsi="Times New Roman"/>
        </w:rPr>
      </w:pPr>
      <w:bookmarkStart w:id="70" w:name="__RefHeading___Toc2948_4046097046"/>
      <w:bookmarkEnd w:id="70"/>
      <w:r>
        <w:rPr>
          <w:rFonts w:cs="Times New Roman"/>
          <w:color w:val="000000"/>
          <w:sz w:val="28"/>
          <w:szCs w:val="28"/>
          <w:shd w:fill="FFFFFF" w:val="clear"/>
        </w:rPr>
        <w:t>Высокая стоимость годовой подписки (от 12 000 рублей)</w:t>
      </w:r>
    </w:p>
    <w:p>
      <w:pPr>
        <w:pStyle w:val="Normal"/>
        <w:numPr>
          <w:ilvl w:val="0"/>
          <w:numId w:val="8"/>
        </w:numPr>
        <w:spacing w:lineRule="auto" w:line="360" w:before="0" w:after="0"/>
        <w:jc w:val="both"/>
        <w:rPr>
          <w:rFonts w:ascii="Times New Roman" w:hAnsi="Times New Roman"/>
        </w:rPr>
      </w:pPr>
      <w:bookmarkStart w:id="71" w:name="__RefHeading___Toc2950_4046097046"/>
      <w:bookmarkEnd w:id="71"/>
      <w:r>
        <w:rPr>
          <w:rFonts w:cs="Times New Roman"/>
          <w:color w:val="000000"/>
          <w:sz w:val="28"/>
          <w:szCs w:val="28"/>
          <w:shd w:fill="FFFFFF" w:val="clear"/>
        </w:rPr>
        <w:t>Невозможность оплаты за отдельные запросы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2" w:name="__RefHeading___Toc2952_4046097046"/>
      <w:bookmarkEnd w:id="72"/>
      <w:r>
        <w:rPr>
          <w:rFonts w:cs="Times New Roman"/>
          <w:color w:val="000000"/>
          <w:sz w:val="28"/>
          <w:szCs w:val="28"/>
          <w:shd w:fill="FFFFFF" w:val="clear"/>
        </w:rPr>
        <w:t>API Репутация был выбран в качестве основного источника данных благодаря следующим преимуществам: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9"/>
        </w:numPr>
        <w:spacing w:lineRule="auto" w:line="360" w:before="0" w:after="0"/>
        <w:jc w:val="both"/>
        <w:rPr>
          <w:rFonts w:ascii="Times New Roman" w:hAnsi="Times New Roman"/>
        </w:rPr>
      </w:pPr>
      <w:bookmarkStart w:id="73" w:name="__RefHeading___Toc2954_4046097046"/>
      <w:bookmarkEnd w:id="73"/>
      <w:r>
        <w:rPr>
          <w:rFonts w:cs="Times New Roman"/>
          <w:color w:val="000000"/>
          <w:sz w:val="28"/>
          <w:szCs w:val="28"/>
          <w:shd w:fill="FFFFFF" w:val="clear"/>
        </w:rPr>
        <w:t>Гибкая система оплаты — возможность оплаты отдельно за каждый запрос по цене 2,5 рубля, что экономически эффективно для предприятий с нерегулярной потребностью в проверках контрагентов</w:t>
      </w:r>
    </w:p>
    <w:p>
      <w:pPr>
        <w:pStyle w:val="Normal"/>
        <w:numPr>
          <w:ilvl w:val="0"/>
          <w:numId w:val="9"/>
        </w:numPr>
        <w:spacing w:lineRule="auto" w:line="360" w:before="0" w:after="0"/>
        <w:jc w:val="both"/>
        <w:rPr>
          <w:rFonts w:ascii="Times New Roman" w:hAnsi="Times New Roman"/>
        </w:rPr>
      </w:pPr>
      <w:bookmarkStart w:id="74" w:name="__RefHeading___Toc2956_4046097046"/>
      <w:bookmarkEnd w:id="74"/>
      <w:r>
        <w:rPr>
          <w:rFonts w:cs="Times New Roman"/>
          <w:color w:val="000000"/>
          <w:sz w:val="28"/>
          <w:szCs w:val="28"/>
          <w:shd w:fill="FFFFFF" w:val="clear"/>
        </w:rPr>
        <w:t>Отсутствие ограничений на количество организаций — неограниченное количество проверок без годовых квот</w:t>
      </w:r>
    </w:p>
    <w:p>
      <w:pPr>
        <w:pStyle w:val="Normal"/>
        <w:numPr>
          <w:ilvl w:val="0"/>
          <w:numId w:val="9"/>
        </w:numPr>
        <w:spacing w:lineRule="auto" w:line="360" w:before="0" w:after="0"/>
        <w:jc w:val="both"/>
        <w:rPr>
          <w:rFonts w:ascii="Times New Roman" w:hAnsi="Times New Roman"/>
        </w:rPr>
      </w:pPr>
      <w:bookmarkStart w:id="75" w:name="__RefHeading___Toc2958_4046097046"/>
      <w:bookmarkEnd w:id="75"/>
      <w:r>
        <w:rPr>
          <w:rFonts w:cs="Times New Roman"/>
          <w:color w:val="000000"/>
          <w:sz w:val="28"/>
          <w:szCs w:val="28"/>
          <w:shd w:fill="FFFFFF" w:val="clear"/>
        </w:rPr>
        <w:t>Комплексность данных — предоставление не только базовой информации, но и аналитических показателей, что снижает нагрузку на ML-модель</w:t>
      </w:r>
    </w:p>
    <w:p>
      <w:pPr>
        <w:pStyle w:val="Normal"/>
        <w:numPr>
          <w:ilvl w:val="0"/>
          <w:numId w:val="9"/>
        </w:numPr>
        <w:spacing w:lineRule="auto" w:line="360" w:before="0" w:after="0"/>
        <w:jc w:val="both"/>
        <w:rPr>
          <w:rFonts w:ascii="Times New Roman" w:hAnsi="Times New Roman"/>
        </w:rPr>
      </w:pPr>
      <w:bookmarkStart w:id="76" w:name="__RefHeading___Toc2960_4046097046"/>
      <w:bookmarkEnd w:id="76"/>
      <w:r>
        <w:rPr>
          <w:rFonts w:cs="Times New Roman"/>
          <w:color w:val="000000"/>
          <w:sz w:val="28"/>
          <w:szCs w:val="28"/>
          <w:shd w:fill="FFFFFF" w:val="clear"/>
        </w:rPr>
        <w:t>Экономическая эффективность для малых и средних предприятий, где годовые затраты на проверку контрагентов не превышают 5-10 тысяч рублей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7" w:name="__RefHeading___Toc2962_4046097046"/>
      <w:bookmarkEnd w:id="77"/>
      <w:r>
        <w:rPr>
          <w:rFonts w:cs="Times New Roman"/>
          <w:color w:val="000000"/>
          <w:sz w:val="28"/>
          <w:szCs w:val="28"/>
          <w:shd w:fill="FFFFFF" w:val="clear"/>
        </w:rPr>
        <w:t>Сравнительный анализ API-сервисов показал, что для разрабатываемой системы наиболее оптимальным является использование API Репутация, так как он позволяет минимизировать операционные затраты при максимальной гибкости использования. Данные из этого сервиса поступают в ML-модель для дальнейшей обработки и формирования комплексной оценки надежности поставщиков.</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cs="Times New Roman"/>
          <w:color w:val="000000"/>
          <w:sz w:val="28"/>
          <w:szCs w:val="28"/>
          <w:shd w:fill="FFFFFF" w:val="clear"/>
        </w:rPr>
      </w:pPr>
      <w:bookmarkStart w:id="78" w:name="__RefHeading___Toc2964_4046097046"/>
      <w:bookmarkEnd w:id="78"/>
      <w:r>
        <w:rPr>
          <w:rFonts w:cs="Times New Roman"/>
          <w:color w:val="000000"/>
          <w:sz w:val="28"/>
          <w:szCs w:val="28"/>
          <w:shd w:fill="FFFFFF" w:val="clear"/>
        </w:rPr>
        <w:t>Таким образом, для разработки информационной системы оценки благонадёжности поставщиков с использованием машинного обучения был выбран стек технологий на базе Python, Scikit-learn, XGBoost и FastAPI с интеграцией данных через API Репутация, что обеспечивает оптимальное сочетание функциональности, производительности и экономической эффективности.</w:t>
      </w:r>
    </w:p>
    <w:p>
      <w:pPr>
        <w:pStyle w:val="Normal"/>
        <w:rPr>
          <w:rFonts w:ascii="Times New Roman" w:hAnsi="Times New Roman" w:cs="Times New Roman"/>
          <w:color w:val="000000"/>
          <w:sz w:val="28"/>
          <w:szCs w:val="28"/>
          <w:shd w:fill="FFFFFF" w:val="clear"/>
        </w:rPr>
      </w:pPr>
      <w:r>
        <w:rPr>
          <w:rFonts w:cs="Times New Roman"/>
          <w:color w:val="000000"/>
          <w:sz w:val="28"/>
          <w:szCs w:val="28"/>
          <w:shd w:fill="FFFFFF" w:val="clear"/>
        </w:rPr>
      </w:r>
      <w:r>
        <w:br w:type="page"/>
      </w:r>
    </w:p>
    <w:p>
      <w:pPr>
        <w:pStyle w:val="Heading1"/>
        <w:spacing w:before="0" w:after="240"/>
        <w:ind w:hanging="0" w:left="0"/>
        <w:jc w:val="center"/>
        <w:rPr>
          <w:rFonts w:ascii="Times New Roman" w:hAnsi="Times New Roman"/>
          <w:b w:val="false"/>
          <w:color w:val="auto"/>
          <w:shd w:fill="FFFFFF" w:val="clear"/>
        </w:rPr>
      </w:pPr>
      <w:bookmarkStart w:id="79" w:name="__RefHeading___Toc22187_2829662935"/>
      <w:bookmarkStart w:id="80" w:name="_Toc515886992"/>
      <w:bookmarkEnd w:id="79"/>
      <w:r>
        <w:rPr>
          <w:b w:val="false"/>
          <w:color w:val="000000"/>
          <w:shd w:fill="FFFFFF" w:val="clear"/>
        </w:rPr>
        <w:t xml:space="preserve">2. </w:t>
      </w:r>
      <w:bookmarkEnd w:id="80"/>
      <w:r>
        <w:rPr>
          <w:b w:val="false"/>
          <w:color w:val="000000"/>
          <w:shd w:fill="FFFFFF" w:val="clear"/>
        </w:rPr>
        <w:t>Архитектурное решение</w:t>
      </w:r>
    </w:p>
    <w:p>
      <w:pPr>
        <w:pStyle w:val="Normal"/>
        <w:jc w:val="center"/>
        <w:rPr>
          <w:rFonts w:ascii="Times New Roman" w:hAnsi="Times New Roman"/>
          <w:b w:val="false"/>
          <w:color w:val="auto"/>
          <w:shd w:fill="FFFFFF" w:val="clear"/>
        </w:rPr>
      </w:pPr>
      <w:bookmarkStart w:id="81" w:name="__RefHeading___Toc22189_2829662935"/>
      <w:bookmarkStart w:id="82" w:name="_Toc515886993"/>
      <w:bookmarkEnd w:id="81"/>
      <w:r>
        <w:rPr/>
        <w:t>2.1. Проектирование физической модели базы данных</w:t>
      </w:r>
      <w:bookmarkEnd w:id="8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shd w:fill="FFFFFF" w:val="clear"/>
          <w:lang w:eastAsia="ru-RU"/>
        </w:rPr>
        <w:t>Целью инфологического моделирования является</w:t>
      </w:r>
      <w:r>
        <w:rPr>
          <w:rFonts w:eastAsia="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 [18]</w:t>
      </w:r>
    </w:p>
    <w:p>
      <w:pPr>
        <w:pStyle w:val="Normal"/>
        <w:spacing w:lineRule="auto" w:line="360" w:before="0" w:after="0"/>
        <w:ind w:firstLine="709"/>
        <w:jc w:val="both"/>
        <w:rPr>
          <w:rFonts w:ascii="Times New Roman" w:hAnsi="Times New Roman" w:eastAsia="Times New Roman" w:cs="Times New Roman"/>
          <w:sz w:val="24"/>
          <w:szCs w:val="24"/>
          <w:lang w:eastAsia="ru-RU"/>
        </w:rPr>
      </w:pPr>
      <w:r>
        <w:rPr>
          <w:rFonts w:eastAsia="Times New Roman" w:cs="Times New Roman"/>
          <w:sz w:val="28"/>
          <w:szCs w:val="28"/>
          <w:lang w:eastAsia="ru-RU"/>
        </w:rPr>
        <w:t>Сущность - это объект, который может быть идентифицирован неким способом, отличающим его от других объектов, информация о котором должна храниться в базе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Атрибут - поименованная характеристика сущности,</w:t>
      </w:r>
      <w:r>
        <w:rPr>
          <w:rFonts w:eastAsia="Times New Roman" w:cs="Times New Roman"/>
          <w:sz w:val="28"/>
          <w:szCs w:val="28"/>
          <w:lang w:eastAsia="ru-RU"/>
        </w:rPr>
        <w:t xml:space="preserve"> которая описывает свойство данного объекта.</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 xml:space="preserve">Для инфологического проектирования воспользуемся методом «сущность-связь» ER (Entity-Relationship).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Для формирование инфологической модели, представляющая базу данных для оценки благонадёжности поставщиков, использовано программное обеспечение MS Access – это полнофункциональная программа, которая предназначена для работы с базами данных любого типа. </w:t>
      </w: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модель разрабатываемой информационной системы, построенная средствами программного обеспечения  MS Access, представлена на рисунке 2.1.</w:t>
      </w:r>
    </w:p>
    <w:p>
      <w:pPr>
        <w:pStyle w:val="Normal"/>
        <w:spacing w:lineRule="auto" w:line="360" w:before="0" w:after="0"/>
        <w:jc w:val="center"/>
        <w:rPr>
          <w:rFonts w:ascii="Times New Roman" w:hAnsi="Times New Roman" w:eastAsia="Times New Roman" w:cs="Times New Roman"/>
          <w:sz w:val="24"/>
          <w:szCs w:val="24"/>
          <w:lang w:eastAsia="ru-RU"/>
        </w:rPr>
      </w:pPr>
      <w:r>
        <w:rPr/>
        <w:drawing>
          <wp:inline distT="0" distB="0" distL="0" distR="0">
            <wp:extent cx="5940425" cy="5080635"/>
            <wp:effectExtent l="0" t="0" r="0" b="0"/>
            <wp:docPr id="7"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
                    <pic:cNvPicPr>
                      <a:picLocks noChangeAspect="1" noChangeArrowheads="1"/>
                    </pic:cNvPicPr>
                  </pic:nvPicPr>
                  <pic:blipFill>
                    <a:blip r:embed="rId8"/>
                    <a:stretch>
                      <a:fillRect/>
                    </a:stretch>
                  </pic:blipFill>
                  <pic:spPr bwMode="auto">
                    <a:xfrm>
                      <a:off x="0" y="0"/>
                      <a:ext cx="5940425" cy="5080635"/>
                    </a:xfrm>
                    <a:prstGeom prst="rect">
                      <a:avLst/>
                    </a:prstGeom>
                  </pic:spPr>
                </pic:pic>
              </a:graphicData>
            </a:graphic>
          </wp:inline>
        </w:drawing>
      </w:r>
    </w:p>
    <w:p>
      <w:pPr>
        <w:pStyle w:val="Normal"/>
        <w:spacing w:lineRule="auto" w:line="360" w:before="0" w:after="12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2.1 – Инфологическая модель БД</w:t>
      </w:r>
    </w:p>
    <w:p>
      <w:pPr>
        <w:pStyle w:val="Normal"/>
        <w:jc w:val="center"/>
        <w:rPr>
          <w:rFonts w:ascii="Times New Roman" w:hAnsi="Times New Roman" w:eastAsia="Times New Roman"/>
          <w:b w:val="false"/>
          <w:color w:val="auto"/>
          <w:lang w:eastAsia="ru-RU"/>
        </w:rPr>
      </w:pPr>
      <w:bookmarkStart w:id="83" w:name="__RefHeading___Toc22191_2829662935"/>
      <w:bookmarkStart w:id="84" w:name="_Toc515886994"/>
      <w:bookmarkEnd w:id="83"/>
      <w:r>
        <w:rPr/>
        <w:t>2.2. Данные с точки зрения технологии 1С</w:t>
      </w:r>
      <w:bookmarkEnd w:id="84"/>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описывать структуры данных в конфигураторе;</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манипулировать данными с помощью объектов встроенного языка;</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составлять запросы к данным, используя язык запросов.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Общую схему возможных вариантов взаимодействия прикладных объектов системы можно представить следующим образом (рисунок 2.2).</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keepNext w:val="true"/>
        <w:shd w:val="clear" w:fill="FFFFFF"/>
        <w:spacing w:lineRule="auto" w:line="360" w:before="0" w:after="0"/>
        <w:ind w:firstLine="709"/>
        <w:contextualSpacing/>
        <w:jc w:val="center"/>
        <w:rPr>
          <w:rFonts w:ascii="Times New Roman" w:hAnsi="Times New Roman" w:eastAsia="Times New Roman" w:cs="Times New Roman"/>
          <w:sz w:val="24"/>
          <w:szCs w:val="24"/>
          <w:lang w:eastAsia="ru-RU"/>
        </w:rPr>
      </w:pPr>
      <w:r>
        <w:rPr/>
        <mc:AlternateContent>
          <mc:Choice Requires="wps">
            <w:drawing>
              <wp:anchor behindDoc="0" distT="66675" distB="34925" distL="5715" distR="0" simplePos="0" locked="0" layoutInCell="1" allowOverlap="1" relativeHeight="15">
                <wp:simplePos x="0" y="0"/>
                <wp:positionH relativeFrom="column">
                  <wp:posOffset>2900680</wp:posOffset>
                </wp:positionH>
                <wp:positionV relativeFrom="paragraph">
                  <wp:posOffset>1765935</wp:posOffset>
                </wp:positionV>
                <wp:extent cx="619125" cy="390525"/>
                <wp:effectExtent l="5715" t="66675" r="0" b="34925"/>
                <wp:wrapNone/>
                <wp:docPr id="8" name="Стрелка: вправо 5"/>
                <a:graphic xmlns:a="http://schemas.openxmlformats.org/drawingml/2006/main">
                  <a:graphicData uri="http://schemas.microsoft.com/office/word/2010/wordprocessingShape">
                    <wps:wsp>
                      <wps:cNvSpPr/>
                      <wps:spPr>
                        <a:xfrm rot="2090400">
                          <a:off x="0" y="0"/>
                          <a:ext cx="619200" cy="390600"/>
                        </a:xfrm>
                        <a:prstGeom prst="rightArrow">
                          <a:avLst>
                            <a:gd name="adj1" fmla="val 50000"/>
                            <a:gd name="adj2" fmla="val 50000"/>
                          </a:avLst>
                        </a:prstGeom>
                        <a:solidFill>
                          <a:schemeClr val="accent1">
                            <a:lumMod val="20000"/>
                            <a:lumOff val="80000"/>
                          </a:schemeClr>
                        </a:solidFill>
                        <a:ln w="6480">
                          <a:solidFill>
                            <a:srgbClr val="4472c4"/>
                          </a:solidFill>
                          <a:miter/>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Стрелка: вправо 5" path="l-2147483635,-2147483631l-2147483635,0l-2147483622,-2147483632l-2147483635,-2147483623l-2147483635,-2147483629l0,-2147483629xe" fillcolor="#dae3f3" stroked="t" o:allowincell="f" style="position:absolute;margin-left:228.4pt;margin-top:139.05pt;width:48.7pt;height:30.7pt;mso-wrap-style:none;v-text-anchor:middle;rotation:35" type="_x0000_t13">
                <v:fill o:detectmouseclick="t" type="solid" color2="#251c0c"/>
                <v:stroke color="#4472c4" weight="6480" joinstyle="miter" endcap="flat"/>
                <w10:wrap type="none"/>
              </v:shape>
            </w:pict>
          </mc:Fallback>
        </mc:AlternateContent>
        <mc:AlternateContent>
          <mc:Choice Requires="wps">
            <w:drawing>
              <wp:anchor behindDoc="0" distT="6350" distB="10160" distL="16510" distR="15875" simplePos="0" locked="0" layoutInCell="1" allowOverlap="1" relativeHeight="16">
                <wp:simplePos x="0" y="0"/>
                <wp:positionH relativeFrom="column">
                  <wp:posOffset>1431290</wp:posOffset>
                </wp:positionH>
                <wp:positionV relativeFrom="paragraph">
                  <wp:posOffset>1823720</wp:posOffset>
                </wp:positionV>
                <wp:extent cx="552450" cy="390525"/>
                <wp:effectExtent l="16510" t="6350" r="15875" b="10160"/>
                <wp:wrapNone/>
                <wp:docPr id="9" name="Стрелка: вправо 6"/>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6" path="l-2147483635,-2147483631l-2147483635,0l-2147483622,-2147483632l-2147483635,-2147483623l-2147483635,-2147483629l0,-2147483629xe" fillcolor="#dae3f3" stroked="t" o:allowincell="f" style="position:absolute;margin-left:112.7pt;margin-top:143.5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6985" distR="9525" simplePos="0" locked="0" layoutInCell="1" allowOverlap="1" relativeHeight="17">
                <wp:simplePos x="0" y="0"/>
                <wp:positionH relativeFrom="column">
                  <wp:posOffset>2910840</wp:posOffset>
                </wp:positionH>
                <wp:positionV relativeFrom="paragraph">
                  <wp:posOffset>2880360</wp:posOffset>
                </wp:positionV>
                <wp:extent cx="619125" cy="390525"/>
                <wp:effectExtent l="6985" t="16510" r="9525" b="15875"/>
                <wp:wrapNone/>
                <wp:docPr id="10" name="Стрелка: вправо 7"/>
                <a:graphic xmlns:a="http://schemas.openxmlformats.org/drawingml/2006/main">
                  <a:graphicData uri="http://schemas.microsoft.com/office/word/2010/wordprocessingShape">
                    <wps:wsp>
                      <wps:cNvSpPr/>
                      <wps:spPr>
                        <a:xfrm>
                          <a:off x="0" y="0"/>
                          <a:ext cx="6192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7" path="l-2147483635,-2147483631l-2147483635,0l-2147483622,-2147483632l-2147483635,-2147483623l-2147483635,-2147483629l0,-2147483629xe" fillcolor="#dae3f3" stroked="t" o:allowincell="f" style="position:absolute;margin-left:229.2pt;margin-top:226.8pt;width:48.7pt;height:30.7pt;mso-wrap-style:none;v-text-anchor:middle" type="_x0000_t13">
                <v:fill o:detectmouseclick="t" type="solid" color2="#251c0c"/>
                <v:stroke color="#4472c4" weight="12600" joinstyle="miter" endcap="flat"/>
                <w10:wrap type="none"/>
              </v:shape>
            </w:pict>
          </mc:Fallback>
        </mc:AlternateContent>
        <mc:AlternateContent>
          <mc:Choice Requires="wps">
            <w:drawing>
              <wp:anchor behindDoc="0" distT="6350" distB="10160" distL="16510" distR="15875" simplePos="0" locked="0" layoutInCell="1" allowOverlap="1" relativeHeight="18">
                <wp:simplePos x="0" y="0"/>
                <wp:positionH relativeFrom="column">
                  <wp:posOffset>4355465</wp:posOffset>
                </wp:positionH>
                <wp:positionV relativeFrom="paragraph">
                  <wp:posOffset>1823720</wp:posOffset>
                </wp:positionV>
                <wp:extent cx="552450" cy="390525"/>
                <wp:effectExtent l="16510" t="6350" r="15875" b="10160"/>
                <wp:wrapNone/>
                <wp:docPr id="11" name="Стрелка: вправо 12"/>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12" path="l-2147483635,-2147483631l-2147483635,0l-2147483622,-2147483632l-2147483635,-2147483623l-2147483635,-2147483629l0,-2147483629xe" fillcolor="#dae3f3" stroked="t" o:allowincell="f" style="position:absolute;margin-left:342.95pt;margin-top:143.5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9525" distR="10160" simplePos="0" locked="0" layoutInCell="1" allowOverlap="1" relativeHeight="19">
                <wp:simplePos x="0" y="0"/>
                <wp:positionH relativeFrom="column">
                  <wp:posOffset>2844165</wp:posOffset>
                </wp:positionH>
                <wp:positionV relativeFrom="paragraph">
                  <wp:posOffset>765810</wp:posOffset>
                </wp:positionV>
                <wp:extent cx="685800" cy="333375"/>
                <wp:effectExtent l="9525" t="16510" r="10160" b="15875"/>
                <wp:wrapNone/>
                <wp:docPr id="12" name="Стрелка: влево-вправо 13"/>
                <a:graphic xmlns:a="http://schemas.openxmlformats.org/drawingml/2006/main">
                  <a:graphicData uri="http://schemas.microsoft.com/office/word/2010/wordprocessingShape">
                    <wps:wsp>
                      <wps:cNvSpPr/>
                      <wps:spPr>
                        <a:xfrm>
                          <a:off x="0" y="0"/>
                          <a:ext cx="685800" cy="333360"/>
                        </a:xfrm>
                        <a:prstGeom prst="lef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Стрелка: влево-вправо 13" path="l-2147483636,0l-2147483636,-2147483631l-2147483635,-2147483631l-2147483635,0l-2147483622,-2147483632l-2147483635,-2147483621l-2147483635,-2147483629l-2147483636,-2147483629l-2147483636,-2147483621xe" fillcolor="#dae3f3" stroked="t" o:allowincell="f" style="position:absolute;margin-left:223.95pt;margin-top:60.3pt;width:53.95pt;height:26.2pt;mso-wrap-style:none;v-text-anchor:middle" type="_x0000_t69">
                <v:fill o:detectmouseclick="t" type="solid" color2="#251c0c"/>
                <v:stroke color="#4472c4" weight="12600" joinstyle="miter" endcap="flat"/>
                <w10:wrap type="none"/>
              </v:shape>
            </w:pict>
          </mc:Fallback>
        </mc:AlternateContent>
        <w:drawing>
          <wp:inline distT="0" distB="0" distL="0" distR="0">
            <wp:extent cx="4788535" cy="3768725"/>
            <wp:effectExtent l="0" t="0" r="0" b="0"/>
            <wp:docPr id="13" name="Рисунок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40" descr=""/>
                    <pic:cNvPicPr>
                      <a:picLocks noChangeAspect="1" noChangeArrowheads="1"/>
                    </pic:cNvPicPr>
                  </pic:nvPicPr>
                  <pic:blipFill>
                    <a:blip r:embed="rId9"/>
                    <a:stretch>
                      <a:fillRect/>
                    </a:stretch>
                  </pic:blipFill>
                  <pic:spPr bwMode="auto">
                    <a:xfrm>
                      <a:off x="0" y="0"/>
                      <a:ext cx="4788535" cy="3768725"/>
                    </a:xfrm>
                    <a:prstGeom prst="rect">
                      <a:avLst/>
                    </a:prstGeom>
                  </pic:spPr>
                </pic:pic>
              </a:graphicData>
            </a:graphic>
          </wp:inline>
        </w:drawing>
      </w:r>
    </w:p>
    <w:p>
      <w:pPr>
        <w:pStyle w:val="Normal"/>
        <w:spacing w:lineRule="auto" w:line="360" w:before="0" w:after="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2.2 – Варианты взаимодействия прикладных объектов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 [19]</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«Поставщики» может быть использована как значение соответствующего реквизита документа «Внесение показателей» по поставщику.</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pPr>
        <w:pStyle w:val="Normal"/>
        <w:shd w:val="clear" w:fill="FFFFFF"/>
        <w:spacing w:lineRule="auto" w:line="360" w:before="0" w:after="0"/>
        <w:ind w:firstLine="709"/>
        <w:contextualSpacing/>
        <w:jc w:val="both"/>
        <w:rPr>
          <w:rFonts w:ascii="Times New Roman" w:hAnsi="Times New Roman" w:cs="Times New Roman"/>
          <w:bCs/>
          <w:sz w:val="28"/>
          <w:szCs w:val="28"/>
        </w:rPr>
      </w:pPr>
      <w:r>
        <w:rPr>
          <w:rFonts w:eastAsia="Times New Roman" w:cs="Times New Roman"/>
          <w:sz w:val="28"/>
          <w:szCs w:val="28"/>
          <w:lang w:eastAsia="ru-RU"/>
        </w:rPr>
        <w:t xml:space="preserve">Для дальнейшей работы разработки информационной системы, рассмотрим их с точки зрения конфигуратора 1С. </w:t>
      </w:r>
    </w:p>
    <w:p>
      <w:pPr>
        <w:pStyle w:val="Normal"/>
        <w:rPr>
          <w:rFonts w:ascii="Times New Roman" w:hAnsi="Times New Roman"/>
        </w:rPr>
      </w:pPr>
      <w:r>
        <w:rPr/>
      </w:r>
      <w:r>
        <w:br w:type="page"/>
      </w:r>
    </w:p>
    <w:p>
      <w:pPr>
        <w:pStyle w:val="Heading1"/>
        <w:spacing w:before="0" w:after="240"/>
        <w:ind w:hanging="0" w:left="0"/>
        <w:jc w:val="center"/>
        <w:rPr>
          <w:rFonts w:ascii="Times New Roman" w:hAnsi="Times New Roman"/>
          <w:b w:val="false"/>
          <w:color w:val="auto"/>
        </w:rPr>
      </w:pPr>
      <w:bookmarkStart w:id="85" w:name="__RefHeading___Toc37925_2829662935"/>
      <w:bookmarkEnd w:id="85"/>
      <w:r>
        <w:rPr>
          <w:b w:val="false"/>
          <w:color w:val="auto"/>
        </w:rPr>
        <w:t>3. Техническая реализация</w:t>
      </w:r>
    </w:p>
    <w:p>
      <w:pPr>
        <w:pStyle w:val="Normal"/>
        <w:jc w:val="center"/>
        <w:rPr/>
      </w:pPr>
      <w:bookmarkStart w:id="86" w:name="__RefHeading___Toc22193_2829662935"/>
      <w:bookmarkEnd w:id="86"/>
      <w:r>
        <w:rPr>
          <w:b w:val="false"/>
          <w:color w:val="auto"/>
        </w:rPr>
        <w:t>3</w:t>
      </w:r>
      <w:bookmarkStart w:id="87" w:name="_Toc514667811"/>
      <w:bookmarkStart w:id="88" w:name="_Toc515886995"/>
      <w:bookmarkStart w:id="89" w:name="_Toc484799750"/>
      <w:r>
        <w:rPr>
          <w:b w:val="false"/>
          <w:color w:val="auto"/>
        </w:rPr>
        <w:t>.1. Разработка информационной системы</w:t>
      </w:r>
      <w:bookmarkEnd w:id="87"/>
      <w:bookmarkEnd w:id="88"/>
      <w:bookmarkEnd w:id="89"/>
      <w:r>
        <w:rPr>
          <w:b w:val="false"/>
          <w:color w:val="auto"/>
        </w:rPr>
        <w:t xml:space="preserve"> 1С</w:t>
      </w:r>
    </w:p>
    <w:p>
      <w:pPr>
        <w:pStyle w:val="Normal"/>
        <w:spacing w:lineRule="auto" w:line="360" w:before="0" w:after="0"/>
        <w:ind w:firstLine="709"/>
        <w:jc w:val="both"/>
        <w:rPr>
          <w:rFonts w:ascii="Times New Roman" w:hAnsi="Times New Roman" w:cs="Times New Roman"/>
          <w:bCs/>
          <w:sz w:val="28"/>
          <w:szCs w:val="28"/>
          <w:lang w:val="en-US" w:eastAsia="ru-RU"/>
        </w:rPr>
      </w:pPr>
      <w:r>
        <w:rPr>
          <w:rFonts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Pr>
          <w:rFonts w:cs="Times New Roman"/>
          <w:bCs/>
          <w:sz w:val="28"/>
          <w:szCs w:val="28"/>
          <w:lang w:val="en-US" w:eastAsia="ru-RU"/>
        </w:rPr>
        <w:t>20]</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t>Структура метаданных разрабатываемой конфигурации представлена на рисунке 3.1</w:t>
      </w:r>
    </w:p>
    <w:p>
      <w:pPr>
        <w:pStyle w:val="Normal"/>
        <w:tabs>
          <w:tab w:val="clear" w:pos="708"/>
          <w:tab w:val="left" w:pos="990" w:leader="none"/>
        </w:tabs>
        <w:spacing w:lineRule="auto" w:line="360" w:before="0" w:after="0"/>
        <w:contextualSpacing/>
        <w:jc w:val="center"/>
        <w:rPr>
          <w:rFonts w:ascii="Times New Roman" w:hAnsi="Times New Roman" w:cs="Times New Roman"/>
          <w:sz w:val="28"/>
          <w:szCs w:val="28"/>
          <w:lang w:eastAsia="ru-RU"/>
        </w:rPr>
      </w:pPr>
      <w:r>
        <w:rPr/>
        <w:drawing>
          <wp:inline distT="0" distB="0" distL="0" distR="0">
            <wp:extent cx="2466975" cy="2696845"/>
            <wp:effectExtent l="0" t="0" r="0" b="0"/>
            <wp:docPr id="14"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1" descr=""/>
                    <pic:cNvPicPr>
                      <a:picLocks noChangeAspect="1" noChangeArrowheads="1"/>
                    </pic:cNvPicPr>
                  </pic:nvPicPr>
                  <pic:blipFill>
                    <a:blip r:embed="rId10"/>
                    <a:srcRect l="0" t="145" r="0" b="0"/>
                    <a:stretch>
                      <a:fillRect/>
                    </a:stretch>
                  </pic:blipFill>
                  <pic:spPr bwMode="auto">
                    <a:xfrm>
                      <a:off x="0" y="0"/>
                      <a:ext cx="2466975" cy="2696845"/>
                    </a:xfrm>
                    <a:prstGeom prst="rect">
                      <a:avLst/>
                    </a:prstGeom>
                  </pic:spPr>
                </pic:pic>
              </a:graphicData>
            </a:graphic>
          </wp:inline>
        </w:drawing>
        <w:drawing>
          <wp:anchor behindDoc="0" distT="0" distB="0" distL="0" distR="0" simplePos="0" locked="0" layoutInCell="0" allowOverlap="1" relativeHeight="20">
            <wp:simplePos x="0" y="0"/>
            <wp:positionH relativeFrom="column">
              <wp:posOffset>2729230</wp:posOffset>
            </wp:positionH>
            <wp:positionV relativeFrom="paragraph">
              <wp:posOffset>104775</wp:posOffset>
            </wp:positionV>
            <wp:extent cx="2954655" cy="2537460"/>
            <wp:effectExtent l="0" t="0" r="0" b="0"/>
            <wp:wrapSquare wrapText="largest"/>
            <wp:docPr id="15"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 descr=""/>
                    <pic:cNvPicPr>
                      <a:picLocks noChangeAspect="1" noChangeArrowheads="1"/>
                    </pic:cNvPicPr>
                  </pic:nvPicPr>
                  <pic:blipFill>
                    <a:blip r:embed="rId11"/>
                    <a:stretch>
                      <a:fillRect/>
                    </a:stretch>
                  </pic:blipFill>
                  <pic:spPr bwMode="auto">
                    <a:xfrm>
                      <a:off x="0" y="0"/>
                      <a:ext cx="2954655" cy="2537460"/>
                    </a:xfrm>
                    <a:prstGeom prst="rect">
                      <a:avLst/>
                    </a:prstGeom>
                  </pic:spPr>
                </pic:pic>
              </a:graphicData>
            </a:graphic>
          </wp:anchor>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3.1 – Структура дерева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 [21]</w:t>
      </w:r>
    </w:p>
    <w:p>
      <w:pPr>
        <w:pStyle w:val="NormalWeb"/>
        <w:shd w:val="clear" w:fill="FFFFFF"/>
        <w:spacing w:lineRule="auto" w:line="360" w:before="0" w:after="0"/>
        <w:ind w:firstLine="709"/>
        <w:jc w:val="both"/>
        <w:textAlignment w:val="baseline"/>
        <w:rPr>
          <w:sz w:val="28"/>
          <w:szCs w:val="28"/>
        </w:rPr>
      </w:pPr>
      <w:r>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pPr>
        <w:pStyle w:val="NormalWeb"/>
        <w:shd w:val="clear" w:fill="FFFFFF"/>
        <w:spacing w:lineRule="auto" w:line="360" w:before="0" w:after="0"/>
        <w:ind w:firstLine="709"/>
        <w:jc w:val="both"/>
        <w:textAlignment w:val="baseline"/>
        <w:rPr>
          <w:sz w:val="28"/>
          <w:szCs w:val="28"/>
        </w:rPr>
      </w:pPr>
      <w:r>
        <w:rPr>
          <w:sz w:val="28"/>
          <w:szCs w:val="28"/>
        </w:rPr>
        <w:t>Разработанный интерфейс и рабочий стол конфигурации представлен на рисунке 3.2.</w:t>
      </w:r>
    </w:p>
    <w:p>
      <w:pPr>
        <w:pStyle w:val="NormalWeb"/>
        <w:shd w:val="clear" w:fill="FFFFFF"/>
        <w:spacing w:lineRule="auto" w:line="360" w:before="0" w:after="0"/>
        <w:jc w:val="both"/>
        <w:textAlignment w:val="baseline"/>
        <w:rPr>
          <w:sz w:val="28"/>
          <w:szCs w:val="28"/>
        </w:rPr>
      </w:pPr>
      <w:r>
        <w:rPr/>
        <w:drawing>
          <wp:inline distT="0" distB="0" distL="0" distR="0">
            <wp:extent cx="5940425" cy="3948430"/>
            <wp:effectExtent l="0" t="0" r="0" b="0"/>
            <wp:docPr id="1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 descr=""/>
                    <pic:cNvPicPr>
                      <a:picLocks noChangeAspect="1" noChangeArrowheads="1"/>
                    </pic:cNvPicPr>
                  </pic:nvPicPr>
                  <pic:blipFill>
                    <a:blip r:embed="rId12"/>
                    <a:stretch>
                      <a:fillRect/>
                    </a:stretch>
                  </pic:blipFill>
                  <pic:spPr bwMode="auto">
                    <a:xfrm>
                      <a:off x="0" y="0"/>
                      <a:ext cx="5940425" cy="3948430"/>
                    </a:xfrm>
                    <a:prstGeom prst="rect">
                      <a:avLst/>
                    </a:prstGeom>
                  </pic:spPr>
                </pic:pic>
              </a:graphicData>
            </a:graphic>
          </wp:inline>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3.2. Командный интерфейс и рабочий стол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pPr>
        <w:pStyle w:val="Normal"/>
        <w:jc w:val="center"/>
        <w:rPr>
          <w:b w:val="false"/>
          <w:color w:val="000000"/>
          <w:shd w:fill="FFFFFF" w:val="clear"/>
        </w:rPr>
      </w:pPr>
      <w:bookmarkStart w:id="90" w:name="__RefHeading___Toc22195_2829662935"/>
      <w:bookmarkStart w:id="91" w:name="_Toc515886996"/>
      <w:bookmarkEnd w:id="90"/>
      <w:r>
        <w:rPr>
          <w:b w:val="false"/>
          <w:color w:val="000000"/>
          <w:shd w:fill="FFFFFF" w:val="clear"/>
        </w:rPr>
        <w:t>3.1.1. Справочники</w:t>
      </w:r>
      <w:bookmarkEnd w:id="91"/>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справочников и описание их реквизитов представлены в таблице 3.1.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3.1.</w:t>
      </w:r>
    </w:p>
    <w:p>
      <w:pPr>
        <w:pStyle w:val="Normal"/>
        <w:spacing w:lineRule="auto" w:line="360" w:before="0" w:after="0"/>
        <w:ind w:firstLine="709"/>
        <w:jc w:val="center"/>
        <w:rPr>
          <w:rFonts w:ascii="Times New Roman" w:hAnsi="Times New Roman" w:cs="Times New Roman"/>
          <w:sz w:val="28"/>
          <w:szCs w:val="28"/>
          <w:lang w:eastAsia="ru-RU"/>
        </w:rPr>
      </w:pPr>
      <w:bookmarkStart w:id="92" w:name="OLE_LINK65"/>
      <w:bookmarkStart w:id="93" w:name="OLE_LINK66"/>
      <w:bookmarkStart w:id="94" w:name="OLE_LINK64"/>
      <w:r>
        <w:rPr>
          <w:rFonts w:cs="Times New Roman"/>
          <w:sz w:val="28"/>
          <w:szCs w:val="28"/>
          <w:lang w:eastAsia="ru-RU"/>
        </w:rPr>
        <w:t>Структура и состав справочников</w:t>
      </w:r>
      <w:bookmarkEnd w:id="92"/>
      <w:bookmarkEnd w:id="93"/>
      <w:bookmarkEnd w:id="94"/>
    </w:p>
    <w:tbl>
      <w:tblPr>
        <w:tblW w:w="9345" w:type="dxa"/>
        <w:jc w:val="left"/>
        <w:tblInd w:w="-113" w:type="dxa"/>
        <w:tblLayout w:type="fixed"/>
        <w:tblCellMar>
          <w:top w:w="0" w:type="dxa"/>
          <w:left w:w="108" w:type="dxa"/>
          <w:bottom w:w="0" w:type="dxa"/>
          <w:right w:w="108" w:type="dxa"/>
        </w:tblCellMar>
      </w:tblPr>
      <w:tblGrid>
        <w:gridCol w:w="2263"/>
        <w:gridCol w:w="2549"/>
        <w:gridCol w:w="2551"/>
        <w:gridCol w:w="1981"/>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5" w:name="__RefHeading___Toc3050_4046097046"/>
            <w:bookmarkEnd w:id="95"/>
            <w:r>
              <w:rPr>
                <w:rFonts w:eastAsia="Times New Roman" w:cs="Times New Roman"/>
                <w:kern w:val="0"/>
                <w:sz w:val="24"/>
                <w:szCs w:val="24"/>
                <w:lang w:val="ru-RU" w:eastAsia="ru-RU" w:bidi="ar-SA"/>
              </w:rPr>
              <w:t>Наименование объекта</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6" w:name="__RefHeading___Toc3052_4046097046"/>
            <w:bookmarkEnd w:id="96"/>
            <w:r>
              <w:rPr>
                <w:rFonts w:eastAsia="Times New Roman" w:cs="Times New Roman"/>
                <w:kern w:val="0"/>
                <w:sz w:val="24"/>
                <w:szCs w:val="24"/>
                <w:lang w:val="ru-RU" w:eastAsia="ru-RU" w:bidi="ar-SA"/>
              </w:rPr>
              <w:t>Реквизиты</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7" w:name="__RefHeading___Toc3054_4046097046"/>
            <w:bookmarkEnd w:id="97"/>
            <w:r>
              <w:rPr>
                <w:rFonts w:eastAsia="Times New Roman" w:cs="Times New Roman"/>
                <w:kern w:val="0"/>
                <w:sz w:val="24"/>
                <w:szCs w:val="24"/>
                <w:lang w:val="ru-RU" w:eastAsia="ru-RU" w:bidi="ar-SA"/>
              </w:rPr>
              <w:t>Тип</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8" w:name="__RefHeading___Toc3056_4046097046"/>
            <w:bookmarkEnd w:id="98"/>
            <w:r>
              <w:rPr>
                <w:rFonts w:eastAsia="Times New Roman" w:cs="Times New Roman"/>
                <w:kern w:val="0"/>
                <w:sz w:val="24"/>
                <w:szCs w:val="24"/>
                <w:lang w:val="ru-RU" w:eastAsia="ru-RU" w:bidi="ar-SA"/>
              </w:rPr>
              <w:t>Свойства</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9" w:name="__RefHeading___Toc3058_4046097046"/>
            <w:bookmarkEnd w:id="99"/>
            <w:r>
              <w:rPr>
                <w:rFonts w:eastAsia="Times New Roman" w:cs="Times New Roman"/>
                <w:kern w:val="0"/>
                <w:sz w:val="24"/>
                <w:szCs w:val="24"/>
                <w:lang w:val="ru-RU" w:eastAsia="ru-RU" w:bidi="ar-SA"/>
              </w:rPr>
              <w:t>Справочник «Поставщики»</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0" w:name="__RefHeading___Toc3060_4046097046"/>
            <w:bookmarkEnd w:id="100"/>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1" w:name="__RefHeading___Toc3062_4046097046"/>
            <w:bookmarkEnd w:id="101"/>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2" w:name="__RefHeading___Toc3064_4046097046"/>
            <w:bookmarkEnd w:id="102"/>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3" w:name="__RefHeading___Toc3066_4046097046"/>
            <w:bookmarkEnd w:id="103"/>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4" w:name="__RefHeading___Toc3068_4046097046"/>
            <w:bookmarkEnd w:id="104"/>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5" w:name="__RefHeading___Toc3070_4046097046"/>
            <w:bookmarkEnd w:id="105"/>
            <w:r>
              <w:rPr>
                <w:rFonts w:eastAsia="Times New Roman" w:cs="Times New Roman"/>
                <w:kern w:val="0"/>
                <w:sz w:val="24"/>
                <w:szCs w:val="24"/>
                <w:lang w:val="ru-RU" w:eastAsia="ru-RU" w:bidi="ar-SA"/>
              </w:rPr>
              <w:t>Длина - 60</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6" w:name="__RefHeading___Toc3072_4046097046"/>
            <w:bookmarkEnd w:id="106"/>
            <w:r>
              <w:rPr>
                <w:rFonts w:eastAsia="Times New Roman" w:cs="Times New Roman"/>
                <w:kern w:val="0"/>
                <w:sz w:val="24"/>
                <w:szCs w:val="24"/>
                <w:lang w:val="ru-RU" w:eastAsia="ru-RU" w:bidi="ar-SA"/>
              </w:rPr>
              <w:t>Группа товаров</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7" w:name="__RefHeading___Toc3074_4046097046"/>
            <w:bookmarkEnd w:id="107"/>
            <w:r>
              <w:rPr>
                <w:rFonts w:eastAsia="Times New Roman" w:cs="Times New Roman"/>
                <w:kern w:val="0"/>
                <w:sz w:val="24"/>
                <w:szCs w:val="24"/>
                <w:lang w:val="ru-RU" w:eastAsia="ru-RU" w:bidi="ar-SA"/>
              </w:rPr>
              <w:t>Справочник Ссылка. Группы Товаров</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8" w:name="__RefHeading___Toc3076_4046097046"/>
            <w:bookmarkEnd w:id="108"/>
            <w:r>
              <w:rPr>
                <w:rFonts w:eastAsia="Times New Roman" w:cs="Times New Roman"/>
                <w:kern w:val="0"/>
                <w:sz w:val="24"/>
                <w:szCs w:val="24"/>
                <w:lang w:val="ru-RU" w:eastAsia="ru-RU" w:bidi="ar-SA"/>
              </w:rPr>
              <w:t>-</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9" w:name="__RefHeading___Toc3078_4046097046"/>
            <w:bookmarkEnd w:id="109"/>
            <w:r>
              <w:rPr>
                <w:rFonts w:eastAsia="Times New Roman" w:cs="Times New Roman"/>
                <w:kern w:val="0"/>
                <w:sz w:val="24"/>
                <w:szCs w:val="24"/>
                <w:lang w:val="ru-RU" w:eastAsia="ru-RU" w:bidi="ar-SA"/>
              </w:rPr>
              <w:t>ИНН</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0" w:name="__RefHeading___Toc3080_4046097046"/>
            <w:bookmarkEnd w:id="11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1" w:name="__RefHeading___Toc3082_4046097046"/>
            <w:bookmarkEnd w:id="111"/>
            <w:r>
              <w:rPr>
                <w:rFonts w:eastAsia="Times New Roman" w:cs="Times New Roman"/>
                <w:kern w:val="0"/>
                <w:sz w:val="24"/>
                <w:szCs w:val="24"/>
                <w:lang w:val="ru-RU" w:eastAsia="ru-RU" w:bidi="ar-SA"/>
              </w:rPr>
              <w:t>12</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2" w:name="__RefHeading___Toc3084_4046097046"/>
            <w:bookmarkEnd w:id="112"/>
            <w:r>
              <w:rPr>
                <w:rFonts w:eastAsia="Times New Roman" w:cs="Times New Roman"/>
                <w:kern w:val="0"/>
                <w:sz w:val="24"/>
                <w:szCs w:val="24"/>
                <w:lang w:val="ru-RU" w:eastAsia="ru-RU" w:bidi="ar-SA"/>
              </w:rPr>
              <w:t>КПП</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3" w:name="__RefHeading___Toc3086_4046097046"/>
            <w:bookmarkEnd w:id="113"/>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4" w:name="__RefHeading___Toc3088_4046097046"/>
            <w:bookmarkEnd w:id="114"/>
            <w:r>
              <w:rPr>
                <w:rFonts w:eastAsia="Times New Roman" w:cs="Times New Roman"/>
                <w:kern w:val="0"/>
                <w:sz w:val="24"/>
                <w:szCs w:val="24"/>
                <w:lang w:val="ru-RU" w:eastAsia="ru-RU" w:bidi="ar-SA"/>
              </w:rPr>
              <w:t>9</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5" w:name="__RefHeading___Toc3090_4046097046"/>
            <w:bookmarkEnd w:id="115"/>
            <w:r>
              <w:rPr>
                <w:rFonts w:eastAsia="Times New Roman" w:cs="Times New Roman"/>
                <w:kern w:val="0"/>
                <w:sz w:val="24"/>
                <w:szCs w:val="24"/>
                <w:lang w:val="ru-RU" w:eastAsia="ru-RU" w:bidi="ar-SA"/>
              </w:rPr>
              <w:t>Справочник «Группы товаров»</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6" w:name="__RefHeading___Toc3092_4046097046"/>
            <w:bookmarkEnd w:id="116"/>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7" w:name="__RefHeading___Toc3094_4046097046"/>
            <w:bookmarkEnd w:id="117"/>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8" w:name="__RefHeading___Toc3096_4046097046"/>
            <w:bookmarkEnd w:id="118"/>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9" w:name="__RefHeading___Toc3098_4046097046"/>
            <w:bookmarkEnd w:id="119"/>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0" w:name="__RefHeading___Toc3100_4046097046"/>
            <w:bookmarkEnd w:id="12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1" w:name="__RefHeading___Toc3102_4046097046"/>
            <w:bookmarkEnd w:id="121"/>
            <w:r>
              <w:rPr>
                <w:rFonts w:eastAsia="Times New Roman" w:cs="Times New Roman"/>
                <w:kern w:val="0"/>
                <w:sz w:val="24"/>
                <w:szCs w:val="24"/>
                <w:lang w:val="ru-RU" w:eastAsia="ru-RU" w:bidi="ar-SA"/>
              </w:rPr>
              <w:t>Длина - 60</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Рассмотрим подробнее разработанные справочники и их формы.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«Поставщики» предназначен для ввода и хранения информации о поставщиках </w:t>
      </w:r>
      <w:r>
        <w:rPr>
          <w:rFonts w:cs="Times New Roman"/>
          <w:sz w:val="28"/>
          <w:szCs w:val="28"/>
        </w:rPr>
        <w:t>(Рисунок 3.3).</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1">
            <wp:simplePos x="0" y="0"/>
            <wp:positionH relativeFrom="column">
              <wp:posOffset>0</wp:posOffset>
            </wp:positionH>
            <wp:positionV relativeFrom="paragraph">
              <wp:posOffset>133350</wp:posOffset>
            </wp:positionV>
            <wp:extent cx="5940425" cy="925195"/>
            <wp:effectExtent l="0" t="0" r="0" b="0"/>
            <wp:wrapTopAndBottom/>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3"/>
                    <a:stretch>
                      <a:fillRect/>
                    </a:stretch>
                  </pic:blipFill>
                  <pic:spPr bwMode="auto">
                    <a:xfrm>
                      <a:off x="0" y="0"/>
                      <a:ext cx="5940425" cy="9251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3.3 – Форма списка справочника «Поставщики»</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«Группы товаров» хранит информацию по возможным группам товаров, поставляемых поставщиками </w:t>
      </w:r>
      <w:r>
        <w:rPr>
          <w:rFonts w:cs="Times New Roman"/>
          <w:sz w:val="28"/>
          <w:szCs w:val="28"/>
        </w:rPr>
        <w:t>(Рисунок 3.4).</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2">
            <wp:simplePos x="0" y="0"/>
            <wp:positionH relativeFrom="column">
              <wp:posOffset>0</wp:posOffset>
            </wp:positionH>
            <wp:positionV relativeFrom="paragraph">
              <wp:posOffset>104775</wp:posOffset>
            </wp:positionV>
            <wp:extent cx="5940425" cy="828040"/>
            <wp:effectExtent l="0" t="0" r="0" b="0"/>
            <wp:wrapTopAndBottom/>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14"/>
                    <a:stretch>
                      <a:fillRect/>
                    </a:stretch>
                  </pic:blipFill>
                  <pic:spPr bwMode="auto">
                    <a:xfrm>
                      <a:off x="0" y="0"/>
                      <a:ext cx="5940425" cy="82804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3.4 – Форма списка справочника «Группы товаров»</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r>
        <w:rPr>
          <w:b w:val="false"/>
          <w:color w:val="auto"/>
        </w:rPr>
      </w:r>
      <w:r>
        <w:br w:type="page"/>
      </w:r>
    </w:p>
    <w:p>
      <w:pPr>
        <w:pStyle w:val="Normal"/>
        <w:spacing w:before="0" w:after="160"/>
        <w:jc w:val="center"/>
        <w:rPr>
          <w:b w:val="false"/>
          <w:color w:val="auto"/>
        </w:rPr>
      </w:pPr>
      <w:bookmarkStart w:id="122" w:name="__RefHeading___Toc22197_2829662935"/>
      <w:bookmarkStart w:id="123" w:name="_Toc515886997"/>
      <w:bookmarkEnd w:id="122"/>
      <w:r>
        <w:rPr>
          <w:b w:val="false"/>
          <w:color w:val="auto"/>
        </w:rPr>
        <w:t>3.1.2 Документы</w:t>
      </w:r>
      <w:bookmarkEnd w:id="123"/>
    </w:p>
    <w:p>
      <w:pPr>
        <w:pStyle w:val="Normal"/>
        <w:spacing w:lineRule="auto" w:line="360" w:before="0" w:after="0"/>
        <w:ind w:firstLine="709"/>
        <w:jc w:val="both"/>
        <w:rPr>
          <w:rFonts w:ascii="Times New Roman" w:hAnsi="Times New Roman" w:cs="Times New Roman"/>
          <w:sz w:val="28"/>
          <w:szCs w:val="28"/>
        </w:rPr>
      </w:pPr>
      <w:bookmarkStart w:id="124" w:name="OLE_LINK68"/>
      <w:bookmarkStart w:id="125" w:name="OLE_LINK67"/>
      <w:r>
        <w:rPr>
          <w:rFonts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bookmarkEnd w:id="124"/>
      <w:bookmarkEnd w:id="125"/>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документов, табличных частей и описание их реквизитов представлены в таблице 3.2.</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Структура и состав документов</w:t>
      </w:r>
    </w:p>
    <w:tbl>
      <w:tblPr>
        <w:tblW w:w="9345" w:type="dxa"/>
        <w:jc w:val="left"/>
        <w:tblInd w:w="-113" w:type="dxa"/>
        <w:tblLayout w:type="fixed"/>
        <w:tblCellMar>
          <w:top w:w="0" w:type="dxa"/>
          <w:left w:w="108" w:type="dxa"/>
          <w:bottom w:w="0" w:type="dxa"/>
          <w:right w:w="108" w:type="dxa"/>
        </w:tblCellMar>
      </w:tblPr>
      <w:tblGrid>
        <w:gridCol w:w="1997"/>
        <w:gridCol w:w="1996"/>
        <w:gridCol w:w="2948"/>
        <w:gridCol w:w="2403"/>
      </w:tblGrid>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6" w:name="__RefHeading___Toc3124_4046097046"/>
            <w:bookmarkEnd w:id="126"/>
            <w:r>
              <w:rPr>
                <w:rFonts w:eastAsia="Times New Roman" w:cs="Times New Roman"/>
                <w:kern w:val="0"/>
                <w:sz w:val="24"/>
                <w:szCs w:val="24"/>
                <w:lang w:val="ru-RU" w:eastAsia="ru-RU" w:bidi="ar-SA"/>
              </w:rPr>
              <w:t>Наименование объекта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7" w:name="__RefHeading___Toc3126_4046097046"/>
            <w:bookmarkEnd w:id="127"/>
            <w:r>
              <w:rPr>
                <w:rFonts w:eastAsia="Times New Roman" w:cs="Times New Roman"/>
                <w:kern w:val="0"/>
                <w:sz w:val="24"/>
                <w:szCs w:val="24"/>
                <w:lang w:val="ru-RU" w:eastAsia="ru-RU" w:bidi="ar-SA"/>
              </w:rPr>
              <w:t>Реквизиты</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8" w:name="__RefHeading___Toc3128_4046097046"/>
            <w:bookmarkEnd w:id="128"/>
            <w:r>
              <w:rPr>
                <w:rFonts w:eastAsia="Times New Roman" w:cs="Times New Roman"/>
                <w:kern w:val="0"/>
                <w:sz w:val="24"/>
                <w:szCs w:val="24"/>
                <w:lang w:val="ru-RU" w:eastAsia="ru-RU" w:bidi="ar-SA"/>
              </w:rPr>
              <w:t>Тип</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9" w:name="__RefHeading___Toc3130_4046097046"/>
            <w:bookmarkEnd w:id="129"/>
            <w:r>
              <w:rPr>
                <w:rFonts w:eastAsia="Times New Roman" w:cs="Times New Roman"/>
                <w:kern w:val="0"/>
                <w:sz w:val="24"/>
                <w:szCs w:val="24"/>
                <w:lang w:val="ru-RU" w:eastAsia="ru-RU" w:bidi="ar-SA"/>
              </w:rPr>
              <w:t>Свойства</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0" w:name="__RefHeading___Toc3132_4046097046"/>
            <w:bookmarkEnd w:id="130"/>
            <w:r>
              <w:rPr>
                <w:rFonts w:eastAsia="Times New Roman" w:cs="Times New Roman"/>
                <w:kern w:val="0"/>
                <w:sz w:val="24"/>
                <w:szCs w:val="24"/>
                <w:lang w:val="ru-RU" w:eastAsia="ru-RU" w:bidi="ar-SA"/>
              </w:rPr>
              <w:t>Документ «Формирование выборки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1" w:name="__RefHeading___Toc3134_4046097046"/>
            <w:bookmarkEnd w:id="131"/>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2" w:name="__RefHeading___Toc3136_4046097046"/>
            <w:bookmarkEnd w:id="132"/>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3" w:name="__RefHeading___Toc3138_4046097046"/>
            <w:bookmarkEnd w:id="133"/>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4" w:name="__RefHeading___Toc3140_4046097046"/>
            <w:bookmarkEnd w:id="134"/>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5" w:name="__RefHeading___Toc3142_4046097046"/>
            <w:bookmarkEnd w:id="135"/>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6" w:name="__RefHeading___Toc3144_4046097046"/>
            <w:bookmarkEnd w:id="13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7" w:name="__RefHeading___Toc3146_4046097046"/>
            <w:bookmarkEnd w:id="137"/>
            <w:r>
              <w:rPr>
                <w:rFonts w:eastAsia="Times New Roman" w:cs="Times New Roman"/>
                <w:kern w:val="0"/>
                <w:sz w:val="24"/>
                <w:szCs w:val="24"/>
                <w:lang w:val="ru-RU" w:eastAsia="ru-RU" w:bidi="ar-SA"/>
              </w:rPr>
              <w:t>Группа Товара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8" w:name="__RefHeading___Toc3148_4046097046"/>
            <w:bookmarkEnd w:id="138"/>
            <w:r>
              <w:rPr>
                <w:rFonts w:eastAsia="Times New Roman" w:cs="Times New Roman"/>
                <w:kern w:val="0"/>
                <w:sz w:val="24"/>
                <w:szCs w:val="24"/>
                <w:lang w:val="ru-RU" w:eastAsia="ru-RU" w:bidi="ar-SA"/>
              </w:rPr>
              <w:t>Справочник Ссылка. Группы товара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9" w:name="__RefHeading___Toc3150_4046097046"/>
            <w:bookmarkEnd w:id="139"/>
            <w:r>
              <w:rPr>
                <w:rFonts w:eastAsia="Times New Roman" w:cs="Times New Roman"/>
                <w:kern w:val="0"/>
                <w:sz w:val="24"/>
                <w:szCs w:val="24"/>
                <w:lang w:val="ru-RU" w:eastAsia="ru-RU" w:bidi="ar-SA"/>
              </w:rPr>
              <w:t>-</w:t>
            </w:r>
          </w:p>
        </w:tc>
      </w:tr>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0" w:name="__RefHeading___Toc3152_4046097046"/>
            <w:bookmarkEnd w:id="140"/>
            <w:r>
              <w:rPr>
                <w:rFonts w:eastAsia="Times New Roman" w:cs="Times New Roman"/>
                <w:kern w:val="0"/>
                <w:sz w:val="24"/>
                <w:szCs w:val="24"/>
                <w:lang w:val="ru-RU" w:eastAsia="ru-RU" w:bidi="ar-SA"/>
              </w:rPr>
              <w:t>Табличная часть «Список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1" w:name="__RefHeading___Toc3154_4046097046"/>
            <w:bookmarkEnd w:id="141"/>
            <w:r>
              <w:rPr>
                <w:rFonts w:eastAsia="Times New Roman" w:cs="Times New Roman"/>
                <w:kern w:val="0"/>
                <w:sz w:val="24"/>
                <w:szCs w:val="24"/>
                <w:lang w:val="ru-RU" w:eastAsia="ru-RU" w:bidi="ar-SA"/>
              </w:rPr>
              <w:t>Наименование</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2" w:name="__RefHeading___Toc3156_4046097046"/>
            <w:bookmarkEnd w:id="142"/>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3" w:name="__RefHeading___Toc3158_4046097046"/>
            <w:bookmarkEnd w:id="143"/>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4" w:name="__RefHeading___Toc3160_4046097046"/>
            <w:bookmarkEnd w:id="144"/>
            <w:r>
              <w:rPr>
                <w:rFonts w:eastAsia="Times New Roman" w:cs="Times New Roman"/>
                <w:kern w:val="0"/>
                <w:sz w:val="24"/>
                <w:szCs w:val="24"/>
                <w:lang w:val="ru-RU" w:eastAsia="ru-RU" w:bidi="ar-SA"/>
              </w:rPr>
              <w:t>Документ «Анализ Выборка»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5" w:name="__RefHeading___Toc3162_4046097046"/>
            <w:bookmarkEnd w:id="145"/>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6" w:name="__RefHeading___Toc3164_4046097046"/>
            <w:bookmarkEnd w:id="146"/>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7" w:name="__RefHeading___Toc3166_4046097046"/>
            <w:bookmarkEnd w:id="147"/>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8" w:name="__RefHeading___Toc3168_4046097046"/>
            <w:bookmarkEnd w:id="148"/>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9" w:name="__RefHeading___Toc3170_4046097046"/>
            <w:bookmarkEnd w:id="149"/>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0" w:name="__RefHeading___Toc3172_4046097046"/>
            <w:bookmarkEnd w:id="15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1" w:name="__RefHeading___Toc3174_4046097046"/>
            <w:bookmarkEnd w:id="151"/>
            <w:r>
              <w:rPr>
                <w:rFonts w:eastAsia="Times New Roman" w:cs="Times New Roman"/>
                <w:kern w:val="0"/>
                <w:sz w:val="24"/>
                <w:szCs w:val="24"/>
                <w:lang w:val="ru-RU" w:eastAsia="ru-RU" w:bidi="ar-SA"/>
              </w:rPr>
              <w:t>Выборка поставщиков</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2" w:name="__RefHeading___Toc3176_4046097046"/>
            <w:bookmarkEnd w:id="152"/>
            <w:r>
              <w:rPr>
                <w:rFonts w:eastAsia="Times New Roman" w:cs="Times New Roman"/>
                <w:kern w:val="0"/>
                <w:sz w:val="24"/>
                <w:szCs w:val="24"/>
                <w:lang w:val="ru-RU" w:eastAsia="ru-RU" w:bidi="ar-SA"/>
              </w:rPr>
              <w:t>Документ Ссылка. Формирование выборки поставщиков</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3" w:name="__RefHeading___Toc3178_4046097046"/>
            <w:bookmarkEnd w:id="153"/>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4" w:name="__RefHeading___Toc3180_4046097046"/>
            <w:bookmarkEnd w:id="154"/>
            <w:r>
              <w:rPr>
                <w:rFonts w:eastAsia="Times New Roman" w:cs="Times New Roman"/>
                <w:kern w:val="0"/>
                <w:sz w:val="24"/>
                <w:szCs w:val="24"/>
                <w:lang w:val="ru-RU" w:eastAsia="ru-RU" w:bidi="ar-SA"/>
              </w:rPr>
              <w:t>Рекомендуемый 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5" w:name="__RefHeading___Toc3182_4046097046"/>
            <w:bookmarkEnd w:id="155"/>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6" w:name="__RefHeading___Toc3184_4046097046"/>
            <w:bookmarkEnd w:id="156"/>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7" w:name="__RefHeading___Toc3186_4046097046"/>
            <w:bookmarkEnd w:id="157"/>
            <w:r>
              <w:rPr>
                <w:rFonts w:eastAsia="Times New Roman" w:cs="Times New Roman"/>
                <w:kern w:val="0"/>
                <w:sz w:val="24"/>
                <w:szCs w:val="24"/>
                <w:lang w:val="ru-RU" w:eastAsia="ru-RU" w:bidi="ar-SA"/>
              </w:rPr>
              <w:t>Табличная часть «Результаты оценки»</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8" w:name="__RefHeading___Toc3188_4046097046"/>
            <w:bookmarkEnd w:id="158"/>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9" w:name="__RefHeading___Toc3190_4046097046"/>
            <w:bookmarkEnd w:id="159"/>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0" w:name="__RefHeading___Toc3192_4046097046"/>
            <w:bookmarkEnd w:id="16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1" w:name="__RefHeading___Toc3194_4046097046"/>
            <w:bookmarkEnd w:id="161"/>
            <w:r>
              <w:rPr>
                <w:rFonts w:eastAsia="Times New Roman" w:cs="Times New Roman"/>
                <w:kern w:val="0"/>
                <w:sz w:val="24"/>
                <w:szCs w:val="24"/>
                <w:lang w:val="ru-RU" w:eastAsia="ru-RU" w:bidi="ar-SA"/>
              </w:rPr>
              <w:t>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2" w:name="__RefHeading___Toc3196_4046097046"/>
            <w:bookmarkEnd w:id="162"/>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3" w:name="__RefHeading___Toc3198_4046097046"/>
            <w:bookmarkEnd w:id="163"/>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4" w:name="__RefHeading___Toc3200_4046097046"/>
            <w:bookmarkEnd w:id="164"/>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5" w:name="__RefHeading___Toc3202_4046097046"/>
            <w:bookmarkEnd w:id="165"/>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6" w:name="__RefHeading___Toc3204_4046097046"/>
            <w:bookmarkEnd w:id="16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7" w:name="__RefHeading___Toc3206_4046097046"/>
            <w:bookmarkEnd w:id="167"/>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8" w:name="__RefHeading___Toc3208_4046097046"/>
            <w:bookmarkEnd w:id="168"/>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9" w:name="__RefHeading___Toc3210_4046097046"/>
            <w:bookmarkEnd w:id="16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0" w:name="__RefHeading___Toc3212_4046097046"/>
            <w:bookmarkEnd w:id="170"/>
            <w:r>
              <w:rPr>
                <w:rFonts w:eastAsia="Times New Roman" w:cs="Times New Roman"/>
                <w:kern w:val="0"/>
                <w:sz w:val="24"/>
                <w:szCs w:val="24"/>
                <w:lang w:val="ru-RU" w:eastAsia="ru-RU" w:bidi="ar-SA"/>
              </w:rPr>
              <w:t>Финансовый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1" w:name="__RefHeading___Toc3214_4046097046"/>
            <w:bookmarkEnd w:id="171"/>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2" w:name="__RefHeading___Toc3216_4046097046"/>
            <w:bookmarkEnd w:id="172"/>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3" w:name="__RefHeading___Toc3218_4046097046"/>
            <w:bookmarkEnd w:id="173"/>
            <w:r>
              <w:rPr>
                <w:rFonts w:eastAsia="Times New Roman" w:cs="Times New Roman"/>
                <w:kern w:val="0"/>
                <w:sz w:val="24"/>
                <w:szCs w:val="24"/>
                <w:lang w:val="ru-RU" w:eastAsia="ru-RU" w:bidi="ar-SA"/>
              </w:rPr>
              <w:t>Юридический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4" w:name="__RefHeading___Toc3220_4046097046"/>
            <w:bookmarkEnd w:id="174"/>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5" w:name="__RefHeading___Toc3222_4046097046"/>
            <w:bookmarkEnd w:id="175"/>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6" w:name="__RefHeading___Toc3224_4046097046"/>
            <w:bookmarkEnd w:id="176"/>
            <w:r>
              <w:rPr>
                <w:rFonts w:eastAsia="Times New Roman" w:cs="Times New Roman"/>
                <w:kern w:val="0"/>
                <w:sz w:val="24"/>
                <w:szCs w:val="24"/>
                <w:lang w:val="ru-RU" w:eastAsia="ru-RU" w:bidi="ar-SA"/>
              </w:rPr>
              <w:t>Репутационный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7" w:name="__RefHeading___Toc3226_4046097046"/>
            <w:bookmarkEnd w:id="177"/>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8" w:name="__RefHeading___Toc3228_4046097046"/>
            <w:bookmarkEnd w:id="178"/>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9" w:name="__RefHeading___Toc3230_4046097046"/>
            <w:bookmarkEnd w:id="179"/>
            <w:r>
              <w:rPr>
                <w:rFonts w:eastAsia="Times New Roman" w:cs="Times New Roman"/>
                <w:kern w:val="0"/>
                <w:sz w:val="24"/>
                <w:szCs w:val="24"/>
                <w:lang w:val="ru-RU" w:eastAsia="ru-RU" w:bidi="ar-SA"/>
              </w:rPr>
              <w:t>Операционный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0" w:name="__RefHeading___Toc3232_4046097046"/>
            <w:bookmarkEnd w:id="180"/>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1" w:name="__RefHeading___Toc3234_4046097046"/>
            <w:bookmarkEnd w:id="181"/>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2" w:name="__RefHeading___Toc3236_4046097046"/>
            <w:bookmarkEnd w:id="182"/>
            <w:r>
              <w:rPr>
                <w:rFonts w:eastAsia="Times New Roman" w:cs="Times New Roman"/>
                <w:kern w:val="0"/>
                <w:sz w:val="24"/>
                <w:szCs w:val="24"/>
                <w:lang w:val="ru-RU" w:eastAsia="ru-RU" w:bidi="ar-SA"/>
              </w:rPr>
              <w:t>Оценка стабильности</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3" w:name="__RefHeading___Toc3238_4046097046"/>
            <w:bookmarkEnd w:id="183"/>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4" w:name="__RefHeading___Toc3240_4046097046"/>
            <w:bookmarkEnd w:id="184"/>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5" w:name="__RefHeading___Toc3242_4046097046"/>
            <w:bookmarkEnd w:id="185"/>
            <w:r>
              <w:rPr>
                <w:rFonts w:eastAsia="Times New Roman" w:cs="Times New Roman"/>
                <w:kern w:val="0"/>
                <w:sz w:val="24"/>
                <w:szCs w:val="24"/>
                <w:lang w:val="ru-RU" w:eastAsia="ru-RU" w:bidi="ar-SA"/>
              </w:rPr>
              <w:t>Вероятность высокого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6" w:name="__RefHeading___Toc3244_4046097046"/>
            <w:bookmarkEnd w:id="186"/>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7" w:name="__RefHeading___Toc3246_4046097046"/>
            <w:bookmarkEnd w:id="187"/>
            <w:r>
              <w:rPr>
                <w:rFonts w:eastAsia="Times New Roman" w:cs="Times New Roman"/>
                <w:kern w:val="0"/>
                <w:sz w:val="24"/>
                <w:szCs w:val="24"/>
                <w:lang w:val="ru-RU" w:eastAsia="ru-RU" w:bidi="ar-SA"/>
              </w:rPr>
              <w:t>Длина – 5, точн. - 2</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8" w:name="__RefHeading___Toc3248_4046097046"/>
            <w:bookmarkEnd w:id="188"/>
            <w:r>
              <w:rPr>
                <w:rFonts w:eastAsia="Times New Roman" w:cs="Times New Roman"/>
                <w:kern w:val="0"/>
                <w:sz w:val="24"/>
                <w:szCs w:val="24"/>
                <w:lang w:val="ru-RU" w:eastAsia="ru-RU" w:bidi="ar-SA"/>
              </w:rPr>
              <w:t>Расчетный балл</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9" w:name="__RefHeading___Toc3250_4046097046"/>
            <w:bookmarkEnd w:id="189"/>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0" w:name="__RefHeading___Toc3252_4046097046"/>
            <w:bookmarkEnd w:id="190"/>
            <w:r>
              <w:rPr>
                <w:rFonts w:eastAsia="Times New Roman" w:cs="Times New Roman"/>
                <w:kern w:val="0"/>
                <w:sz w:val="24"/>
                <w:szCs w:val="24"/>
                <w:lang w:val="ru-RU" w:eastAsia="ru-RU" w:bidi="ar-SA"/>
              </w:rPr>
              <w:t>Длина – 10, точн. - 2</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1" w:name="__RefHeading___Toc3254_4046097046"/>
            <w:bookmarkEnd w:id="191"/>
            <w:r>
              <w:rPr>
                <w:rFonts w:eastAsia="Times New Roman" w:cs="Times New Roman"/>
                <w:kern w:val="0"/>
                <w:sz w:val="24"/>
                <w:szCs w:val="24"/>
                <w:lang w:val="ru-RU" w:eastAsia="ru-RU" w:bidi="ar-SA"/>
              </w:rPr>
              <w:t>Табличная часть «Рейтинг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2" w:name="__RefHeading___Toc3256_4046097046"/>
            <w:bookmarkEnd w:id="192"/>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3" w:name="__RefHeading___Toc3258_4046097046"/>
            <w:bookmarkEnd w:id="193"/>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4" w:name="__RefHeading___Toc3260_4046097046"/>
            <w:bookmarkEnd w:id="194"/>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5" w:name="__RefHeading___Toc3262_4046097046"/>
            <w:bookmarkEnd w:id="195"/>
            <w:r>
              <w:rPr>
                <w:rFonts w:eastAsia="Times New Roman" w:cs="Times New Roman"/>
                <w:kern w:val="0"/>
                <w:sz w:val="24"/>
                <w:szCs w:val="24"/>
                <w:lang w:val="ru-RU" w:eastAsia="ru-RU" w:bidi="ar-SA"/>
              </w:rPr>
              <w:t>Итоговая 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6" w:name="__RefHeading___Toc3264_4046097046"/>
            <w:bookmarkEnd w:id="196"/>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7" w:name="__RefHeading___Toc3266_4046097046"/>
            <w:bookmarkEnd w:id="197"/>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8" w:name="__RefHeading___Toc3268_4046097046"/>
            <w:bookmarkEnd w:id="198"/>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9" w:name="__RefHeading___Toc3270_4046097046"/>
            <w:bookmarkEnd w:id="199"/>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0" w:name="__RefHeading___Toc3272_4046097046"/>
            <w:bookmarkEnd w:id="20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1" w:name="__RefHeading___Toc3274_4046097046"/>
            <w:bookmarkEnd w:id="201"/>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2" w:name="__RefHeading___Toc3276_4046097046"/>
            <w:bookmarkEnd w:id="202"/>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3" w:name="__RefHeading___Toc3278_4046097046"/>
            <w:bookmarkEnd w:id="203"/>
            <w:r>
              <w:rPr>
                <w:rFonts w:eastAsia="Times New Roman" w:cs="Times New Roman"/>
                <w:kern w:val="0"/>
                <w:sz w:val="24"/>
                <w:szCs w:val="24"/>
                <w:lang w:val="ru-RU" w:eastAsia="ru-RU" w:bidi="ar-SA"/>
              </w:rPr>
              <w:t>-</w:t>
            </w:r>
          </w:p>
        </w:tc>
      </w:tr>
      <w:tr>
        <w:trPr/>
        <w:tc>
          <w:tcPr>
            <w:tcW w:w="1997"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4" w:name="__RefHeading___Toc3280_4046097046"/>
            <w:bookmarkEnd w:id="204"/>
            <w:r>
              <w:rPr>
                <w:rFonts w:eastAsia="Times New Roman" w:cs="Times New Roman"/>
                <w:kern w:val="0"/>
                <w:sz w:val="24"/>
                <w:szCs w:val="24"/>
                <w:lang w:val="ru-RU" w:eastAsia="ru-RU" w:bidi="ar-SA"/>
              </w:rPr>
              <w:t>Табличная часть «Список поставщиков»</w:t>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5" w:name="__RefHeading___Toc3282_4046097046"/>
            <w:bookmarkEnd w:id="205"/>
            <w:r>
              <w:rPr>
                <w:rFonts w:eastAsia="Times New Roman" w:cs="Times New Roman"/>
                <w:kern w:val="0"/>
                <w:sz w:val="24"/>
                <w:szCs w:val="24"/>
                <w:lang w:val="ru-RU" w:eastAsia="ru-RU" w:bidi="ar-SA"/>
              </w:rPr>
              <w:t>Наименование</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6" w:name="__RefHeading___Toc3284_4046097046"/>
            <w:bookmarkEnd w:id="206"/>
            <w:r>
              <w:rPr>
                <w:rFonts w:eastAsia="Times New Roman" w:cs="Times New Roman"/>
                <w:kern w:val="0"/>
                <w:sz w:val="24"/>
                <w:szCs w:val="24"/>
                <w:lang w:val="ru-RU" w:eastAsia="ru-RU" w:bidi="ar-SA"/>
              </w:rPr>
              <w:t>Справочник Ссылка. Поставщики</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7" w:name="__RefHeading___Toc3286_4046097046"/>
            <w:bookmarkEnd w:id="207"/>
            <w:r>
              <w:rPr>
                <w:rFonts w:eastAsia="Times New Roman" w:cs="Times New Roman"/>
                <w:kern w:val="0"/>
                <w:sz w:val="24"/>
                <w:szCs w:val="24"/>
                <w:lang w:val="ru-RU" w:eastAsia="ru-RU" w:bidi="ar-SA"/>
              </w:rPr>
              <w:t>-</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«Формирование выборки поставщиков» необходим для формирования перечня поставщиков по выбранным параметрам для проведения анализа </w:t>
      </w:r>
      <w:r>
        <w:rPr>
          <w:rFonts w:cs="Times New Roman"/>
          <w:sz w:val="28"/>
          <w:szCs w:val="28"/>
          <w:lang w:eastAsia="ru-RU"/>
        </w:rPr>
        <w:t>(Рисунок 3.5).</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1836420" cy="2162810"/>
            <wp:effectExtent l="0" t="0" r="0" b="0"/>
            <wp:docPr id="19"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8" descr=""/>
                    <pic:cNvPicPr>
                      <a:picLocks noChangeAspect="1" noChangeArrowheads="1"/>
                    </pic:cNvPicPr>
                  </pic:nvPicPr>
                  <pic:blipFill>
                    <a:blip r:embed="rId15"/>
                    <a:stretch>
                      <a:fillRect/>
                    </a:stretch>
                  </pic:blipFill>
                  <pic:spPr bwMode="auto">
                    <a:xfrm>
                      <a:off x="0" y="0"/>
                      <a:ext cx="1836420" cy="216281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3.5 – Структура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3">
            <wp:simplePos x="0" y="0"/>
            <wp:positionH relativeFrom="column">
              <wp:posOffset>549910</wp:posOffset>
            </wp:positionH>
            <wp:positionV relativeFrom="paragraph">
              <wp:posOffset>-14605</wp:posOffset>
            </wp:positionV>
            <wp:extent cx="4789170" cy="1271270"/>
            <wp:effectExtent l="0" t="0" r="0" b="0"/>
            <wp:wrapTopAndBottom/>
            <wp:docPr id="20"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 descr=""/>
                    <pic:cNvPicPr>
                      <a:picLocks noChangeAspect="1" noChangeArrowheads="1"/>
                    </pic:cNvPicPr>
                  </pic:nvPicPr>
                  <pic:blipFill>
                    <a:blip r:embed="rId16"/>
                    <a:stretch>
                      <a:fillRect/>
                    </a:stretch>
                  </pic:blipFill>
                  <pic:spPr bwMode="auto">
                    <a:xfrm>
                      <a:off x="0" y="0"/>
                      <a:ext cx="4789170" cy="127127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3.6 – Форма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Для заполнения табличной части со списком поставщиков используется процедура, которая формирует запрос к регистру сведений «Значения параметров» с установленными параметрами </w:t>
      </w:r>
      <w:r>
        <w:rPr>
          <w:rFonts w:cs="Times New Roman"/>
          <w:sz w:val="28"/>
          <w:szCs w:val="28"/>
          <w:lang w:eastAsia="ru-RU"/>
        </w:rPr>
        <w:t>(Рисунок 3.7).</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5210175" cy="3335020"/>
            <wp:effectExtent l="0" t="0" r="0" b="0"/>
            <wp:docPr id="21"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2" descr=""/>
                    <pic:cNvPicPr>
                      <a:picLocks noChangeAspect="1" noChangeArrowheads="1"/>
                    </pic:cNvPicPr>
                  </pic:nvPicPr>
                  <pic:blipFill>
                    <a:blip r:embed="rId17"/>
                    <a:stretch>
                      <a:fillRect/>
                    </a:stretch>
                  </pic:blipFill>
                  <pic:spPr bwMode="auto">
                    <a:xfrm>
                      <a:off x="0" y="0"/>
                      <a:ext cx="5210175" cy="333502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3.7 – Процедура заполнения списка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«Анализ выборки» необходим для проведения анализа и оценки поставщиков по указанным критериям </w:t>
      </w:r>
      <w:r>
        <w:rPr>
          <w:rFonts w:cs="Times New Roman"/>
          <w:sz w:val="28"/>
          <w:szCs w:val="28"/>
          <w:lang w:eastAsia="ru-RU"/>
        </w:rPr>
        <w:t>(Рисунок 3.8).</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4">
            <wp:simplePos x="0" y="0"/>
            <wp:positionH relativeFrom="column">
              <wp:posOffset>1934845</wp:posOffset>
            </wp:positionH>
            <wp:positionV relativeFrom="paragraph">
              <wp:posOffset>142875</wp:posOffset>
            </wp:positionV>
            <wp:extent cx="2070735" cy="2263775"/>
            <wp:effectExtent l="0" t="0" r="0" b="0"/>
            <wp:wrapTopAndBottom/>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18"/>
                    <a:stretch>
                      <a:fillRect/>
                    </a:stretch>
                  </pic:blipFill>
                  <pic:spPr bwMode="auto">
                    <a:xfrm>
                      <a:off x="0" y="0"/>
                      <a:ext cx="2070735" cy="226377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3.8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left="0"/>
        <w:jc w:val="both"/>
        <w:rPr>
          <w:rFonts w:ascii="Times New Roman" w:hAnsi="Times New Roman" w:cs="Times New Roman"/>
          <w:bCs/>
          <w:sz w:val="28"/>
          <w:szCs w:val="28"/>
        </w:rPr>
      </w:pPr>
      <w:bookmarkStart w:id="208" w:name="__RefHeading___Toc3308_4046097046"/>
      <w:bookmarkEnd w:id="208"/>
      <w:r>
        <w:rPr>
          <w:rFonts w:cs="Times New Roman"/>
          <w:bCs/>
          <w:sz w:val="28"/>
          <w:szCs w:val="28"/>
          <w:lang w:eastAsia="ru-RU"/>
        </w:rPr>
        <w:t xml:space="preserve">В форме документа требуется указать документ с выборкой поставщиков для заполнения списка поставщиков, по которым будет проведена оценка </w:t>
      </w:r>
      <w:r>
        <w:rPr>
          <w:rFonts w:cs="Times New Roman"/>
          <w:sz w:val="28"/>
          <w:szCs w:val="28"/>
          <w:lang w:eastAsia="ru-RU"/>
        </w:rPr>
        <w:t>(Рисунок 3.9).</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1621155"/>
            <wp:effectExtent l="0" t="0" r="0" b="0"/>
            <wp:wrapTopAndBottom/>
            <wp:docPr id="2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6" descr=""/>
                    <pic:cNvPicPr>
                      <a:picLocks noChangeAspect="1" noChangeArrowheads="1"/>
                    </pic:cNvPicPr>
                  </pic:nvPicPr>
                  <pic:blipFill>
                    <a:blip r:embed="rId19"/>
                    <a:stretch>
                      <a:fillRect/>
                    </a:stretch>
                  </pic:blipFill>
                  <pic:spPr bwMode="auto">
                    <a:xfrm>
                      <a:off x="0" y="0"/>
                      <a:ext cx="5940425" cy="162115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3.9 – Форма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rPr>
      </w:pPr>
      <w:r>
        <w:rPr/>
      </w:r>
    </w:p>
    <w:p>
      <w:pPr>
        <w:pStyle w:val="Normal"/>
        <w:spacing w:lineRule="auto" w:line="360" w:before="0" w:after="0"/>
        <w:ind w:firstLine="709" w:left="0"/>
        <w:jc w:val="both"/>
        <w:rPr>
          <w:rFonts w:ascii="Times New Roman" w:hAnsi="Times New Roman"/>
        </w:rPr>
      </w:pPr>
      <w:r>
        <w:rPr>
          <w:rFonts w:cs="Times New Roman"/>
          <w:bCs/>
          <w:sz w:val="28"/>
          <w:szCs w:val="28"/>
          <w:shd w:fill="auto" w:val="clear"/>
        </w:rPr>
        <w:t>Для проведения оценки надежности поставщиков необходимо вызвать процедуру «Провести анализ на сервере» с помощью кнопки «Провести анализ». Данная процедура, представленная в листинге 2.2, формирует HTTP-запрос с ИНН и КПП поставщиков в формате JSON и отправляет его на FastAPI-сервер по адресу localhost:8001/api/v1/check. FastAPI-сервер, в свою очередь, выполняет асинхронный запрос к внешнему сервису api.reputation.ru для получения расширенных данных о компаниях, обрабатывает эти данные с помощью предобученной модели машинного обучения, выполняет расчет рейтинга и возвращает структурированные результаты обратно в систему 1С, где они отображаются в пользовательском интерфейсе и сохраняются в табличных частях для дальнейшего анализа.</w:t>
      </w:r>
      <w:r>
        <w:rPr>
          <w:rFonts w:cs="Times New Roman"/>
          <w:bCs/>
          <w:sz w:val="28"/>
          <w:szCs w:val="28"/>
          <w:shd w:fill="auto" w:val="clear"/>
          <w:lang w:eastAsia="ru-RU"/>
        </w:rPr>
        <w:t xml:space="preserve"> </w:t>
      </w:r>
      <w:r>
        <w:rPr>
          <w:rFonts w:cs="Times New Roman"/>
          <w:sz w:val="28"/>
          <w:szCs w:val="28"/>
          <w:lang w:eastAsia="ru-RU"/>
        </w:rPr>
        <w:t>(Рисунок 3.10).</w:t>
      </w:r>
    </w:p>
    <w:p>
      <w:pPr>
        <w:pStyle w:val="Normal"/>
        <w:spacing w:lineRule="auto" w:line="360" w:before="0" w:after="0"/>
        <w:ind w:hanging="0"/>
        <w:jc w:val="center"/>
        <w:rPr>
          <w:rFonts w:ascii="Times New Roman" w:hAnsi="Times New Roman" w:cs="Times New Roman"/>
          <w:sz w:val="28"/>
          <w:szCs w:val="28"/>
          <w:lang w:eastAsia="ru-RU"/>
        </w:rPr>
      </w:pPr>
      <w:r>
        <w:drawing>
          <wp:anchor behindDoc="0" distT="0" distB="0" distL="0" distR="0" simplePos="0" locked="0" layoutInCell="0" allowOverlap="1" relativeHeight="31">
            <wp:simplePos x="0" y="0"/>
            <wp:positionH relativeFrom="column">
              <wp:posOffset>45085</wp:posOffset>
            </wp:positionH>
            <wp:positionV relativeFrom="paragraph">
              <wp:posOffset>31115</wp:posOffset>
            </wp:positionV>
            <wp:extent cx="5798185" cy="2562860"/>
            <wp:effectExtent l="0" t="0" r="0" b="0"/>
            <wp:wrapTopAndBottom/>
            <wp:docPr id="2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7" descr=""/>
                    <pic:cNvPicPr>
                      <a:picLocks noChangeAspect="1" noChangeArrowheads="1"/>
                    </pic:cNvPicPr>
                  </pic:nvPicPr>
                  <pic:blipFill>
                    <a:blip r:embed="rId20"/>
                    <a:stretch>
                      <a:fillRect/>
                    </a:stretch>
                  </pic:blipFill>
                  <pic:spPr bwMode="auto">
                    <a:xfrm>
                      <a:off x="0" y="0"/>
                      <a:ext cx="5798185" cy="2562860"/>
                    </a:xfrm>
                    <a:prstGeom prst="rect">
                      <a:avLst/>
                    </a:prstGeom>
                  </pic:spPr>
                </pic:pic>
              </a:graphicData>
            </a:graphic>
          </wp:anchor>
        </w:drawing>
      </w:r>
      <w:r>
        <w:rPr>
          <w:rFonts w:cs="Times New Roman"/>
          <w:sz w:val="28"/>
          <w:szCs w:val="28"/>
          <w:lang w:eastAsia="ru-RU"/>
        </w:rPr>
        <w:t>Рисунок 3.10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Результаты оценки фиксируются в соответствующей табличной части </w:t>
      </w:r>
      <w:r>
        <w:rPr>
          <w:rFonts w:cs="Times New Roman"/>
          <w:sz w:val="28"/>
          <w:szCs w:val="28"/>
          <w:lang w:eastAsia="ru-RU"/>
        </w:rPr>
        <w:t>(Рисунок 3.11).</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6">
            <wp:simplePos x="0" y="0"/>
            <wp:positionH relativeFrom="column">
              <wp:posOffset>42545</wp:posOffset>
            </wp:positionH>
            <wp:positionV relativeFrom="paragraph">
              <wp:posOffset>42545</wp:posOffset>
            </wp:positionV>
            <wp:extent cx="5940425" cy="2131695"/>
            <wp:effectExtent l="0" t="0" r="0" b="0"/>
            <wp:wrapTopAndBottom/>
            <wp:docPr id="25"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9" descr=""/>
                    <pic:cNvPicPr>
                      <a:picLocks noChangeAspect="1" noChangeArrowheads="1"/>
                    </pic:cNvPicPr>
                  </pic:nvPicPr>
                  <pic:blipFill>
                    <a:blip r:embed="rId21"/>
                    <a:stretch>
                      <a:fillRect/>
                    </a:stretch>
                  </pic:blipFill>
                  <pic:spPr bwMode="auto">
                    <a:xfrm>
                      <a:off x="0" y="0"/>
                      <a:ext cx="5940425" cy="21316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3.11 – </w:t>
      </w:r>
      <w:r>
        <w:rPr>
          <w:rFonts w:cs="Times New Roman"/>
          <w:bCs/>
          <w:sz w:val="28"/>
          <w:szCs w:val="28"/>
          <w:lang w:eastAsia="ru-RU"/>
        </w:rPr>
        <w:t>Результаты оценки</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После чего таблица с результатами оценки группируется по поставщикам, поле оценка суммируется и сортируется по убыванию, полученный результат фиксируется в таблице «Рейтинг поставщиков». Первый поставщик в данном списке предполагается самым благонадёжным для сотрудничества и фиксируется в поле «Рекомендуемый поставщик» </w:t>
      </w:r>
      <w:r>
        <w:rPr>
          <w:rFonts w:cs="Times New Roman"/>
          <w:sz w:val="28"/>
          <w:szCs w:val="28"/>
          <w:lang w:eastAsia="ru-RU"/>
        </w:rPr>
        <w:t>(Рисунок 3.12).</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7">
            <wp:simplePos x="0" y="0"/>
            <wp:positionH relativeFrom="column">
              <wp:posOffset>0</wp:posOffset>
            </wp:positionH>
            <wp:positionV relativeFrom="paragraph">
              <wp:posOffset>201295</wp:posOffset>
            </wp:positionV>
            <wp:extent cx="5940425" cy="2141220"/>
            <wp:effectExtent l="0" t="0" r="0" b="0"/>
            <wp:wrapTopAndBottom/>
            <wp:docPr id="26"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0" descr=""/>
                    <pic:cNvPicPr>
                      <a:picLocks noChangeAspect="1" noChangeArrowheads="1"/>
                    </pic:cNvPicPr>
                  </pic:nvPicPr>
                  <pic:blipFill>
                    <a:blip r:embed="rId22"/>
                    <a:stretch>
                      <a:fillRect/>
                    </a:stretch>
                  </pic:blipFill>
                  <pic:spPr bwMode="auto">
                    <a:xfrm>
                      <a:off x="0" y="0"/>
                      <a:ext cx="5940425" cy="214122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3.12 – Рейтинг поставщиков</w:t>
      </w:r>
    </w:p>
    <w:p>
      <w:pPr>
        <w:pStyle w:val="Normal"/>
        <w:jc w:val="center"/>
        <w:rPr>
          <w:b w:val="false"/>
          <w:color w:val="auto"/>
          <w:lang w:eastAsia="ru-RU"/>
        </w:rPr>
      </w:pPr>
      <w:r>
        <w:rPr>
          <w:b w:val="false"/>
          <w:color w:val="auto"/>
          <w:lang w:eastAsia="ru-RU"/>
        </w:rPr>
      </w:r>
      <w:r>
        <w:br w:type="page"/>
      </w:r>
    </w:p>
    <w:p>
      <w:pPr>
        <w:pStyle w:val="Normal"/>
        <w:spacing w:before="0" w:after="160"/>
        <w:jc w:val="center"/>
        <w:rPr/>
      </w:pPr>
      <w:bookmarkStart w:id="209" w:name="__RefHeading___Toc22199_2829662935"/>
      <w:bookmarkEnd w:id="209"/>
      <w:r>
        <w:rPr>
          <w:b w:val="false"/>
          <w:color w:val="auto"/>
          <w:lang w:eastAsia="ru-RU"/>
        </w:rPr>
        <w:t>3</w:t>
      </w:r>
      <w:bookmarkStart w:id="210" w:name="_Toc515886998"/>
      <w:r>
        <w:rPr>
          <w:b w:val="false"/>
          <w:color w:val="auto"/>
          <w:lang w:eastAsia="ru-RU"/>
        </w:rPr>
        <w:t xml:space="preserve">.1.3. Регистры </w:t>
      </w:r>
      <w:bookmarkEnd w:id="210"/>
      <w:r>
        <w:rPr>
          <w:b w:val="false"/>
          <w:color w:val="auto"/>
          <w:lang w:eastAsia="ru-RU"/>
        </w:rPr>
        <w:t>сведений</w:t>
      </w:r>
    </w:p>
    <w:p>
      <w:pPr>
        <w:pStyle w:val="Normal"/>
        <w:spacing w:lineRule="auto" w:line="360" w:before="0" w:after="0"/>
        <w:ind w:firstLine="709"/>
        <w:jc w:val="both"/>
        <w:rPr>
          <w:rFonts w:ascii="Times New Roman" w:hAnsi="Times New Roman" w:cs="Times New Roman"/>
          <w:sz w:val="28"/>
          <w:szCs w:val="28"/>
        </w:rPr>
      </w:pPr>
      <w:bookmarkStart w:id="211" w:name="OLE_LINK6"/>
      <w:bookmarkStart w:id="212" w:name="OLE_LINK7"/>
      <w:bookmarkEnd w:id="211"/>
      <w:bookmarkEnd w:id="212"/>
      <w:r>
        <w:rPr>
          <w:rFonts w:cs="Times New Roman"/>
          <w:sz w:val="28"/>
          <w:szCs w:val="28"/>
        </w:rPr>
        <w:t>Р</w:t>
      </w:r>
      <w:bookmarkStart w:id="213" w:name="OLE_LINK5"/>
      <w:bookmarkStart w:id="214" w:name="OLE_LINK4"/>
      <w:r>
        <w:rPr>
          <w:rFonts w:cs="Times New Roman"/>
          <w:sz w:val="28"/>
          <w:szCs w:val="28"/>
        </w:rPr>
        <w:t>егистры сведений -</w:t>
      </w:r>
      <w:r>
        <w:rPr>
          <w:rFonts w:cs="Times New Roman"/>
          <w:sz w:val="28"/>
          <w:szCs w:val="28"/>
          <w:shd w:fill="FFFFFF" w:val="clear"/>
        </w:rPr>
        <w:t xml:space="preserve"> это объект конфигурации для хранения структурированных данных в разрезе измерений.</w:t>
      </w:r>
    </w:p>
    <w:p>
      <w:pPr>
        <w:pStyle w:val="ListParagraph"/>
        <w:spacing w:lineRule="auto" w:line="360" w:before="0" w:after="0"/>
        <w:ind w:firstLine="709" w:left="0"/>
        <w:contextualSpacing/>
        <w:rPr>
          <w:rFonts w:ascii="Times New Roman" w:hAnsi="Times New Roman"/>
          <w:sz w:val="28"/>
          <w:szCs w:val="28"/>
        </w:rPr>
      </w:pPr>
      <w:bookmarkStart w:id="215" w:name="OLE_LINK7_Копия_1"/>
      <w:bookmarkStart w:id="216" w:name="OLE_LINK6_Копия_1"/>
      <w:bookmarkStart w:id="217" w:name="OLE_LINK1"/>
      <w:bookmarkStart w:id="218" w:name="OLE_LINK2"/>
      <w:bookmarkStart w:id="219" w:name="OLE_LINK3"/>
      <w:bookmarkEnd w:id="213"/>
      <w:bookmarkEnd w:id="214"/>
      <w:bookmarkEnd w:id="215"/>
      <w:bookmarkEnd w:id="216"/>
      <w:bookmarkEnd w:id="217"/>
      <w:bookmarkEnd w:id="218"/>
      <w:bookmarkEnd w:id="219"/>
      <w:r>
        <w:rPr>
          <w:sz w:val="28"/>
          <w:szCs w:val="28"/>
        </w:rPr>
        <w:t>Структура и свойства реквизитов регистров сведений представлены в таблице 3.3</w:t>
      </w:r>
    </w:p>
    <w:p>
      <w:pPr>
        <w:pStyle w:val="ListParagraph"/>
        <w:spacing w:lineRule="auto" w:line="360" w:before="0" w:after="0"/>
        <w:ind w:firstLine="709" w:left="0"/>
        <w:contextualSpacing/>
        <w:jc w:val="right"/>
        <w:rPr>
          <w:rFonts w:ascii="Times New Roman" w:hAnsi="Times New Roman"/>
          <w:sz w:val="28"/>
          <w:szCs w:val="28"/>
        </w:rPr>
      </w:pPr>
      <w:r>
        <w:rPr>
          <w:rFonts w:eastAsia="Times New Roman"/>
          <w:sz w:val="28"/>
          <w:szCs w:val="28"/>
        </w:rPr>
        <w:t>Таблица 3.3</w:t>
      </w:r>
    </w:p>
    <w:p>
      <w:pPr>
        <w:pStyle w:val="ListParagraph"/>
        <w:spacing w:lineRule="auto" w:line="360" w:before="0" w:after="0"/>
        <w:ind w:firstLine="709" w:left="0"/>
        <w:contextualSpacing/>
        <w:jc w:val="center"/>
        <w:rPr>
          <w:rFonts w:ascii="Times New Roman" w:hAnsi="Times New Roman"/>
        </w:rPr>
      </w:pPr>
      <w:bookmarkStart w:id="220" w:name="__RefHeading___Toc3334_4046097046"/>
      <w:bookmarkEnd w:id="220"/>
      <w:r>
        <w:rPr>
          <w:sz w:val="28"/>
          <w:szCs w:val="28"/>
        </w:rPr>
        <w:t>Структура и свойства реквизитов регистров</w:t>
      </w:r>
      <w:r>
        <w:rPr>
          <w:rFonts w:eastAsia="Times New Roman"/>
          <w:sz w:val="28"/>
          <w:szCs w:val="28"/>
        </w:rPr>
        <w:t xml:space="preserve"> сведений</w:t>
      </w:r>
    </w:p>
    <w:tbl>
      <w:tblPr>
        <w:tblW w:w="9345" w:type="dxa"/>
        <w:jc w:val="left"/>
        <w:tblInd w:w="-113" w:type="dxa"/>
        <w:tblLayout w:type="fixed"/>
        <w:tblCellMar>
          <w:top w:w="0" w:type="dxa"/>
          <w:left w:w="108" w:type="dxa"/>
          <w:bottom w:w="0" w:type="dxa"/>
          <w:right w:w="108" w:type="dxa"/>
        </w:tblCellMar>
      </w:tblPr>
      <w:tblGrid>
        <w:gridCol w:w="2282"/>
        <w:gridCol w:w="2868"/>
        <w:gridCol w:w="4195"/>
      </w:tblGrid>
      <w:tr>
        <w:trPr/>
        <w:tc>
          <w:tcPr>
            <w:tcW w:w="228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1" w:name="__RefHeading___Toc3336_4046097046"/>
            <w:bookmarkEnd w:id="221"/>
            <w:r>
              <w:rPr>
                <w:rFonts w:eastAsia="Times New Roman" w:cs="Times New Roman"/>
                <w:kern w:val="0"/>
                <w:sz w:val="24"/>
                <w:szCs w:val="24"/>
                <w:lang w:val="ru-RU" w:eastAsia="ru-RU" w:bidi="ar-SA"/>
              </w:rPr>
              <w:t>Наименование объекта</w:t>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2" w:name="__RefHeading___Toc3338_4046097046"/>
            <w:bookmarkEnd w:id="222"/>
            <w:r>
              <w:rPr>
                <w:rFonts w:eastAsia="Times New Roman" w:cs="Times New Roman"/>
                <w:kern w:val="0"/>
                <w:sz w:val="24"/>
                <w:szCs w:val="24"/>
                <w:lang w:val="ru-RU" w:eastAsia="ru-RU" w:bidi="ar-SA"/>
              </w:rPr>
              <w:t>Наименование реквизита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3" w:name="__RefHeading___Toc3340_4046097046"/>
            <w:bookmarkEnd w:id="223"/>
            <w:r>
              <w:rPr>
                <w:rFonts w:eastAsia="Times New Roman" w:cs="Times New Roman"/>
                <w:kern w:val="0"/>
                <w:sz w:val="24"/>
                <w:szCs w:val="24"/>
                <w:lang w:val="ru-RU" w:eastAsia="ru-RU" w:bidi="ar-SA"/>
              </w:rPr>
              <w:t>Тип данных и свойства</w:t>
            </w:r>
          </w:p>
        </w:tc>
      </w:tr>
      <w:tr>
        <w:trPr/>
        <w:tc>
          <w:tcPr>
            <w:tcW w:w="2282"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24" w:name="__RefHeading___Toc3342_4046097046"/>
            <w:bookmarkEnd w:id="224"/>
            <w:r>
              <w:rPr>
                <w:rFonts w:eastAsia="Times New Roman" w:cs="Times New Roman"/>
                <w:kern w:val="0"/>
                <w:sz w:val="24"/>
                <w:szCs w:val="24"/>
                <w:lang w:val="ru-RU" w:eastAsia="ru-RU" w:bidi="ar-SA"/>
              </w:rPr>
              <w:t>Результаты оценки</w:t>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5" w:name="__RefHeading___Toc3344_4046097046"/>
            <w:bookmarkEnd w:id="225"/>
            <w:r>
              <w:rPr>
                <w:rFonts w:eastAsia="Times New Roman" w:cs="Times New Roman"/>
                <w:kern w:val="0"/>
                <w:sz w:val="24"/>
                <w:szCs w:val="24"/>
                <w:lang w:val="ru-RU" w:eastAsia="ru-RU" w:bidi="ar-SA"/>
              </w:rPr>
              <w:t>Измерения</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tabs>
                <w:tab w:val="clear" w:pos="708"/>
                <w:tab w:val="center" w:pos="1325" w:leader="none"/>
              </w:tabs>
              <w:suppressAutoHyphens w:val="true"/>
              <w:spacing w:lineRule="auto" w:line="240" w:before="0" w:after="0"/>
              <w:ind w:hanging="0" w:left="0"/>
              <w:jc w:val="both"/>
              <w:rPr>
                <w:sz w:val="24"/>
                <w:szCs w:val="24"/>
              </w:rPr>
            </w:pPr>
            <w:bookmarkStart w:id="226" w:name="__RefHeading___Toc3346_4046097046"/>
            <w:bookmarkEnd w:id="226"/>
            <w:r>
              <w:rPr>
                <w:rFonts w:eastAsia="Times New Roman" w:cs="Times New Roman"/>
                <w:kern w:val="0"/>
                <w:sz w:val="24"/>
                <w:szCs w:val="24"/>
                <w:lang w:val="ru-RU" w:eastAsia="ru-RU" w:bidi="ar-SA"/>
              </w:rPr>
              <w:t>Поставщик</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7" w:name="__RefHeading___Toc3348_4046097046"/>
            <w:bookmarkEnd w:id="227"/>
            <w:r>
              <w:rPr>
                <w:rFonts w:eastAsia="Times New Roman" w:cs="Times New Roman"/>
                <w:kern w:val="0"/>
                <w:sz w:val="24"/>
                <w:szCs w:val="24"/>
                <w:lang w:val="ru-RU" w:eastAsia="ru-RU" w:bidi="ar-SA"/>
              </w:rPr>
              <w:t>Справочник. Поставщики</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8" w:name="__RefHeading___Toc3350_4046097046"/>
            <w:bookmarkEnd w:id="228"/>
            <w:r>
              <w:rPr>
                <w:rFonts w:eastAsia="Times New Roman" w:cs="Times New Roman"/>
                <w:kern w:val="0"/>
                <w:sz w:val="24"/>
                <w:szCs w:val="24"/>
                <w:lang w:val="ru-RU" w:eastAsia="ru-RU" w:bidi="ar-SA"/>
              </w:rPr>
              <w:t>Ресурсы</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9" w:name="__RefHeading___Toc3352_4046097046"/>
            <w:bookmarkEnd w:id="229"/>
            <w:r>
              <w:rPr>
                <w:rFonts w:eastAsia="Times New Roman" w:cs="Times New Roman"/>
                <w:kern w:val="0"/>
                <w:sz w:val="24"/>
                <w:szCs w:val="24"/>
                <w:lang w:val="ru-RU" w:eastAsia="ru-RU" w:bidi="ar-SA"/>
              </w:rPr>
              <w:t>Оценка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30" w:name="__RefHeading___Toc3354_4046097046"/>
            <w:bookmarkEnd w:id="230"/>
            <w:r>
              <w:rPr>
                <w:rFonts w:eastAsia="Times New Roman" w:cs="Times New Roman"/>
                <w:kern w:val="0"/>
                <w:sz w:val="24"/>
                <w:szCs w:val="24"/>
                <w:lang w:val="ru-RU" w:eastAsia="ru-RU" w:bidi="ar-SA"/>
              </w:rPr>
              <w:t xml:space="preserve">Число, длина - </w:t>
            </w:r>
            <w:r>
              <w:rPr>
                <w:rFonts w:eastAsia="Times New Roman" w:cs="Times New Roman"/>
                <w:kern w:val="0"/>
                <w:sz w:val="24"/>
                <w:szCs w:val="24"/>
                <w:lang w:val="en-US" w:eastAsia="ru-RU" w:bidi="ar-SA"/>
              </w:rPr>
              <w:t>7</w:t>
            </w:r>
            <w:r>
              <w:rPr>
                <w:rFonts w:eastAsia="Times New Roman" w:cs="Times New Roman"/>
                <w:kern w:val="0"/>
                <w:sz w:val="24"/>
                <w:szCs w:val="24"/>
                <w:lang w:val="ru-RU" w:eastAsia="ru-RU" w:bidi="ar-SA"/>
              </w:rPr>
              <w:t xml:space="preserve">, точность - </w:t>
            </w:r>
            <w:r>
              <w:rPr>
                <w:rFonts w:eastAsia="Times New Roman" w:cs="Times New Roman"/>
                <w:kern w:val="0"/>
                <w:sz w:val="24"/>
                <w:szCs w:val="24"/>
                <w:lang w:val="en-US" w:eastAsia="ru-RU" w:bidi="ar-SA"/>
              </w:rPr>
              <w:t>2</w:t>
            </w:r>
          </w:p>
        </w:tc>
      </w:tr>
    </w:tbl>
    <w:p>
      <w:pPr>
        <w:pStyle w:val="Normal"/>
        <w:spacing w:lineRule="auto" w:line="360" w:before="0" w:after="0"/>
        <w:ind w:hanging="0"/>
        <w:jc w:val="both"/>
        <w:rPr>
          <w:rFonts w:ascii="Times New Roman" w:hAnsi="Times New Roman" w:cs="Times New Roman"/>
          <w:sz w:val="28"/>
          <w:szCs w:val="28"/>
          <w:lang w:eastAsia="ru-RU"/>
        </w:rPr>
      </w:pPr>
      <w:r>
        <w:rPr>
          <w:rFonts w:cs="Times New Roman"/>
          <w:sz w:val="28"/>
          <w:szCs w:val="28"/>
          <w:lang w:eastAsia="ru-RU"/>
        </w:rPr>
      </w:r>
      <w:bookmarkStart w:id="231" w:name="OLE_LINK2_Копия_1"/>
      <w:bookmarkStart w:id="232" w:name="OLE_LINK3_Копия_1"/>
      <w:bookmarkStart w:id="233" w:name="OLE_LINK1_Копия_1"/>
      <w:bookmarkStart w:id="234" w:name="OLE_LINK2_Копия_1"/>
      <w:bookmarkStart w:id="235" w:name="OLE_LINK3_Копия_1"/>
      <w:bookmarkStart w:id="236" w:name="OLE_LINK1_Копия_1"/>
      <w:bookmarkEnd w:id="234"/>
      <w:bookmarkEnd w:id="235"/>
      <w:bookmarkEnd w:id="236"/>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Регистр</w:t>
      </w:r>
      <w:r>
        <w:rPr>
          <w:rFonts w:cs="Times New Roman"/>
          <w:sz w:val="28"/>
          <w:szCs w:val="28"/>
          <w:lang w:val="ru-RU" w:eastAsia="ru-RU"/>
        </w:rPr>
        <w:t xml:space="preserve"> сведений </w:t>
      </w:r>
      <w:r>
        <w:rPr>
          <w:rFonts w:cs="Times New Roman"/>
          <w:sz w:val="28"/>
          <w:szCs w:val="28"/>
          <w:lang w:eastAsia="ru-RU"/>
        </w:rPr>
        <w:t>«Результаты оценки» - хранит информации о результатах проведённого анализа поставщиков, необходимую для более расширенного анализа с помощью формирования отчётов (Рисунок 3.13-3.14).</w:t>
      </w:r>
    </w:p>
    <w:p>
      <w:pPr>
        <w:pStyle w:val="Normal"/>
        <w:spacing w:lineRule="auto" w:line="360" w:before="0" w:after="0"/>
        <w:ind w:firstLine="709"/>
        <w:jc w:val="center"/>
        <w:rPr>
          <w:rFonts w:ascii="Times New Roman" w:hAnsi="Times New Roman" w:cs="Times New Roman"/>
          <w:sz w:val="28"/>
          <w:szCs w:val="28"/>
          <w:lang w:eastAsia="ru-RU"/>
        </w:rPr>
      </w:pPr>
      <w:r>
        <w:rPr/>
        <w:drawing>
          <wp:inline distT="0" distB="0" distL="0" distR="0">
            <wp:extent cx="1209675" cy="1736090"/>
            <wp:effectExtent l="0" t="0" r="0" b="0"/>
            <wp:docPr id="27"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38" descr=""/>
                    <pic:cNvPicPr>
                      <a:picLocks noChangeAspect="1" noChangeArrowheads="1"/>
                    </pic:cNvPicPr>
                  </pic:nvPicPr>
                  <pic:blipFill>
                    <a:blip r:embed="rId23"/>
                    <a:stretch>
                      <a:fillRect/>
                    </a:stretch>
                  </pic:blipFill>
                  <pic:spPr bwMode="auto">
                    <a:xfrm>
                      <a:off x="0" y="0"/>
                      <a:ext cx="1209675" cy="1736090"/>
                    </a:xfrm>
                    <a:prstGeom prst="rect">
                      <a:avLst/>
                    </a:prstGeom>
                  </pic:spPr>
                </pic:pic>
              </a:graphicData>
            </a:graphic>
          </wp:inline>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3.13 – Структура регистра сведений «Результаты оценки»</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8">
            <wp:simplePos x="0" y="0"/>
            <wp:positionH relativeFrom="column">
              <wp:posOffset>0</wp:posOffset>
            </wp:positionH>
            <wp:positionV relativeFrom="paragraph">
              <wp:posOffset>190500</wp:posOffset>
            </wp:positionV>
            <wp:extent cx="5940425" cy="969010"/>
            <wp:effectExtent l="0" t="0" r="0" b="0"/>
            <wp:wrapTopAndBottom/>
            <wp:docPr id="28"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11" descr=""/>
                    <pic:cNvPicPr>
                      <a:picLocks noChangeAspect="1" noChangeArrowheads="1"/>
                    </pic:cNvPicPr>
                  </pic:nvPicPr>
                  <pic:blipFill>
                    <a:blip r:embed="rId24"/>
                    <a:stretch>
                      <a:fillRect/>
                    </a:stretch>
                  </pic:blipFill>
                  <pic:spPr bwMode="auto">
                    <a:xfrm>
                      <a:off x="0" y="0"/>
                      <a:ext cx="5940425" cy="96901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3.14 – Форма списка регистра сведений «Результаты оценки»</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 данному регистру формирует движения документы «Анализ данных» (Рисунок 3.15).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0425" cy="1803400"/>
            <wp:effectExtent l="0" t="0" r="0" b="0"/>
            <wp:wrapTopAndBottom/>
            <wp:docPr id="29"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2" descr=""/>
                    <pic:cNvPicPr>
                      <a:picLocks noChangeAspect="1" noChangeArrowheads="1"/>
                    </pic:cNvPicPr>
                  </pic:nvPicPr>
                  <pic:blipFill>
                    <a:blip r:embed="rId25"/>
                    <a:stretch>
                      <a:fillRect/>
                    </a:stretch>
                  </pic:blipFill>
                  <pic:spPr bwMode="auto">
                    <a:xfrm>
                      <a:off x="0" y="0"/>
                      <a:ext cx="5940425" cy="180340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3.15 – Процедура обработки проведения документа «Анализ данных»</w:t>
      </w:r>
    </w:p>
    <w:p>
      <w:pPr>
        <w:pStyle w:val="ListParagraph"/>
        <w:spacing w:lineRule="auto" w:line="360" w:before="0" w:after="0"/>
        <w:ind w:left="450"/>
        <w:contextualSpacing/>
        <w:rPr>
          <w:rFonts w:ascii="Times New Roman" w:hAnsi="Times New Roman"/>
          <w:sz w:val="28"/>
          <w:szCs w:val="28"/>
        </w:rPr>
      </w:pPr>
      <w:r>
        <w:rPr>
          <w:sz w:val="28"/>
          <w:szCs w:val="28"/>
        </w:rPr>
      </w:r>
    </w:p>
    <w:p>
      <w:pPr>
        <w:pStyle w:val="ListParagraph"/>
        <w:spacing w:lineRule="auto" w:line="360" w:before="0" w:after="0"/>
        <w:ind w:left="450"/>
        <w:contextualSpacing/>
        <w:rPr>
          <w:rFonts w:ascii="Times New Roman" w:hAnsi="Times New Roman"/>
          <w:sz w:val="28"/>
          <w:szCs w:val="28"/>
        </w:rPr>
      </w:pPr>
      <w:r>
        <w:rPr>
          <w:sz w:val="28"/>
          <w:szCs w:val="28"/>
        </w:rPr>
      </w:r>
    </w:p>
    <w:p>
      <w:pPr>
        <w:pStyle w:val="Heading1"/>
        <w:keepLines/>
        <w:widowControl/>
        <w:spacing w:lineRule="auto" w:line="259" w:before="240" w:after="0"/>
        <w:ind w:hanging="0" w:left="0"/>
        <w:jc w:val="both"/>
        <w:rPr>
          <w:rFonts w:ascii="Times New Roman" w:hAnsi="Times New Roman"/>
          <w:b w:val="false"/>
          <w:color w:val="auto"/>
        </w:rPr>
      </w:pPr>
      <w:r>
        <w:rPr>
          <w:b w:val="false"/>
          <w:color w:val="auto"/>
        </w:rPr>
      </w:r>
      <w:r>
        <w:br w:type="page"/>
      </w:r>
    </w:p>
    <w:p>
      <w:pPr>
        <w:pStyle w:val="Normal"/>
        <w:spacing w:before="0" w:after="160"/>
        <w:jc w:val="center"/>
        <w:rPr/>
      </w:pPr>
      <w:bookmarkStart w:id="237" w:name="__RefHeading___Toc3368_4046097046"/>
      <w:bookmarkEnd w:id="237"/>
      <w:r>
        <w:rPr>
          <w:b w:val="false"/>
          <w:color w:val="auto"/>
        </w:rPr>
        <w:t xml:space="preserve">3.2. Проектирование информационной системы </w:t>
      </w:r>
      <w:r>
        <w:rPr>
          <w:b w:val="false"/>
          <w:color w:val="auto"/>
          <w:lang w:val="en-US"/>
        </w:rPr>
        <w:t>Python</w:t>
      </w:r>
    </w:p>
    <w:p>
      <w:pPr>
        <w:pStyle w:val="Normal"/>
        <w:jc w:val="center"/>
        <w:rPr>
          <w:rFonts w:ascii="Times New Roman" w:hAnsi="Times New Roman"/>
          <w:sz w:val="28"/>
          <w:szCs w:val="28"/>
        </w:rPr>
      </w:pPr>
      <w:bookmarkStart w:id="238" w:name="__RefHeading___Toc3370_4046097046"/>
      <w:bookmarkEnd w:id="238"/>
      <w:r>
        <w:rPr>
          <w:sz w:val="28"/>
          <w:szCs w:val="28"/>
        </w:rPr>
        <w:t xml:space="preserve">3.2.1 </w:t>
      </w:r>
      <w:r>
        <w:rPr>
          <w:sz w:val="28"/>
          <w:szCs w:val="28"/>
          <w:lang w:val="ru-RU"/>
        </w:rPr>
        <w:t>Разработка модели искусственного интеллекта</w:t>
      </w:r>
    </w:p>
    <w:p>
      <w:pPr>
        <w:pStyle w:val="Normal"/>
        <w:rPr/>
      </w:pPr>
      <w:bookmarkStart w:id="239" w:name="__RefHeading___Toc3372_4046097046"/>
      <w:bookmarkEnd w:id="239"/>
      <w:r>
        <w:rPr/>
        <w:tab/>
        <w:t>Основным инструментом при разработке систем машинного обучения является модель данных, которая представляет собой формализованное описание процессов обучения и прогнозирования на основе исторических или синтетических данных. В рамках данной работы была разработана модель оценки рисков поставщиков на основе ансамбля алгоритмов классификации. Модель реализована на языке Python с использованием библиотек scikit-learn, imbalanced-learn, xgboost и других.</w:t>
      </w:r>
    </w:p>
    <w:p>
      <w:pPr>
        <w:pStyle w:val="Normal"/>
        <w:rPr/>
      </w:pPr>
      <w:bookmarkStart w:id="240" w:name="__RefHeading___Toc3374_4046097046"/>
      <w:bookmarkEnd w:id="240"/>
      <w:r>
        <w:rPr/>
        <w:tab/>
        <w:t>Современный подход к разработке ML-моделей предполагает использование объектно-ориентированного программирования, что позволяет инкапсулировать логику обработки данных, обучения и прогнозирования в единый класс. Это обеспечивает удобство использования, возможность повторного обучения и интеграции модели в производственные системы.</w:t>
      </w:r>
    </w:p>
    <w:p>
      <w:pPr>
        <w:pStyle w:val="Normal"/>
        <w:rPr/>
      </w:pPr>
      <w:bookmarkStart w:id="241" w:name="__RefHeading___Toc3376_4046097046"/>
      <w:bookmarkEnd w:id="241"/>
      <w:r>
        <w:rPr/>
        <w:tab/>
        <w:t>Разработанная модель включает следующие ключевые компоненты:</w:t>
      </w:r>
    </w:p>
    <w:p>
      <w:pPr>
        <w:pStyle w:val="Normal"/>
        <w:numPr>
          <w:ilvl w:val="0"/>
          <w:numId w:val="12"/>
        </w:numPr>
        <w:rPr/>
      </w:pPr>
      <w:bookmarkStart w:id="242" w:name="__RefHeading___Toc3378_4046097046"/>
      <w:bookmarkEnd w:id="242"/>
      <w:r>
        <w:rPr/>
        <w:t>Расчёт интегрального показателя риска на основе бизнес-правил.</w:t>
      </w:r>
    </w:p>
    <w:p>
      <w:pPr>
        <w:pStyle w:val="Normal"/>
        <w:numPr>
          <w:ilvl w:val="0"/>
          <w:numId w:val="12"/>
        </w:numPr>
        <w:rPr/>
      </w:pPr>
      <w:bookmarkStart w:id="243" w:name="__RefHeading___Toc3380_4046097046"/>
      <w:bookmarkEnd w:id="243"/>
      <w:r>
        <w:rPr/>
        <w:t>Генерация синтетического обучающего набора данных.</w:t>
      </w:r>
    </w:p>
    <w:p>
      <w:pPr>
        <w:pStyle w:val="Normal"/>
        <w:numPr>
          <w:ilvl w:val="0"/>
          <w:numId w:val="12"/>
        </w:numPr>
        <w:rPr/>
      </w:pPr>
      <w:bookmarkStart w:id="244" w:name="__RefHeading___Toc3382_4046097046"/>
      <w:bookmarkEnd w:id="244"/>
      <w:r>
        <w:rPr/>
        <w:t>Расширение признакового пространства за счёт производных метрик.</w:t>
      </w:r>
    </w:p>
    <w:p>
      <w:pPr>
        <w:pStyle w:val="Normal"/>
        <w:numPr>
          <w:ilvl w:val="0"/>
          <w:numId w:val="12"/>
        </w:numPr>
        <w:rPr/>
      </w:pPr>
      <w:bookmarkStart w:id="245" w:name="__RefHeading___Toc3384_4046097046"/>
      <w:bookmarkEnd w:id="245"/>
      <w:r>
        <w:rPr/>
        <w:t>Применение техник балансировки данных (SMOTE).</w:t>
      </w:r>
    </w:p>
    <w:p>
      <w:pPr>
        <w:pStyle w:val="Normal"/>
        <w:numPr>
          <w:ilvl w:val="0"/>
          <w:numId w:val="12"/>
        </w:numPr>
        <w:rPr/>
      </w:pPr>
      <w:bookmarkStart w:id="246" w:name="__RefHeading___Toc3386_4046097046"/>
      <w:bookmarkEnd w:id="246"/>
      <w:r>
        <w:rPr/>
        <w:t>Использование ансамбля моделей (StackingClassifier) для повышения точности прогнозирования.</w:t>
      </w:r>
    </w:p>
    <w:p>
      <w:pPr>
        <w:pStyle w:val="Normal"/>
        <w:rPr/>
      </w:pPr>
      <w:bookmarkStart w:id="247" w:name="__RefHeading___Toc3388_4046097046"/>
      <w:bookmarkEnd w:id="247"/>
      <w:r>
        <w:rPr/>
        <w:tab/>
        <w:t>Интерфейс взаимодействия с моделью представлен в виде класса SupplierRiskModel, который предоставляет методы для обучения, прогнозирования, оценки и сохранения модели.</w:t>
      </w:r>
    </w:p>
    <w:p>
      <w:pPr>
        <w:pStyle w:val="Normal"/>
        <w:rPr/>
      </w:pPr>
      <w:r>
        <w:rPr/>
      </w:r>
    </w:p>
    <w:p>
      <w:pPr>
        <w:pStyle w:val="Normal"/>
        <w:rPr/>
      </w:pPr>
      <w:bookmarkStart w:id="248" w:name="__RefHeading___Toc3390_4046097046"/>
      <w:bookmarkEnd w:id="248"/>
      <w:r>
        <w:rPr/>
        <w:tab/>
        <w:t>Разработка модели машинного обучения в среде Python предполагает создание и настройку объектов-классификаторов, определение пайплайнов предобработки данных, а также реализацию методов валидации и интерпретации результатов. Все созданные объекты и методы инкапсулированы в единый класс, что обеспечивает целостность и сопровождаемость решения.</w:t>
      </w:r>
    </w:p>
    <w:p>
      <w:pPr>
        <w:pStyle w:val="Normal"/>
        <w:rPr/>
      </w:pPr>
      <w:bookmarkStart w:id="249" w:name="__RefHeading___Toc3392_4046097046"/>
      <w:bookmarkEnd w:id="249"/>
      <w:r>
        <w:rPr/>
        <w:tab/>
        <w:t>Рассмотрим подробнее ключевые методы разработанного класса SupplierRiskModel.</w:t>
      </w:r>
    </w:p>
    <w:p>
      <w:pPr>
        <w:pStyle w:val="Normal"/>
        <w:rPr/>
      </w:pPr>
      <w:bookmarkStart w:id="250" w:name="__RefHeading___Toc3394_4046097046"/>
      <w:bookmarkEnd w:id="250"/>
      <w:r>
        <w:rPr/>
        <w:tab/>
        <w:t>Метод calculate_risk_score:</w:t>
      </w:r>
    </w:p>
    <w:p>
      <w:pPr>
        <w:pStyle w:val="Normal"/>
        <w:rPr/>
      </w:pPr>
      <w:bookmarkStart w:id="251" w:name="__RefHeading___Toc3396_4046097046"/>
      <w:bookmarkEnd w:id="251"/>
      <w:r>
        <w:rPr/>
        <w:tab/>
        <w:t>Предназначен для расчёта интегрального показателя риска поставщика на основе взвешенной суммы факторов риска. Формула расчёта включает такие параметры, как наличие убытков, нулевая выручка, налоговая задолженность, арбитражные дела и другие. Весовые коэффициенты определены на основе экспертной оценки значимости каждого фактора. Результирующее значение нормализуется в диапазон от 0 до 10.</w:t>
      </w:r>
    </w:p>
    <w:p>
      <w:pPr>
        <w:pStyle w:val="Normal"/>
        <w:rPr/>
      </w:pPr>
      <w:bookmarkStart w:id="252" w:name="__RefHeading___Toc3398_4046097046"/>
      <w:bookmarkEnd w:id="252"/>
      <w:r>
        <w:rPr/>
        <w:tab/>
        <w:t>Метод prepare_advanced_features:</w:t>
      </w:r>
    </w:p>
    <w:p>
      <w:pPr>
        <w:pStyle w:val="Normal"/>
        <w:rPr/>
      </w:pPr>
      <w:bookmarkStart w:id="253" w:name="__RefHeading___Toc3400_4046097046"/>
      <w:bookmarkEnd w:id="253"/>
      <w:r>
        <w:rPr/>
        <w:tab/>
        <w:t>Выполняет расширение исходного признакового пространства за счёт создания производных признаков, таких как:</w:t>
      </w:r>
    </w:p>
    <w:p>
      <w:pPr>
        <w:pStyle w:val="Normal"/>
        <w:numPr>
          <w:ilvl w:val="0"/>
          <w:numId w:val="13"/>
        </w:numPr>
        <w:rPr/>
      </w:pPr>
      <w:bookmarkStart w:id="254" w:name="__RefHeading___Toc3402_4046097046"/>
      <w:bookmarkEnd w:id="254"/>
      <w:r>
        <w:rPr/>
        <w:t>Общее количество негативных факторов.</w:t>
      </w:r>
    </w:p>
    <w:p>
      <w:pPr>
        <w:pStyle w:val="Normal"/>
        <w:numPr>
          <w:ilvl w:val="0"/>
          <w:numId w:val="13"/>
        </w:numPr>
        <w:rPr/>
      </w:pPr>
      <w:bookmarkStart w:id="255" w:name="__RefHeading___Toc3404_4046097046"/>
      <w:bookmarkEnd w:id="255"/>
      <w:r>
        <w:rPr/>
        <w:t>Индекс стабильности поставщика.</w:t>
      </w:r>
    </w:p>
    <w:p>
      <w:pPr>
        <w:pStyle w:val="Normal"/>
        <w:numPr>
          <w:ilvl w:val="0"/>
          <w:numId w:val="13"/>
        </w:numPr>
        <w:rPr/>
      </w:pPr>
      <w:bookmarkStart w:id="256" w:name="__RefHeading___Toc3406_4046097046"/>
      <w:bookmarkEnd w:id="256"/>
      <w:r>
        <w:rPr/>
        <w:t>Взаимодействия между ключевыми рисковыми факторами.</w:t>
      </w:r>
    </w:p>
    <w:p>
      <w:pPr>
        <w:pStyle w:val="Normal"/>
        <w:numPr>
          <w:ilvl w:val="0"/>
          <w:numId w:val="13"/>
        </w:numPr>
        <w:rPr/>
      </w:pPr>
      <w:bookmarkStart w:id="257" w:name="__RefHeading___Toc3408_4046097046"/>
      <w:bookmarkEnd w:id="257"/>
      <w:r>
        <w:rPr/>
        <w:t>Относительные показатели (например, риск на год работы компании).</w:t>
      </w:r>
    </w:p>
    <w:p>
      <w:pPr>
        <w:pStyle w:val="Normal"/>
        <w:rPr/>
      </w:pPr>
      <w:bookmarkStart w:id="258" w:name="__RefHeading___Toc3410_4046097046"/>
      <w:bookmarkEnd w:id="258"/>
      <w:r>
        <w:rPr/>
        <w:tab/>
        <w:t>Это позволяет модели учитывать не только исходные данные, но и сложные зависимости между ними.</w:t>
      </w:r>
    </w:p>
    <w:p>
      <w:pPr>
        <w:pStyle w:val="Normal"/>
        <w:rPr/>
      </w:pPr>
      <w:r>
        <w:rPr/>
        <w:tab/>
        <w:t xml:space="preserve">Метод create_super_ensemble реализует ансамблевую модель на основе стекинга (StackingClassifier). </w:t>
        <w:tab/>
      </w:r>
    </w:p>
    <w:p>
      <w:pPr>
        <w:pStyle w:val="Normal"/>
        <w:rPr/>
      </w:pPr>
      <w:r>
        <w:rPr/>
        <w:tab/>
        <w:t>В качестве базовых моделей используются:</w:t>
      </w:r>
    </w:p>
    <w:p>
      <w:pPr>
        <w:pStyle w:val="Normal"/>
        <w:numPr>
          <w:ilvl w:val="0"/>
          <w:numId w:val="14"/>
        </w:numPr>
        <w:rPr/>
      </w:pPr>
      <w:bookmarkStart w:id="259" w:name="__RefHeading___Toc3416_4046097046"/>
      <w:bookmarkEnd w:id="259"/>
      <w:r>
        <w:rPr/>
        <w:t>RandomForestClassifier с балансировкой классов.</w:t>
      </w:r>
    </w:p>
    <w:p>
      <w:pPr>
        <w:pStyle w:val="Normal"/>
        <w:numPr>
          <w:ilvl w:val="0"/>
          <w:numId w:val="14"/>
        </w:numPr>
        <w:rPr/>
      </w:pPr>
      <w:bookmarkStart w:id="260" w:name="__RefHeading___Toc3418_4046097046"/>
      <w:bookmarkEnd w:id="260"/>
      <w:r>
        <w:rPr/>
        <w:t>BalancedRandomForestClassifier.</w:t>
      </w:r>
    </w:p>
    <w:p>
      <w:pPr>
        <w:pStyle w:val="Normal"/>
        <w:numPr>
          <w:ilvl w:val="0"/>
          <w:numId w:val="14"/>
        </w:numPr>
        <w:rPr/>
      </w:pPr>
      <w:bookmarkStart w:id="261" w:name="__RefHeading___Toc3420_4046097046"/>
      <w:bookmarkEnd w:id="261"/>
      <w:r>
        <w:rPr/>
        <w:t>XGBoost.</w:t>
      </w:r>
    </w:p>
    <w:p>
      <w:pPr>
        <w:pStyle w:val="Normal"/>
        <w:numPr>
          <w:ilvl w:val="0"/>
          <w:numId w:val="14"/>
        </w:numPr>
        <w:rPr/>
      </w:pPr>
      <w:bookmarkStart w:id="262" w:name="__RefHeading___Toc3422_4046097046"/>
      <w:bookmarkEnd w:id="262"/>
      <w:r>
        <w:rPr/>
        <w:t>GradientBoostingClassifier.</w:t>
      </w:r>
    </w:p>
    <w:p>
      <w:pPr>
        <w:pStyle w:val="Normal"/>
        <w:rPr/>
      </w:pPr>
      <w:r>
        <w:rPr/>
        <w:tab/>
        <w:t>Метод train_high_accuracy_model осуществляет полный цикл обучения модели, начиная с генерации синтетического набора данных и расширения признакового пространства, после чего выполняется балансировка классов с помощью SMOTE. Далее производится разделение данных на обучающую и тестовую выборки, масштабирование и преобразование признаков, а затем непосредственно обучение ансамблевой модели с последующей оценкой ее качества на тестовых данных.</w:t>
      </w:r>
    </w:p>
    <w:p>
      <w:pPr>
        <w:pStyle w:val="Normal"/>
        <w:rPr/>
      </w:pPr>
      <w:bookmarkStart w:id="263" w:name="__RefHeading___Toc3444_4046097046"/>
      <w:bookmarkEnd w:id="263"/>
      <w:r>
        <w:rPr/>
        <w:tab/>
        <w:t>Метод predict_risk:</w:t>
      </w:r>
    </w:p>
    <w:p>
      <w:pPr>
        <w:pStyle w:val="Normal"/>
        <w:rPr/>
      </w:pPr>
      <w:bookmarkStart w:id="264" w:name="__RefHeading___Toc3446_4046097046"/>
      <w:bookmarkEnd w:id="264"/>
      <w:r>
        <w:rPr/>
        <w:tab/>
        <w:t>Выполняет прогнозирование уровня риска для новых данных. Он включает валидацию входных данных, расчёт дополнительных признаков, преобразование данных и получение прогноза с вероятностными оценками для каждого класса. Результат возвращается в структурированном формате, включая предсказанный класс, уверенность модели, распределение вероятностей и детальный анализ факторов риска.</w:t>
      </w:r>
    </w:p>
    <w:p>
      <w:pPr>
        <w:pStyle w:val="Normal"/>
        <w:rPr/>
      </w:pPr>
      <w:bookmarkStart w:id="265" w:name="__RefHeading___Toc3448_4046097046"/>
      <w:bookmarkEnd w:id="265"/>
      <w:r>
        <w:rPr/>
        <w:tab/>
        <w:t>Таким образом, разработанная модель представляет собой комплексное решение для автоматической оценки рисков поставщиков, сочетающее в себе бизнес-логику расчёта рисков, методы машинного обучения и техники обработки данных. Модель демонстрирует высокую точность (accuracy: 0.8577) и может быть интегрирована в существующие системы управления поставщиками.</w:t>
      </w:r>
      <w:r>
        <w:br w:type="page"/>
      </w:r>
    </w:p>
    <w:p>
      <w:pPr>
        <w:pStyle w:val="Normal"/>
        <w:widowControl/>
        <w:suppressAutoHyphens w:val="true"/>
        <w:spacing w:lineRule="auto" w:line="259" w:before="0" w:after="0"/>
        <w:ind w:hanging="0" w:left="0"/>
        <w:jc w:val="center"/>
        <w:rPr>
          <w:rFonts w:ascii="Times New Roman" w:hAnsi="Times New Roman"/>
          <w:sz w:val="28"/>
          <w:szCs w:val="28"/>
        </w:rPr>
      </w:pPr>
      <w:bookmarkStart w:id="266" w:name="__RefHeading___Toc3450_4046097046"/>
      <w:bookmarkEnd w:id="266"/>
      <w:r>
        <w:rPr>
          <w:b w:val="false"/>
          <w:color w:val="auto"/>
          <w:sz w:val="28"/>
          <w:szCs w:val="28"/>
          <w:lang w:val="ru-RU"/>
        </w:rPr>
        <w:t>3</w:t>
      </w:r>
      <w:r>
        <w:rPr>
          <w:b w:val="false"/>
          <w:color w:val="auto"/>
          <w:sz w:val="28"/>
          <w:szCs w:val="28"/>
          <w:lang w:val="en-US"/>
        </w:rPr>
        <w:t>.</w:t>
      </w:r>
      <w:r>
        <w:rPr>
          <w:b w:val="false"/>
          <w:color w:val="auto"/>
          <w:sz w:val="28"/>
          <w:szCs w:val="28"/>
          <w:lang w:val="ru-RU"/>
        </w:rPr>
        <w:t>2</w:t>
      </w:r>
      <w:r>
        <w:rPr>
          <w:b w:val="false"/>
          <w:color w:val="auto"/>
          <w:sz w:val="28"/>
          <w:szCs w:val="28"/>
          <w:lang w:val="en-US"/>
        </w:rPr>
        <w:t>.</w:t>
      </w:r>
      <w:r>
        <w:rPr>
          <w:b w:val="false"/>
          <w:color w:val="auto"/>
          <w:sz w:val="28"/>
          <w:szCs w:val="28"/>
          <w:lang w:val="ru-RU"/>
        </w:rPr>
        <w:t>2</w:t>
      </w:r>
      <w:r>
        <w:rPr>
          <w:b w:val="false"/>
          <w:color w:val="auto"/>
          <w:sz w:val="28"/>
          <w:szCs w:val="28"/>
          <w:lang w:val="en-US"/>
        </w:rPr>
        <w:t xml:space="preserve"> </w:t>
      </w:r>
      <w:r>
        <w:rPr>
          <w:b w:val="false"/>
          <w:color w:val="auto"/>
          <w:sz w:val="28"/>
          <w:szCs w:val="28"/>
          <w:lang w:val="ru-RU"/>
        </w:rPr>
        <w:t xml:space="preserve">Разработка </w:t>
      </w:r>
      <w:r>
        <w:rPr>
          <w:b w:val="false"/>
          <w:color w:val="auto"/>
          <w:sz w:val="28"/>
          <w:szCs w:val="28"/>
          <w:lang w:val="en-US"/>
        </w:rPr>
        <w:t>API</w:t>
      </w:r>
    </w:p>
    <w:p>
      <w:pPr>
        <w:pStyle w:val="Normal"/>
        <w:widowControl/>
        <w:suppressAutoHyphens w:val="true"/>
        <w:spacing w:lineRule="auto" w:line="259" w:before="0" w:after="0"/>
        <w:ind w:hanging="0" w:left="0"/>
        <w:jc w:val="center"/>
        <w:rPr>
          <w:rFonts w:ascii="Times New Roman" w:hAnsi="Times New Roman"/>
          <w:sz w:val="28"/>
          <w:szCs w:val="28"/>
        </w:rPr>
      </w:pPr>
      <w:r>
        <w:rPr>
          <w:sz w:val="28"/>
          <w:szCs w:val="28"/>
        </w:rPr>
      </w:r>
    </w:p>
    <w:p>
      <w:pPr>
        <w:pStyle w:val="Normal"/>
        <w:rPr/>
      </w:pPr>
      <w:bookmarkStart w:id="267" w:name="__RefHeading___Toc3452_4046097046"/>
      <w:bookmarkEnd w:id="267"/>
      <w:r>
        <w:rPr>
          <w:b w:val="false"/>
          <w:color w:val="auto"/>
        </w:rPr>
        <w:tab/>
        <w:t>Для расширения функциональности системы комплексной оценки надежности поставщиков и реализации современных алгоритмов машинного обучения был разработан специализированный Python-сервис, интегрируемый с платформой 1С:Предприятие через REST API. Данный сервис представляет собой микросервисную архитектуру, построенную на принципах модульности и масштабируемости</w:t>
      </w:r>
      <w:r>
        <w:rPr>
          <w:rFonts w:cs="Times New Roman"/>
          <w:b w:val="false"/>
          <w:color w:val="auto"/>
          <w:lang w:eastAsia="ru-RU"/>
        </w:rPr>
        <w:t>.</w:t>
      </w:r>
    </w:p>
    <w:p>
      <w:pPr>
        <w:pStyle w:val="Normal"/>
        <w:widowControl/>
        <w:suppressAutoHyphens w:val="true"/>
        <w:spacing w:lineRule="auto" w:line="259" w:before="0" w:after="0"/>
        <w:ind w:hanging="0" w:left="0"/>
        <w:jc w:val="center"/>
        <w:rPr>
          <w:rFonts w:ascii="Times New Roman" w:hAnsi="Times New Roman"/>
          <w:b w:val="false"/>
          <w:color w:val="auto"/>
          <w:sz w:val="28"/>
          <w:szCs w:val="28"/>
        </w:rPr>
      </w:pPr>
      <w:bookmarkStart w:id="268" w:name="__RefHeading___Toc3454_4046097046"/>
      <w:bookmarkEnd w:id="268"/>
      <w:r>
        <w:drawing>
          <wp:anchor behindDoc="0" distT="0" distB="0" distL="0" distR="0" simplePos="0" locked="0" layoutInCell="0" allowOverlap="1" relativeHeight="30">
            <wp:simplePos x="0" y="0"/>
            <wp:positionH relativeFrom="column">
              <wp:posOffset>1092200</wp:posOffset>
            </wp:positionH>
            <wp:positionV relativeFrom="paragraph">
              <wp:posOffset>70485</wp:posOffset>
            </wp:positionV>
            <wp:extent cx="3755390" cy="4862195"/>
            <wp:effectExtent l="0" t="0" r="0" b="0"/>
            <wp:wrapTopAndBottom/>
            <wp:docPr id="30"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3" descr=""/>
                    <pic:cNvPicPr>
                      <a:picLocks noChangeAspect="1" noChangeArrowheads="1"/>
                    </pic:cNvPicPr>
                  </pic:nvPicPr>
                  <pic:blipFill>
                    <a:blip r:embed="rId26"/>
                    <a:stretch>
                      <a:fillRect/>
                    </a:stretch>
                  </pic:blipFill>
                  <pic:spPr bwMode="auto">
                    <a:xfrm>
                      <a:off x="0" y="0"/>
                      <a:ext cx="3755390" cy="4862195"/>
                    </a:xfrm>
                    <a:prstGeom prst="rect">
                      <a:avLst/>
                    </a:prstGeom>
                  </pic:spPr>
                </pic:pic>
              </a:graphicData>
            </a:graphic>
          </wp:anchor>
        </w:drawing>
      </w:r>
      <w:r>
        <w:rPr>
          <w:b w:val="false"/>
          <w:color w:val="auto"/>
          <w:sz w:val="28"/>
          <w:szCs w:val="28"/>
        </w:rPr>
        <w:t>Рисунок 3.16 -  Архитектура Python-сервиса</w:t>
      </w:r>
    </w:p>
    <w:p>
      <w:pPr>
        <w:pStyle w:val="Normal"/>
        <w:widowControl/>
        <w:suppressAutoHyphens w:val="true"/>
        <w:spacing w:lineRule="auto" w:line="259" w:before="0" w:after="0"/>
        <w:ind w:hanging="0" w:left="0"/>
        <w:jc w:val="both"/>
        <w:rPr>
          <w:rFonts w:ascii="Times New Roman" w:hAnsi="Times New Roman"/>
          <w:b w:val="false"/>
          <w:color w:val="auto"/>
          <w:sz w:val="28"/>
          <w:szCs w:val="28"/>
        </w:rPr>
      </w:pPr>
      <w:r>
        <w:rPr>
          <w:b w:val="false"/>
          <w:color w:val="auto"/>
          <w:sz w:val="28"/>
          <w:szCs w:val="28"/>
        </w:rPr>
      </w:r>
    </w:p>
    <w:p>
      <w:pPr>
        <w:pStyle w:val="Normal"/>
        <w:rPr>
          <w:b w:val="false"/>
          <w:color w:val="auto"/>
        </w:rPr>
      </w:pPr>
      <w:bookmarkStart w:id="269" w:name="__RefHeading___Toc3456_4046097046"/>
      <w:bookmarkEnd w:id="269"/>
      <w:r>
        <w:rPr>
          <w:b w:val="false"/>
          <w:color w:val="auto"/>
        </w:rPr>
        <w:tab/>
        <w:t>Архитектура Python-сервиса включает следующие основные компоненты (Рисунок 3.16):</w:t>
      </w:r>
    </w:p>
    <w:p>
      <w:pPr>
        <w:pStyle w:val="Normal"/>
        <w:rPr/>
      </w:pPr>
      <w:r>
        <w:rPr/>
        <w:tab/>
      </w:r>
      <w:r>
        <w:rPr>
          <w:lang w:val="ru-RU"/>
        </w:rPr>
        <w:t>Переменные окружения (</w:t>
      </w:r>
      <w:r>
        <w:rPr/>
        <w:t xml:space="preserve">env.py </w:t>
      </w:r>
      <w:r>
        <w:rPr>
          <w:lang w:val="ru-RU"/>
        </w:rPr>
        <w:t>и .</w:t>
      </w:r>
      <w:r>
        <w:rPr/>
        <w:t xml:space="preserve">env) </w:t>
      </w:r>
      <w:r>
        <w:rPr>
          <w:lang w:val="ru-RU"/>
        </w:rPr>
        <w:t xml:space="preserve">нужны для хранения </w:t>
      </w:r>
      <w:r>
        <w:rPr>
          <w:b w:val="false"/>
          <w:color w:val="auto"/>
          <w:lang w:val="ru-RU"/>
        </w:rPr>
        <w:t xml:space="preserve">API </w:t>
      </w:r>
      <w:r>
        <w:rPr>
          <w:lang w:val="ru-RU"/>
        </w:rPr>
        <w:t xml:space="preserve">ключа </w:t>
      </w:r>
      <w:r>
        <w:rPr>
          <w:b w:val="false"/>
          <w:color w:val="auto"/>
          <w:lang w:val="ru-RU"/>
        </w:rPr>
        <w:t>"Репутация".</w:t>
      </w:r>
    </w:p>
    <w:p>
      <w:pPr>
        <w:pStyle w:val="Normal"/>
        <w:widowControl/>
        <w:suppressAutoHyphens w:val="true"/>
        <w:overflowPunct w:val="false"/>
        <w:bidi w:val="0"/>
        <w:spacing w:lineRule="auto" w:line="360" w:before="0" w:after="160"/>
        <w:ind w:hanging="0" w:left="0" w:right="0"/>
        <w:jc w:val="both"/>
        <w:rPr/>
      </w:pPr>
      <w:r>
        <w:rPr/>
        <w:tab/>
        <w:t>Логирование событий Python-сервиса (log.py) позволяет производить отслеживание, анализ и отладку работы системы, а также находить и исправлять ошибки и контролировать процессы.</w:t>
      </w:r>
    </w:p>
    <w:p>
      <w:pPr>
        <w:pStyle w:val="Normal"/>
        <w:rPr/>
      </w:pPr>
      <w:r>
        <w:rPr/>
        <w:tab/>
        <w:t>FastAPI-приложение (app.py) выступает в качестве точки входа и обеспечивает:</w:t>
      </w:r>
    </w:p>
    <w:p>
      <w:pPr>
        <w:pStyle w:val="Normal"/>
        <w:numPr>
          <w:ilvl w:val="0"/>
          <w:numId w:val="16"/>
        </w:numPr>
        <w:rPr/>
      </w:pPr>
      <w:bookmarkStart w:id="270" w:name="__RefHeading___Toc3472_4046097046"/>
      <w:bookmarkEnd w:id="270"/>
      <w:r>
        <w:rPr/>
        <w:t>Обработку HTTP-запросов от клиентской части на 1С</w:t>
      </w:r>
    </w:p>
    <w:p>
      <w:pPr>
        <w:pStyle w:val="Normal"/>
        <w:numPr>
          <w:ilvl w:val="0"/>
          <w:numId w:val="16"/>
        </w:numPr>
        <w:rPr/>
      </w:pPr>
      <w:bookmarkStart w:id="271" w:name="__RefHeading___Toc3474_4046097046"/>
      <w:bookmarkEnd w:id="271"/>
      <w:r>
        <w:rPr/>
        <w:t>Управление жизненным циклом приложения через контекстные менеджеры</w:t>
      </w:r>
    </w:p>
    <w:p>
      <w:pPr>
        <w:pStyle w:val="Normal"/>
        <w:numPr>
          <w:ilvl w:val="0"/>
          <w:numId w:val="16"/>
        </w:numPr>
        <w:rPr/>
      </w:pPr>
      <w:bookmarkStart w:id="272" w:name="__RefHeading___Toc3476_4046097046"/>
      <w:bookmarkEnd w:id="272"/>
      <w:r>
        <w:rPr/>
        <w:t>Настройку CORS-политик для кросс-доменных запросов</w:t>
      </w:r>
    </w:p>
    <w:p>
      <w:pPr>
        <w:pStyle w:val="Normal"/>
        <w:numPr>
          <w:ilvl w:val="0"/>
          <w:numId w:val="16"/>
        </w:numPr>
        <w:rPr/>
      </w:pPr>
      <w:bookmarkStart w:id="273" w:name="__RefHeading___Toc3478_4046097046"/>
      <w:bookmarkEnd w:id="273"/>
      <w:r>
        <w:rPr/>
        <w:t>Маршрутизацию запросов к соответствующим обработчикам</w:t>
      </w:r>
    </w:p>
    <w:p>
      <w:pPr>
        <w:pStyle w:val="Normal"/>
        <w:rPr/>
      </w:pPr>
      <w:r>
        <w:rPr/>
      </w:r>
    </w:p>
    <w:p>
      <w:pPr>
        <w:pStyle w:val="Normal"/>
        <w:rPr/>
      </w:pPr>
      <w:bookmarkStart w:id="274" w:name="__RefHeading___Toc3480_4046097046"/>
      <w:bookmarkEnd w:id="274"/>
      <w:r>
        <w:rPr/>
        <w:tab/>
        <w:t>Модуль HTTP-запросов (queries.py) предоставляет асинхронные клиенты для выполнения HTTP-запросов, обеспечивает обработку ошибок и таймаутов при работе с внешними API, а также реализует унифицированный интерфейс для взаимодействия с различными сервисами.</w:t>
      </w:r>
    </w:p>
    <w:p>
      <w:pPr>
        <w:pStyle w:val="Normal"/>
        <w:rPr/>
      </w:pPr>
      <w:r>
        <w:rPr/>
      </w:r>
    </w:p>
    <w:p>
      <w:pPr>
        <w:pStyle w:val="Normal"/>
        <w:rPr/>
      </w:pPr>
      <w:r>
        <w:rPr/>
        <w:tab/>
        <w:t>Модуль routers.py определяет конечные точки API, где реализован эндпоинт /api/v1/check для обработки POST-запросов, организован пайплайн обработки данных, включающий их получение, преобразование, анализ и возврат результатов, а также обеспечена интеграция с внешними сервисами и ML-моделью.</w:t>
      </w:r>
    </w:p>
    <w:p>
      <w:pPr>
        <w:pStyle w:val="Normal"/>
        <w:rPr/>
      </w:pPr>
      <w:r>
        <w:rPr/>
      </w:r>
    </w:p>
    <w:p>
      <w:pPr>
        <w:pStyle w:val="Normal"/>
        <w:rPr/>
      </w:pPr>
      <w:r>
        <w:rPr/>
        <w:tab/>
        <w:t>Модуль utils.py — содержит  утилиты для обработки данных</w:t>
      </w:r>
    </w:p>
    <w:p>
      <w:pPr>
        <w:pStyle w:val="Normal"/>
        <w:rPr/>
      </w:pPr>
      <w:r>
        <w:rPr/>
      </w:r>
    </w:p>
    <w:p>
      <w:pPr>
        <w:pStyle w:val="Normal"/>
        <w:rPr/>
      </w:pPr>
      <w:r>
        <w:rPr/>
        <w:tab/>
        <w:t>Модуль model.py, содержащий модель машинного обучения, представляет собой ядро системы оценки и включает класс SupplierRiskModel для работы с ансамблевой моделью классификации, методы предобработки данных и извлечения признаков, алгоритмы расчета интегральных показателей риска, а также механизмы валидации и оценки качества предсказаний.</w:t>
      </w:r>
    </w:p>
    <w:p>
      <w:pPr>
        <w:pStyle w:val="Normal"/>
        <w:widowControl/>
        <w:numPr>
          <w:ilvl w:val="0"/>
          <w:numId w:val="0"/>
        </w:numPr>
        <w:suppressAutoHyphens w:val="true"/>
        <w:overflowPunct w:val="false"/>
        <w:bidi w:val="0"/>
        <w:spacing w:lineRule="auto" w:line="360" w:before="0" w:after="160"/>
        <w:ind w:hanging="0" w:left="0" w:right="0"/>
        <w:jc w:val="both"/>
        <w:rPr/>
      </w:pPr>
      <w:r>
        <w:rPr/>
        <w:t xml:space="preserve"> </w:t>
      </w:r>
      <w:r>
        <w:rPr/>
        <w:tab/>
        <w:t>Модуль model_provider.py - поставщик модели, обеспечивает загрузку предобученных моделей из сериализованных файлов, управление их жизненным циклом в производственной среде, а также изоляцию логики работы с моделями для упрощения поддержки и дальнейшего развития системы.</w:t>
      </w:r>
    </w:p>
    <w:p>
      <w:pPr>
        <w:pStyle w:val="Normal"/>
        <w:rPr/>
      </w:pPr>
      <w:bookmarkStart w:id="275" w:name="__RefHeading___Toc3524_4046097046"/>
      <w:bookmarkEnd w:id="275"/>
      <w:r>
        <w:rPr/>
        <w:tab/>
        <w:t>Взаимодействие компонентов в процессе оценки поставщика происходит по следующему алгоритму:</w:t>
      </w:r>
    </w:p>
    <w:p>
      <w:pPr>
        <w:pStyle w:val="Normal"/>
        <w:numPr>
          <w:ilvl w:val="0"/>
          <w:numId w:val="19"/>
        </w:numPr>
        <w:rPr/>
      </w:pPr>
      <w:bookmarkStart w:id="276" w:name="__RefHeading___Toc3526_4046097046"/>
      <w:bookmarkEnd w:id="276"/>
      <w:r>
        <w:rPr/>
        <w:t>Клиентское приложение на 1С формирует JSON-запрос с ИНН поставщиков</w:t>
      </w:r>
    </w:p>
    <w:p>
      <w:pPr>
        <w:pStyle w:val="Normal"/>
        <w:numPr>
          <w:ilvl w:val="0"/>
          <w:numId w:val="19"/>
        </w:numPr>
        <w:rPr/>
      </w:pPr>
      <w:bookmarkStart w:id="277" w:name="__RefHeading___Toc3528_4046097046"/>
      <w:bookmarkEnd w:id="277"/>
      <w:r>
        <w:rPr/>
        <w:t>FastAPI-сервер принимает запрос и передает его в обработчик роутера</w:t>
      </w:r>
    </w:p>
    <w:p>
      <w:pPr>
        <w:pStyle w:val="Normal"/>
        <w:numPr>
          <w:ilvl w:val="0"/>
          <w:numId w:val="19"/>
        </w:numPr>
        <w:rPr/>
      </w:pPr>
      <w:bookmarkStart w:id="278" w:name="__RefHeading___Toc3530_4046097046"/>
      <w:bookmarkEnd w:id="278"/>
      <w:r>
        <w:rPr/>
        <w:t>Модуль утилит выполняет асинхронные запросы к API "Репутация"</w:t>
      </w:r>
    </w:p>
    <w:p>
      <w:pPr>
        <w:pStyle w:val="Normal"/>
        <w:numPr>
          <w:ilvl w:val="0"/>
          <w:numId w:val="19"/>
        </w:numPr>
        <w:rPr/>
      </w:pPr>
      <w:bookmarkStart w:id="279" w:name="__RefHeading___Toc3532_4046097046"/>
      <w:bookmarkEnd w:id="279"/>
      <w:r>
        <w:rPr/>
        <w:t>Полученные данные преобразуются в структурированные признаки</w:t>
      </w:r>
    </w:p>
    <w:p>
      <w:pPr>
        <w:pStyle w:val="Normal"/>
        <w:numPr>
          <w:ilvl w:val="0"/>
          <w:numId w:val="19"/>
        </w:numPr>
        <w:rPr/>
      </w:pPr>
      <w:bookmarkStart w:id="280" w:name="__RefHeading___Toc3534_4046097046"/>
      <w:bookmarkEnd w:id="280"/>
      <w:r>
        <w:rPr/>
        <w:t>ML-модель анализирует признаки и генерирует оценку надежности</w:t>
      </w:r>
    </w:p>
    <w:p>
      <w:pPr>
        <w:pStyle w:val="Normal"/>
        <w:numPr>
          <w:ilvl w:val="0"/>
          <w:numId w:val="19"/>
        </w:numPr>
        <w:rPr/>
      </w:pPr>
      <w:bookmarkStart w:id="281" w:name="__RefHeading___Toc3536_4046097046"/>
      <w:bookmarkEnd w:id="281"/>
      <w:r>
        <w:rPr/>
        <w:t>Результаты форматируются и возвращаются в 1С для отображения</w:t>
      </w:r>
    </w:p>
    <w:p>
      <w:pPr>
        <w:pStyle w:val="Normal"/>
        <w:rPr/>
      </w:pPr>
      <w:r>
        <w:rPr/>
      </w:r>
    </w:p>
    <w:p>
      <w:pPr>
        <w:pStyle w:val="Normal"/>
        <w:rPr/>
      </w:pPr>
      <w:bookmarkStart w:id="282" w:name="__RefHeading___Toc3538_4046097046"/>
      <w:bookmarkEnd w:id="282"/>
      <w:r>
        <w:rPr/>
        <w:tab/>
        <w:t>Преимущества выбранной архитектуры:</w:t>
      </w:r>
    </w:p>
    <w:p>
      <w:pPr>
        <w:pStyle w:val="Normal"/>
        <w:numPr>
          <w:ilvl w:val="0"/>
          <w:numId w:val="15"/>
        </w:numPr>
        <w:rPr/>
      </w:pPr>
      <w:bookmarkStart w:id="283" w:name="__RefHeading___Toc3540_4046097046"/>
      <w:bookmarkEnd w:id="283"/>
      <w:r>
        <w:rPr/>
        <w:t>Модульность: каждый компонент отвечает за конкретную задачу</w:t>
      </w:r>
    </w:p>
    <w:p>
      <w:pPr>
        <w:pStyle w:val="Normal"/>
        <w:numPr>
          <w:ilvl w:val="0"/>
          <w:numId w:val="15"/>
        </w:numPr>
        <w:rPr/>
      </w:pPr>
      <w:bookmarkStart w:id="284" w:name="__RefHeading___Toc3542_4046097046"/>
      <w:bookmarkEnd w:id="284"/>
      <w:r>
        <w:rPr/>
        <w:t>Масштабируемость: возможность независимого масштабирования компонентов</w:t>
      </w:r>
    </w:p>
    <w:p>
      <w:pPr>
        <w:pStyle w:val="Normal"/>
        <w:numPr>
          <w:ilvl w:val="0"/>
          <w:numId w:val="15"/>
        </w:numPr>
        <w:rPr/>
      </w:pPr>
      <w:bookmarkStart w:id="285" w:name="__RefHeading___Toc3544_4046097046"/>
      <w:bookmarkEnd w:id="285"/>
      <w:r>
        <w:rPr/>
        <w:t>Поддерживаемость: четкое разделение ответственности между модулями</w:t>
      </w:r>
    </w:p>
    <w:p>
      <w:pPr>
        <w:pStyle w:val="Normal"/>
        <w:numPr>
          <w:ilvl w:val="0"/>
          <w:numId w:val="15"/>
        </w:numPr>
        <w:rPr/>
      </w:pPr>
      <w:bookmarkStart w:id="286" w:name="__RefHeading___Toc3546_4046097046"/>
      <w:bookmarkEnd w:id="286"/>
      <w:r>
        <w:rPr/>
        <w:t>Интегрируемость: REST API позволяет легко интегрироваться с различными системами</w:t>
      </w:r>
    </w:p>
    <w:p>
      <w:pPr>
        <w:pStyle w:val="Normal"/>
        <w:rPr/>
      </w:pPr>
      <w:bookmarkStart w:id="287" w:name="__RefHeading___Toc3548_4046097046"/>
      <w:bookmarkEnd w:id="287"/>
      <w:r>
        <w:rPr/>
        <w:tab/>
        <w:t>Экономическая эффективность разработанного решения обеспечивается за счет использования API «Репутация» с гибкой системой оплаты — стоимость одной проверки составляет всего 2,5 рубля, при этом отсутствуют ограничения на количество проверяемых организаций, что особенно важно для предприятия с нерегулярной потребностью в анализе контрагентов. Дополнительным фактором снижения затрат выступает облачная архитектура Python-сервиса, позволяющая минимизировать расходы на содержание и обслуживание собственной инфраструктуры.</w:t>
      </w:r>
    </w:p>
    <w:p>
      <w:pPr>
        <w:pStyle w:val="Normal"/>
        <w:rPr/>
      </w:pPr>
      <w:r>
        <w:rPr/>
      </w:r>
    </w:p>
    <w:p>
      <w:pPr>
        <w:pStyle w:val="Normal"/>
        <w:rPr/>
      </w:pPr>
      <w:bookmarkStart w:id="288" w:name="__RefHeading___Toc3556_4046097046"/>
      <w:bookmarkEnd w:id="288"/>
      <w:r>
        <w:rPr/>
        <w:tab/>
        <w:t>Данная архитектура позволяет сочетать преимущества платформы 1С:Предприятие для работы с бизнес-логикой и Python-стека для реализации сложных алгоритмов машинного обучения, обеспечивая высокую точность оценок при минимальных эксплуатационных затратах.</w:t>
      </w:r>
      <w:r>
        <w:br w:type="page"/>
      </w:r>
    </w:p>
    <w:p>
      <w:pPr>
        <w:pStyle w:val="Heading1"/>
        <w:spacing w:lineRule="auto" w:line="259" w:before="0" w:after="0"/>
        <w:ind w:hanging="0" w:left="0"/>
        <w:rPr>
          <w:rFonts w:ascii="Times New Roman" w:hAnsi="Times New Roman"/>
          <w:b w:val="false"/>
          <w:color w:val="auto"/>
        </w:rPr>
      </w:pPr>
      <w:bookmarkStart w:id="289" w:name="__RefHeading___Toc22201_2829662935"/>
      <w:bookmarkEnd w:id="289"/>
      <w:r>
        <w:rPr>
          <w:b w:val="false"/>
          <w:color w:val="auto"/>
          <w:lang w:val="ru-RU"/>
        </w:rPr>
        <w:t>4.</w:t>
      </w:r>
      <w:r>
        <w:rPr>
          <w:b w:val="false"/>
          <w:color w:val="auto"/>
          <w:lang w:val="en-US"/>
        </w:rPr>
        <w:t xml:space="preserve"> </w:t>
      </w:r>
      <w:bookmarkStart w:id="290" w:name="_Toc509339948"/>
      <w:bookmarkStart w:id="291" w:name="_Toc509663666"/>
      <w:bookmarkStart w:id="292" w:name="_Toc515887000"/>
      <w:bookmarkStart w:id="293" w:name="_Toc483260915"/>
      <w:r>
        <w:rPr>
          <w:b w:val="false"/>
          <w:color w:val="auto"/>
        </w:rPr>
        <w:t>Тестирование и опытная эксплуатация информационной системы</w:t>
      </w:r>
      <w:bookmarkEnd w:id="290"/>
      <w:bookmarkEnd w:id="291"/>
      <w:bookmarkEnd w:id="292"/>
      <w:bookmarkEnd w:id="293"/>
    </w:p>
    <w:p>
      <w:pPr>
        <w:pStyle w:val="ListParagraph"/>
        <w:spacing w:lineRule="auto" w:line="360" w:before="0" w:after="0"/>
        <w:ind w:firstLine="709" w:left="0"/>
        <w:contextualSpacing/>
        <w:jc w:val="both"/>
        <w:rPr>
          <w:rFonts w:ascii="Times New Roman" w:hAnsi="Times New Roman"/>
          <w:sz w:val="28"/>
          <w:szCs w:val="28"/>
        </w:rPr>
      </w:pPr>
      <w:r>
        <w:rPr>
          <w:sz w:val="28"/>
          <w:szCs w:val="28"/>
        </w:rPr>
      </w:r>
    </w:p>
    <w:p>
      <w:pPr>
        <w:pStyle w:val="ListParagraph"/>
        <w:spacing w:lineRule="auto" w:line="360" w:before="0" w:after="0"/>
        <w:ind w:firstLine="709" w:left="0"/>
        <w:contextualSpacing/>
        <w:jc w:val="both"/>
        <w:rPr>
          <w:rFonts w:ascii="Times New Roman" w:hAnsi="Times New Roman"/>
          <w:sz w:val="28"/>
          <w:szCs w:val="28"/>
        </w:rPr>
      </w:pPr>
      <w:r>
        <w:rPr>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[23]</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pPr>
        <w:pStyle w:val="Normal"/>
        <w:suppressAutoHyphens w:val="true"/>
        <w:spacing w:lineRule="auto" w:line="360" w:before="0" w:after="0"/>
        <w:ind w:firstLine="709"/>
        <w:jc w:val="both"/>
        <w:rPr>
          <w:rFonts w:ascii="Times New Roman" w:hAnsi="Times New Roman" w:cs="Times New Roman"/>
          <w:sz w:val="28"/>
          <w:szCs w:val="28"/>
        </w:rPr>
      </w:pPr>
      <w:bookmarkStart w:id="294" w:name="OLE_LINK86"/>
      <w:r>
        <w:rPr>
          <w:rFonts w:cs="Times New Roman"/>
          <w:sz w:val="28"/>
          <w:szCs w:val="28"/>
        </w:rPr>
        <w:t>В процессе проведения локальной отладки разработанного модуля были выполнены следующие тесты:</w:t>
      </w:r>
      <w:bookmarkEnd w:id="294"/>
    </w:p>
    <w:p>
      <w:pPr>
        <w:pStyle w:val="Normal"/>
        <w:numPr>
          <w:ilvl w:val="0"/>
          <w:numId w:val="17"/>
        </w:numPr>
        <w:suppressAutoHyphens w:val="true"/>
        <w:spacing w:lineRule="auto" w:line="360" w:before="0" w:after="0"/>
        <w:jc w:val="both"/>
        <w:rPr/>
      </w:pPr>
      <w:r>
        <w:rPr>
          <w:rFonts w:cs="Times New Roman"/>
          <w:sz w:val="28"/>
          <w:szCs w:val="28"/>
        </w:rPr>
        <w:t>Загрузка программы;</w:t>
      </w:r>
    </w:p>
    <w:p>
      <w:pPr>
        <w:pStyle w:val="Normal"/>
        <w:numPr>
          <w:ilvl w:val="0"/>
          <w:numId w:val="17"/>
        </w:numPr>
        <w:suppressAutoHyphens w:val="true"/>
        <w:spacing w:lineRule="auto" w:line="360" w:before="0" w:after="0"/>
        <w:jc w:val="both"/>
        <w:rPr/>
      </w:pPr>
      <w:r>
        <w:rPr>
          <w:rFonts w:cs="Times New Roman"/>
          <w:sz w:val="28"/>
          <w:szCs w:val="28"/>
        </w:rPr>
        <w:t>Ввод пустого поля ИНН;</w:t>
      </w:r>
    </w:p>
    <w:p>
      <w:pPr>
        <w:pStyle w:val="Normal"/>
        <w:numPr>
          <w:ilvl w:val="0"/>
          <w:numId w:val="17"/>
        </w:numPr>
        <w:suppressAutoHyphens w:val="true"/>
        <w:spacing w:lineRule="auto" w:line="360" w:before="0" w:after="0"/>
        <w:jc w:val="both"/>
        <w:rPr/>
      </w:pPr>
      <w:r>
        <w:rPr>
          <w:rFonts w:cs="Times New Roman"/>
          <w:sz w:val="28"/>
          <w:szCs w:val="28"/>
        </w:rPr>
        <w:t>Ввод пустого поля КПП;</w:t>
      </w:r>
    </w:p>
    <w:p>
      <w:pPr>
        <w:pStyle w:val="Normal"/>
        <w:numPr>
          <w:ilvl w:val="0"/>
          <w:numId w:val="17"/>
        </w:numPr>
        <w:suppressAutoHyphens w:val="true"/>
        <w:spacing w:lineRule="auto" w:line="360" w:before="0" w:after="0"/>
        <w:jc w:val="both"/>
        <w:rPr/>
      </w:pPr>
      <w:r>
        <w:rPr>
          <w:rFonts w:cs="Times New Roman"/>
          <w:sz w:val="28"/>
          <w:szCs w:val="28"/>
        </w:rPr>
        <w:t>Ввод ИНН несуществующей компании;</w:t>
      </w:r>
    </w:p>
    <w:p>
      <w:pPr>
        <w:pStyle w:val="Normal"/>
        <w:numPr>
          <w:ilvl w:val="0"/>
          <w:numId w:val="17"/>
        </w:numPr>
        <w:suppressAutoHyphens w:val="true"/>
        <w:spacing w:lineRule="auto" w:line="360" w:before="0" w:after="0"/>
        <w:jc w:val="both"/>
        <w:rPr/>
      </w:pPr>
      <w:r>
        <w:rPr>
          <w:rFonts w:cs="Times New Roman"/>
          <w:sz w:val="28"/>
          <w:szCs w:val="28"/>
        </w:rPr>
        <w:t>Попытка провести анализ при пустой выборке поставщиков.</w:t>
      </w:r>
    </w:p>
    <w:p>
      <w:pPr>
        <w:pStyle w:val="Normal"/>
        <w:numPr>
          <w:ilvl w:val="0"/>
          <w:numId w:val="17"/>
        </w:numPr>
        <w:rPr/>
      </w:pPr>
      <w:r>
        <w:rPr/>
        <w:t>Анализ сформированной выборки поставщиков</w:t>
      </w:r>
    </w:p>
    <w:p>
      <w:pPr>
        <w:pStyle w:val="Normal"/>
        <w:numPr>
          <w:ilvl w:val="0"/>
          <w:numId w:val="17"/>
        </w:numPr>
        <w:rPr/>
      </w:pPr>
      <w:r>
        <w:rPr/>
        <w:t>Выход из программы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 xml:space="preserve">В ходе локального тестирования ошибок обнаружено не было, </w:t>
      </w:r>
      <w:bookmarkStart w:id="295" w:name="_Toc287542792"/>
      <w:r>
        <w:rPr>
          <w:rFonts w:cs="Times New Roman"/>
          <w:sz w:val="28"/>
          <w:szCs w:val="28"/>
        </w:rPr>
        <w:t>таким образом, разработанная информационная система показала себя как стабильное и надежное приложение</w:t>
      </w:r>
      <w:bookmarkEnd w:id="295"/>
      <w:r>
        <w:rPr>
          <w:rFonts w:cs="Times New Roman"/>
          <w:sz w:val="28"/>
          <w:szCs w:val="28"/>
        </w:rPr>
        <w:t>.</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firstLine="709" w:left="0"/>
        <w:jc w:val="center"/>
        <w:rPr>
          <w:rFonts w:ascii="Times New Roman" w:hAnsi="Times New Roman"/>
          <w:b w:val="false"/>
          <w:color w:val="auto"/>
        </w:rPr>
      </w:pPr>
      <w:bookmarkStart w:id="296" w:name="__RefHeading___Toc22203_2829662935"/>
      <w:bookmarkEnd w:id="296"/>
      <w:r>
        <w:rPr>
          <w:b w:val="false"/>
          <w:color w:val="auto"/>
          <w:lang w:val="ru-RU"/>
        </w:rPr>
        <w:t>5</w:t>
      </w:r>
      <w:bookmarkStart w:id="297" w:name="_Toc515887001"/>
      <w:r>
        <w:rPr>
          <w:b w:val="false"/>
          <w:color w:val="auto"/>
          <w:lang w:val="en-US"/>
        </w:rPr>
        <w:t xml:space="preserve">. </w:t>
      </w:r>
      <w:r>
        <w:rPr>
          <w:b w:val="false"/>
          <w:color w:val="auto"/>
        </w:rPr>
        <w:t>Оценка экономической эффективности проекта</w:t>
      </w:r>
      <w:bookmarkEnd w:id="297"/>
    </w:p>
    <w:p>
      <w:pPr>
        <w:pStyle w:val="Normal"/>
        <w:jc w:val="center"/>
        <w:rPr>
          <w:rFonts w:ascii="Times New Roman" w:hAnsi="Times New Roman"/>
          <w:b w:val="false"/>
          <w:color w:val="auto"/>
        </w:rPr>
      </w:pPr>
      <w:bookmarkStart w:id="298" w:name="__RefHeading___Toc22205_2829662935"/>
      <w:bookmarkEnd w:id="298"/>
      <w:r>
        <w:rPr>
          <w:b w:val="false"/>
          <w:color w:val="auto"/>
        </w:rPr>
        <w:t xml:space="preserve">5.1. </w:t>
      </w:r>
      <w:bookmarkStart w:id="299" w:name="_Toc515887002"/>
      <w:bookmarkStart w:id="300" w:name="_Toc484018865"/>
      <w:r>
        <w:rPr>
          <w:b w:val="false"/>
          <w:color w:val="auto"/>
        </w:rPr>
        <w:t>Расчет затрат на разработку</w:t>
      </w:r>
      <w:bookmarkEnd w:id="299"/>
      <w:bookmarkEnd w:id="300"/>
    </w:p>
    <w:p>
      <w:pPr>
        <w:pStyle w:val="Normal"/>
        <w:spacing w:lineRule="auto" w:line="360" w:before="0" w:after="0"/>
        <w:ind w:firstLine="709"/>
        <w:jc w:val="both"/>
        <w:rPr>
          <w:rFonts w:ascii="Times New Roman" w:hAnsi="Times New Roman" w:cs="Times New Roman"/>
          <w:sz w:val="28"/>
          <w:szCs w:val="28"/>
          <w:lang w:val="en-US" w:eastAsia="ru-RU"/>
        </w:rPr>
      </w:pPr>
      <w:r>
        <w:rPr>
          <w:rFonts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Pr>
          <w:rFonts w:cs="Times New Roman"/>
          <w:sz w:val="28"/>
          <w:szCs w:val="28"/>
          <w:lang w:val="en-US" w:eastAsia="ru-RU"/>
        </w:rPr>
        <w:t xml:space="preserve"> [24]</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количество и стоимость временных ресурсов, которые были затрачены на разработку информационной системы;</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техническое обслуживание информационной системы.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Выполнение проекта было разделено на стадии, описание которых представлено в  таблице 5.1.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5.1.</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Стадии выполнения проекта</w:t>
      </w:r>
    </w:p>
    <w:tbl>
      <w:tblPr>
        <w:tblW w:w="9379" w:type="dxa"/>
        <w:jc w:val="left"/>
        <w:tblInd w:w="-34" w:type="dxa"/>
        <w:tblLayout w:type="fixed"/>
        <w:tblCellMar>
          <w:top w:w="0" w:type="dxa"/>
          <w:left w:w="108" w:type="dxa"/>
          <w:bottom w:w="0" w:type="dxa"/>
          <w:right w:w="108" w:type="dxa"/>
        </w:tblCellMar>
      </w:tblPr>
      <w:tblGrid>
        <w:gridCol w:w="2431"/>
        <w:gridCol w:w="4602"/>
        <w:gridCol w:w="2346"/>
      </w:tblGrid>
      <w:tr>
        <w:trPr>
          <w:trHeight w:val="20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Стадия разработки</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Описание работы</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Трудоемкость (час.)</w:t>
            </w:r>
          </w:p>
        </w:tc>
      </w:tr>
      <w:tr>
        <w:trPr>
          <w:trHeight w:val="7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Постановка задачи</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Предпроектное исследование.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12</w:t>
            </w:r>
          </w:p>
        </w:tc>
      </w:tr>
      <w:tr>
        <w:trPr>
          <w:trHeight w:val="251"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Проектирование</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Уточнение структуры и типов входных и выходных данных. Разработка алгоритма решения задачи. Создание планов по разработке и внедрению проекта.</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40</w:t>
            </w:r>
          </w:p>
        </w:tc>
      </w:tr>
      <w:tr>
        <w:trPr>
          <w:trHeight w:val="7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ПО</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Написание программы, внедрение, первичная отладка, тестирование.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81</w:t>
            </w:r>
          </w:p>
        </w:tc>
      </w:tr>
      <w:tr>
        <w:trPr>
          <w:trHeight w:val="104"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Документирование и внедрение</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документации. Сдача программы и программной документации.</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25</w:t>
            </w:r>
          </w:p>
        </w:tc>
      </w:tr>
      <w:tr>
        <w:trPr>
          <w:trHeight w:val="126" w:hRule="atLeast"/>
        </w:trPr>
        <w:tc>
          <w:tcPr>
            <w:tcW w:w="703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ИТОГО:</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158</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i/>
          <w:sz w:val="28"/>
          <w:szCs w:val="28"/>
          <w:lang w:eastAsia="ru-RU"/>
        </w:rPr>
        <w:t>c</w:t>
      </w:r>
      <w:r>
        <w:rPr>
          <w:rFonts w:cs="Times New Roman"/>
          <w:sz w:val="28"/>
          <w:szCs w:val="28"/>
          <w:lang w:eastAsia="ru-RU"/>
        </w:rPr>
        <w:t xml:space="preserve"> = 1,5 (коэффициент сложности программы)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Коэффициент коррекции программы  </w:t>
      </w:r>
      <w:r>
        <w:rPr>
          <w:rFonts w:cs="Times New Roman"/>
          <w:i/>
          <w:sz w:val="28"/>
          <w:szCs w:val="28"/>
          <w:lang w:eastAsia="ru-RU"/>
        </w:rPr>
        <w:t>p</w:t>
      </w:r>
      <w:r>
        <w:rPr>
          <w:rFonts w:cs="Times New Roman"/>
          <w:sz w:val="28"/>
          <w:szCs w:val="28"/>
          <w:lang w:eastAsia="ru-RU"/>
        </w:rPr>
        <w:t xml:space="preserve">  - увеличение объема работ за счет внесения изменений в алгоритм или программу по результатам уточнения 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pPr>
        <w:pStyle w:val="Normal"/>
        <w:spacing w:lineRule="auto" w:line="360" w:before="0" w:after="0"/>
        <w:ind w:firstLine="709"/>
        <w:rPr>
          <w:rFonts w:ascii="Times New Roman" w:hAnsi="Times New Roman" w:cs="Times New Roman"/>
          <w:sz w:val="28"/>
          <w:szCs w:val="28"/>
          <w:lang w:eastAsia="ru-RU"/>
        </w:rPr>
      </w:pPr>
      <w:r>
        <w:rPr>
          <w:rFonts w:cs="Times New Roman"/>
          <w:i/>
          <w:sz w:val="28"/>
          <w:szCs w:val="28"/>
          <w:lang w:eastAsia="ru-RU"/>
        </w:rPr>
        <w:t>p</w:t>
      </w:r>
      <w:r>
        <w:rPr>
          <w:rFonts w:cs="Times New Roman"/>
          <w:sz w:val="28"/>
          <w:szCs w:val="28"/>
          <w:lang w:eastAsia="ru-RU"/>
        </w:rPr>
        <w:t xml:space="preserve"> = 0,1 - коэффициент коррекции программы в ходе разработки.</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При расчете основной заработной платы следует учитывать следующие коэффициенты:</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Pr>
          <w:rFonts w:eastAsia="SimSun" w:cs="Times New Roman"/>
          <w:i/>
          <w:sz w:val="28"/>
          <w:szCs w:val="28"/>
        </w:rPr>
        <w:t>b</w:t>
      </w:r>
      <w:r>
        <w:rPr>
          <w:rFonts w:eastAsia="SimSun" w:cs="Times New Roman"/>
          <w:sz w:val="28"/>
          <w:szCs w:val="28"/>
        </w:rPr>
        <w:t xml:space="preserve"> = 1,4. </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квалификации разработчика </w:t>
      </w:r>
      <w:r>
        <w:rPr>
          <w:rFonts w:eastAsia="SimSun" w:cs="Times New Roman"/>
          <w:i/>
          <w:sz w:val="28"/>
          <w:szCs w:val="28"/>
        </w:rPr>
        <w:t>k</w:t>
      </w:r>
      <w:r>
        <w:rPr>
          <w:rFonts w:eastAsia="SimSu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Pr>
          <w:rFonts w:eastAsia="SimSun" w:cs="Times New Roman"/>
          <w:i/>
          <w:sz w:val="28"/>
          <w:szCs w:val="28"/>
        </w:rPr>
        <w:t>k</w:t>
      </w:r>
      <w:r>
        <w:rPr>
          <w:rFonts w:eastAsia="SimSun" w:cs="Times New Roman"/>
          <w:sz w:val="28"/>
          <w:szCs w:val="28"/>
        </w:rPr>
        <w:t xml:space="preserve"> = 0,8.</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 xml:space="preserve">ФЗП  =  ЗПср * </w:t>
      </w:r>
      <w:r>
        <w:rPr>
          <w:rFonts w:cs="Times New Roman"/>
          <w:i/>
          <w:sz w:val="28"/>
          <w:szCs w:val="28"/>
          <w:lang w:eastAsia="ru-RU"/>
        </w:rPr>
        <w:t>c</w:t>
      </w:r>
      <w:r>
        <w:rPr>
          <w:rFonts w:cs="Times New Roman"/>
          <w:sz w:val="28"/>
          <w:szCs w:val="28"/>
          <w:lang w:eastAsia="ru-RU"/>
        </w:rPr>
        <w:t xml:space="preserve"> * (</w:t>
      </w:r>
      <w:r>
        <w:rPr>
          <w:rFonts w:cs="Times New Roman"/>
          <w:i/>
          <w:sz w:val="28"/>
          <w:szCs w:val="28"/>
          <w:lang w:eastAsia="ru-RU"/>
        </w:rPr>
        <w:t>p</w:t>
      </w:r>
      <w:r>
        <w:rPr>
          <w:rFonts w:cs="Times New Roman"/>
          <w:sz w:val="28"/>
          <w:szCs w:val="28"/>
          <w:lang w:eastAsia="ru-RU"/>
        </w:rPr>
        <w:t xml:space="preserve">+1) * </w:t>
      </w:r>
      <w:r>
        <w:rPr>
          <w:rFonts w:cs="Times New Roman"/>
          <w:i/>
          <w:sz w:val="28"/>
          <w:szCs w:val="28"/>
          <w:lang w:eastAsia="ru-RU"/>
        </w:rPr>
        <w:t>b</w:t>
      </w:r>
      <w:r>
        <w:rPr>
          <w:rFonts w:cs="Times New Roman"/>
          <w:sz w:val="28"/>
          <w:szCs w:val="28"/>
          <w:lang w:eastAsia="ru-RU"/>
        </w:rPr>
        <w:t xml:space="preserve"> * </w:t>
      </w:r>
      <w:r>
        <w:rPr>
          <w:rFonts w:cs="Times New Roman"/>
          <w:i/>
          <w:sz w:val="28"/>
          <w:szCs w:val="28"/>
          <w:lang w:eastAsia="ru-RU"/>
        </w:rPr>
        <w:t>k</w:t>
      </w:r>
      <w:r>
        <w:rPr>
          <w:rFonts w:cs="Times New Roman"/>
          <w:sz w:val="28"/>
          <w:szCs w:val="28"/>
          <w:lang w:eastAsia="ru-RU"/>
        </w:rPr>
        <w:t xml:space="preserve">                                  (1)</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ЗПср– средняя заработная плата разработчика данного предприятия или фирмы, составляющая 20 000 руб/месяц.</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ФЗП  =  (20000 руб.  * 1,5 * (0,1 + 1) * 1,4 * 0,8) = 36 960 руб./мес,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Страховые отчисления (Со) берутся в размере 26% от заработной платы:</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Со = (З/Посн /100*26)                                           (2)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Со = 36 960/100*26 = 9 609,6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Зобщ = (З/Посн + Со)                                            (3)</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Зобщ = 36 960 + 9 609,6 = 43 923,6 руб.</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176 – количество рабочих часов в месяц (8 часов * 22 рабочих дня)</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bookmarkStart w:id="301" w:name="__RefHeading___Toc22207_2829662935"/>
      <w:bookmarkEnd w:id="301"/>
      <w:r>
        <w:rPr>
          <w:b w:val="false"/>
          <w:color w:val="auto"/>
        </w:rPr>
        <w:t xml:space="preserve">5.2. </w:t>
      </w:r>
      <w:bookmarkStart w:id="302" w:name="_Toc484018866"/>
      <w:bookmarkStart w:id="303" w:name="_Toc515887003"/>
      <w:r>
        <w:rPr>
          <w:b w:val="false"/>
          <w:color w:val="auto"/>
        </w:rPr>
        <w:t>Содержание и эксплуатация вычислительное техники</w:t>
      </w:r>
      <w:bookmarkEnd w:id="302"/>
      <w:bookmarkEnd w:id="303"/>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Для расчета данного вида затрат необходимо иметь значения следующих показаний:</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стоимость электроэнергии;</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амортизационные отчисления;</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техническое обслуживание.</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1 КВт/час электроэнергии равна 3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Один компьютер потребляет в среднем 350 Вт в час.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Исходя из этих данных годовые затраты на электроэнергию, потребляемые равны: </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8 ч. * 22 дня * 12 мес. * 0,35 КВт/ч. * 3 руб. = 2217, 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компьютера составляет 35 000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Отчисления = стоимость ПК/ срок полезного использования:</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t>35000руб. / 4 года = 8750руб.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Затраты на ремонт ПК составляют 15% от его стоимости – 1312,6 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Действительный фонд работы ПК:</w:t>
      </w:r>
    </w:p>
    <w:p>
      <w:pPr>
        <w:pStyle w:val="Normal"/>
        <w:spacing w:lineRule="auto" w:line="360" w:before="0" w:after="0"/>
        <w:ind w:firstLine="709"/>
        <w:jc w:val="right"/>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вт </w:t>
      </w:r>
      <w:r>
        <w:rPr>
          <w:rFonts w:cs="Times New Roman"/>
          <w:bCs/>
          <w:sz w:val="28"/>
          <w:szCs w:val="28"/>
        </w:rPr>
        <w:t>= Ф</w:t>
      </w:r>
      <w:r>
        <w:rPr>
          <w:rFonts w:cs="Times New Roman"/>
          <w:bCs/>
          <w:sz w:val="28"/>
          <w:szCs w:val="28"/>
          <w:vertAlign w:val="subscript"/>
        </w:rPr>
        <w:t>ном</w:t>
      </w:r>
      <w:r>
        <w:rPr>
          <w:rFonts w:cs="Times New Roman"/>
          <w:bCs/>
          <w:sz w:val="28"/>
          <w:szCs w:val="28"/>
        </w:rPr>
        <w:t xml:space="preserve"> – Ф</w:t>
      </w:r>
      <w:r>
        <w:rPr>
          <w:rFonts w:cs="Times New Roman"/>
          <w:bCs/>
          <w:sz w:val="28"/>
          <w:szCs w:val="28"/>
          <w:vertAlign w:val="subscript"/>
        </w:rPr>
        <w:t>проф</w:t>
      </w:r>
      <w:r>
        <w:rPr>
          <w:rFonts w:cs="Times New Roman"/>
          <w:bCs/>
          <w:sz w:val="28"/>
          <w:szCs w:val="28"/>
        </w:rPr>
        <w:t xml:space="preserve">                                               (4)</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ном</w:t>
      </w:r>
      <w:r>
        <w:rPr>
          <w:rFonts w:cs="Times New Roman"/>
          <w:bCs/>
          <w:sz w:val="28"/>
          <w:szCs w:val="28"/>
        </w:rPr>
        <w:t xml:space="preserve"> = 8ч.*22дня*12мес. = 2112ч. – номинальный фонд работы ПК. </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проф </w:t>
      </w:r>
      <w:r>
        <w:rPr>
          <w:rFonts w:cs="Times New Roman"/>
          <w:bCs/>
          <w:sz w:val="28"/>
          <w:szCs w:val="28"/>
        </w:rPr>
        <w:t>= 2112/100*5 = 105,6ч. – годовые затраты времени на профилактические работы, 5% от Ф</w:t>
      </w:r>
      <w:r>
        <w:rPr>
          <w:rFonts w:cs="Times New Roman"/>
          <w:bCs/>
          <w:sz w:val="28"/>
          <w:szCs w:val="28"/>
          <w:vertAlign w:val="subscript"/>
        </w:rPr>
        <w:t>ном</w:t>
      </w:r>
      <w:r>
        <w:rPr>
          <w:rFonts w:cs="Times New Roman"/>
          <w:bCs/>
          <w:sz w:val="28"/>
          <w:szCs w:val="28"/>
        </w:rPr>
        <w:t>*Ф</w:t>
      </w:r>
      <w:r>
        <w:rPr>
          <w:rFonts w:cs="Times New Roman"/>
          <w:bCs/>
          <w:sz w:val="28"/>
          <w:szCs w:val="28"/>
          <w:vertAlign w:val="subscript"/>
        </w:rPr>
        <w:t>вт</w:t>
      </w:r>
      <w:r>
        <w:rPr>
          <w:rFonts w:cs="Times New Roman"/>
          <w:bCs/>
          <w:sz w:val="28"/>
          <w:szCs w:val="28"/>
        </w:rPr>
        <w:t xml:space="preserve"> = 2006ч.</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Стоимость машинного часа равна: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1900,8руб + 1312руб / 2006ч = 1,6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Содержание и эксплуатация вычислительного комплекса на время написания выпускной квалификационной работы составляет (данные из таблицы 11):</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158 час. * 1.6 руб. = 252, 8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размещения на сервере со средним потреблением 650 Вт в час и по оплате электроэнергии за год составят:</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8ч. * 22дня * 12мес. * 0,65КВт/ч. * 3руб. = 4118,4руб.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на разработку программного продукта приведены в таблице 5.2.</w:t>
      </w:r>
    </w:p>
    <w:p>
      <w:pPr>
        <w:pStyle w:val="Normal"/>
        <w:spacing w:lineRule="auto" w:line="360" w:before="0" w:after="0"/>
        <w:ind w:firstLine="709"/>
        <w:jc w:val="right"/>
        <w:rPr>
          <w:rFonts w:ascii="Times New Roman" w:hAnsi="Times New Roman" w:cs="Times New Roman"/>
          <w:sz w:val="28"/>
          <w:szCs w:val="28"/>
        </w:rPr>
      </w:pPr>
      <w:r>
        <w:rPr>
          <w:rFonts w:cs="Times New Roman"/>
          <w:sz w:val="28"/>
          <w:szCs w:val="28"/>
        </w:rPr>
        <w:t>Таблица 5.2</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Затраты на разработку ПО</w:t>
      </w:r>
    </w:p>
    <w:tbl>
      <w:tblPr>
        <w:tblW w:w="9498" w:type="dxa"/>
        <w:jc w:val="left"/>
        <w:tblInd w:w="-34" w:type="dxa"/>
        <w:tblLayout w:type="fixed"/>
        <w:tblCellMar>
          <w:top w:w="0" w:type="dxa"/>
          <w:left w:w="108" w:type="dxa"/>
          <w:bottom w:w="0" w:type="dxa"/>
          <w:right w:w="108" w:type="dxa"/>
        </w:tblCellMar>
      </w:tblPr>
      <w:tblGrid>
        <w:gridCol w:w="7088"/>
        <w:gridCol w:w="2409"/>
      </w:tblGrid>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Наименование расхода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Затраты (руб. )</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Основная заработная плата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val="en-US" w:eastAsia="ru-RU"/>
              </w:rPr>
            </w:pPr>
            <w:r>
              <w:rPr>
                <w:rFonts w:cs="Times New Roman"/>
                <w:sz w:val="24"/>
                <w:szCs w:val="24"/>
                <w:lang w:eastAsia="ru-RU"/>
              </w:rPr>
              <w:t>36 960</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Страховые отчисления (26% от ФЗП – фонда заработной платы)</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9 609, 6</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Содержание и эксплуатация вычислительного комплекса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252, 8</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Эксплуатация сервера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4 118, 4</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50 940, 8</w:t>
            </w:r>
          </w:p>
        </w:tc>
      </w:tr>
    </w:tbl>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r>
    </w:p>
    <w:p>
      <w:pPr>
        <w:pStyle w:val="Normal"/>
        <w:jc w:val="center"/>
        <w:rPr/>
      </w:pPr>
      <w:bookmarkStart w:id="304" w:name="__RefHeading___Toc22209_2829662935"/>
      <w:bookmarkEnd w:id="304"/>
      <w:r>
        <w:rPr>
          <w:b w:val="false"/>
          <w:color w:val="auto"/>
        </w:rPr>
        <w:t xml:space="preserve">5.3. </w:t>
      </w:r>
      <w:bookmarkStart w:id="305" w:name="_Toc515887004"/>
      <w:bookmarkStart w:id="306" w:name="_Toc484018867"/>
      <w:r>
        <w:rPr>
          <w:b w:val="false"/>
          <w:color w:val="auto"/>
        </w:rPr>
        <w:t>Экономический эффект</w:t>
      </w:r>
      <w:bookmarkEnd w:id="305"/>
      <w:bookmarkEnd w:id="306"/>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В день на функцию выбора поставщика в организации тратится 8 чел/час, при использовании разработанной информационной системы  трудозатраты сократятся в 2,5 раза и составят 3,2 чел/час.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Средняя тарифная ставка сотрудников отдела закупок – 150 руб/час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Рассчитаем стоимость труда вариантов с использованием информационной систем и без в таблице 5.3.</w:t>
      </w:r>
    </w:p>
    <w:p>
      <w:pPr>
        <w:pStyle w:val="Normal"/>
        <w:widowControl w:val="false"/>
        <w:spacing w:lineRule="auto" w:line="360" w:before="0" w:after="0"/>
        <w:ind w:firstLine="709"/>
        <w:jc w:val="right"/>
        <w:rPr>
          <w:rFonts w:ascii="Times New Roman" w:hAnsi="Times New Roman" w:cs="Times New Roman"/>
          <w:sz w:val="28"/>
          <w:szCs w:val="28"/>
        </w:rPr>
      </w:pPr>
      <w:r>
        <w:rPr>
          <w:rFonts w:cs="Times New Roman"/>
          <w:sz w:val="28"/>
          <w:szCs w:val="28"/>
        </w:rPr>
        <w:t>Таблица 5.3.</w:t>
      </w:r>
    </w:p>
    <w:p>
      <w:pPr>
        <w:pStyle w:val="Normal"/>
        <w:widowControl w:val="false"/>
        <w:spacing w:lineRule="auto" w:line="360" w:before="0" w:after="0"/>
        <w:ind w:firstLine="709"/>
        <w:jc w:val="center"/>
        <w:rPr>
          <w:rFonts w:ascii="Times New Roman" w:hAnsi="Times New Roman" w:cs="Times New Roman"/>
          <w:sz w:val="28"/>
          <w:szCs w:val="28"/>
        </w:rPr>
      </w:pPr>
      <w:r>
        <w:rPr>
          <w:rFonts w:cs="Times New Roman"/>
          <w:sz w:val="28"/>
          <w:szCs w:val="28"/>
        </w:rPr>
        <w:t>Сравнение трудозатрат</w:t>
      </w:r>
    </w:p>
    <w:tbl>
      <w:tblPr>
        <w:tblW w:w="9345" w:type="dxa"/>
        <w:jc w:val="left"/>
        <w:tblInd w:w="0" w:type="dxa"/>
        <w:tblLayout w:type="fixed"/>
        <w:tblCellMar>
          <w:top w:w="0" w:type="dxa"/>
          <w:left w:w="108" w:type="dxa"/>
          <w:bottom w:w="0" w:type="dxa"/>
          <w:right w:w="108" w:type="dxa"/>
        </w:tblCellMar>
      </w:tblPr>
      <w:tblGrid>
        <w:gridCol w:w="5201"/>
        <w:gridCol w:w="2160"/>
        <w:gridCol w:w="1984"/>
      </w:tblGrid>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Показатель</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До автоматизации</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После</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Трудозатраты на выбор поставщика, чел/час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8,0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3,2</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Тарифная ставка сотрудников, руб/час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сутки</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1200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960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год</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296 400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118 560</w:t>
            </w:r>
          </w:p>
        </w:tc>
      </w:tr>
    </w:tbl>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результате можно определения экономическую эффективность проекта: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Э = 296 400,00 - 118 560,00 = 177 840,00 рублей</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Pr>
          <w:rFonts w:cs="Times New Roman"/>
          <w:bCs/>
          <w:sz w:val="28"/>
          <w:szCs w:val="28"/>
        </w:rPr>
        <w:t>50 940</w:t>
      </w:r>
      <w:r>
        <w:rPr>
          <w:rFonts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pPr>
        <w:pStyle w:val="Normal"/>
        <w:tabs>
          <w:tab w:val="clear" w:pos="708"/>
          <w:tab w:val="left" w:pos="1470" w:leader="none"/>
        </w:tabs>
        <w:spacing w:lineRule="auto" w:line="360" w:before="0" w:after="0"/>
        <w:ind w:firstLine="709"/>
        <w:jc w:val="center"/>
        <w:rPr>
          <w:rFonts w:ascii="Times New Roman" w:hAnsi="Times New Roman" w:cs="Times New Roman"/>
          <w:sz w:val="28"/>
          <w:szCs w:val="28"/>
        </w:rPr>
      </w:pPr>
      <w:r>
        <w:rPr>
          <w:rFonts w:cs="Times New Roman"/>
          <w:bCs/>
          <w:sz w:val="28"/>
          <w:szCs w:val="28"/>
        </w:rPr>
        <w:t>50 940</w:t>
      </w:r>
      <w:r>
        <w:rPr>
          <w:rFonts w:cs="Times New Roman"/>
          <w:sz w:val="28"/>
          <w:szCs w:val="28"/>
        </w:rPr>
        <w:t xml:space="preserve"> / 177 840 = 0.3 года = 4 месяца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jc w:val="both"/>
        <w:rPr>
          <w:rFonts w:ascii="Times New Roman" w:hAnsi="Times New Roman" w:cs="Times New Roman"/>
          <w:sz w:val="28"/>
          <w:szCs w:val="28"/>
        </w:rPr>
      </w:pPr>
      <w:r>
        <w:rPr>
          <w:rFonts w:cs="Times New Roman"/>
          <w:sz w:val="28"/>
          <w:szCs w:val="28"/>
        </w:rPr>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07" w:name="__RefHeading___Toc22211_2829662935"/>
      <w:bookmarkStart w:id="308" w:name="_Toc515887005"/>
      <w:bookmarkEnd w:id="307"/>
      <w:r>
        <w:rPr>
          <w:b w:val="false"/>
          <w:color w:val="auto"/>
        </w:rPr>
        <w:t>Заключение</w:t>
      </w:r>
      <w:bookmarkEnd w:id="308"/>
    </w:p>
    <w:p>
      <w:pPr>
        <w:pStyle w:val="Normal"/>
        <w:spacing w:lineRule="auto" w:line="360" w:before="0" w:after="0"/>
        <w:ind w:firstLine="709"/>
        <w:jc w:val="both"/>
        <w:rPr>
          <w:rFonts w:ascii="Times New Roman" w:hAnsi="Times New Roman" w:cs="Times New Roman"/>
          <w:sz w:val="28"/>
          <w:szCs w:val="28"/>
        </w:rPr>
      </w:pPr>
      <w:r>
        <w:rPr>
          <w:rFonts w:eastAsia="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отдела закупок АО "РТК", разработано и внедрено проектное решение по автоматизации </w:t>
      </w:r>
      <w:bookmarkStart w:id="309" w:name="OLE_LINK199"/>
      <w:bookmarkStart w:id="310" w:name="OLE_LINK200"/>
      <w:r>
        <w:rPr>
          <w:sz w:val="28"/>
          <w:szCs w:val="28"/>
        </w:rPr>
        <w:t xml:space="preserve">процесса </w:t>
      </w:r>
      <w:bookmarkEnd w:id="309"/>
      <w:bookmarkEnd w:id="310"/>
      <w:r>
        <w:rPr>
          <w:sz w:val="28"/>
          <w:szCs w:val="28"/>
        </w:rPr>
        <w:t>оценки благонадёжности поставщиков.</w:t>
      </w:r>
    </w:p>
    <w:p>
      <w:pPr>
        <w:pStyle w:val="Normal"/>
        <w:spacing w:lineRule="auto" w:line="360" w:before="0" w:after="0"/>
        <w:ind w:firstLine="709"/>
        <w:jc w:val="both"/>
        <w:rPr/>
      </w:pPr>
      <w:r>
        <w:rPr>
          <w:rFonts w:cs="Times New Roman"/>
          <w:sz w:val="28"/>
          <w:szCs w:val="28"/>
        </w:rPr>
        <w:t xml:space="preserve">В первой главе выпускной квалификационной работы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Pr>
          <w:sz w:val="28"/>
          <w:szCs w:val="28"/>
        </w:rPr>
        <w:t>процесса оценки благонадёжности и выбора поставщиков</w:t>
      </w:r>
      <w:r>
        <w:rPr>
          <w:rFonts w:cs="Times New Roman"/>
          <w:sz w:val="28"/>
          <w:szCs w:val="28"/>
        </w:rPr>
        <w:t xml:space="preserve">. После того, как этот процесс был подробно изучен и описан с помощью модели потоков данных </w:t>
      </w:r>
      <w:r>
        <w:rPr>
          <w:rFonts w:cs="Times New Roman"/>
          <w:sz w:val="28"/>
          <w:szCs w:val="28"/>
          <w:lang w:val="en-US"/>
        </w:rPr>
        <w:t>IDEF</w:t>
      </w:r>
      <w:r>
        <w:rPr>
          <w:rFonts w:cs="Times New Roman"/>
          <w:sz w:val="28"/>
          <w:szCs w:val="28"/>
        </w:rPr>
        <w:t>0 в контексте «</w:t>
      </w:r>
      <w:r>
        <w:rPr>
          <w:rFonts w:cs="Times New Roman"/>
          <w:sz w:val="28"/>
          <w:szCs w:val="28"/>
          <w:lang w:val="en-US"/>
        </w:rPr>
        <w:t>AS</w:t>
      </w:r>
      <w:r>
        <w:rPr>
          <w:rFonts w:cs="Times New Roman"/>
          <w:sz w:val="28"/>
          <w:szCs w:val="28"/>
        </w:rPr>
        <w:t xml:space="preserve"> – </w:t>
      </w:r>
      <w:r>
        <w:rPr>
          <w:rFonts w:cs="Times New Roman"/>
          <w:sz w:val="28"/>
          <w:szCs w:val="28"/>
          <w:lang w:val="en-US"/>
        </w:rPr>
        <w:t>IS</w:t>
      </w:r>
      <w:r>
        <w:rPr>
          <w:rFonts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 и обоснован выбор платформы для разработки 1С Предприятие 8.3.</w:t>
      </w:r>
      <w:r>
        <w:rPr/>
        <w:t xml:space="preserve">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Во второй главе была построена инфологическая модель информационной системы, после чего построенная модель рассмотрена с точки зрения платформы 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после чего проведён процесс отладки и тестирования информационной системы. 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заключительной, третьей главе выпускной квалификационной работы оценивается экономическая эффективность инвестиций в ИТ-решение. 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Внедрение разработанной системы, несомненно, повысит эффективность труда сотрудников отдела закупок </w:t>
      </w:r>
      <w:r>
        <w:rPr>
          <w:rFonts w:eastAsia="Times New Roman" w:cs="Times New Roman"/>
          <w:sz w:val="28"/>
          <w:szCs w:val="28"/>
        </w:rPr>
        <w:t>АО "РТК"</w:t>
      </w:r>
      <w:r>
        <w:rPr>
          <w:rFonts w:cs="Times New Roman"/>
          <w:sz w:val="28"/>
          <w:szCs w:val="28"/>
        </w:rPr>
        <w:t>, поможет правильно оценить ситуацию и вовремя принять необходимые решения.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Таким образом, цели и задачи, поставленные перед написанием выпускной квалификационной работы, были успешно выполнены.</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11" w:name="__RefHeading___Toc22213_2829662935"/>
      <w:bookmarkStart w:id="312" w:name="_Toc515887006"/>
      <w:bookmarkEnd w:id="311"/>
      <w:r>
        <w:rPr>
          <w:b w:val="false"/>
          <w:color w:val="auto"/>
        </w:rPr>
        <w:t>Список литературы</w:t>
      </w:r>
      <w:bookmarkEnd w:id="312"/>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Литвинова А.А. – 72-е Дни науки студентов НИТУ "МИСиС"/ Интеллектуальный анализ в розничной торговле..-621-622 с. – 2017</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ГОСТ Р 51303-2013. Торговля. Термины и определения (с Изменением N 1).</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Громова, А. Ю. Оптовая и розничная торговля. Бухучет и налогообложение / А.Ю. Громова, И.Н. Пашкина, Е.А. Рыхлова. - М.: Дашков и Ко, 2012. - 272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Суслова Е.В. Интеллектуальные системы поддержки принятия решений // Молодой ученый. - 2017. - №3. - С. 171-174.</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Черемных, С.В. Моделирование и анализ систем. IDEF-технологии: практикум / С.В.Черемных [и др.]. – М.: Финансы и статистика, 2006. – 192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Лендри О торговле на колебаниях / Лендри, Дейв. - М.: Аналитика, 2016. - 248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Щур Д.Л., Основы торговли, оптовая торговля, издательство "Дело и Сервис", 2005;</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Аванесов Ю.А., Клочко А.Н., Васькин Е.В. Основы коммерции. -    М.: ТОО Люкс-арт, 2015. - 176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Информация о SAP Ariba - URL: https://www.ariba.com/ru-ru/about (дата обращения 12.05.2018).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iTender SRM - URL: http://itender-srm.ru/ (дата обращения 08.05.2018).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Delphi (язык программирования) // Википедия. Свободная энциклопедия – URL: https://ru.wikipedia.org/wiki/Delphi (дата обращения 08.05.2018).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Access – это что такое? Создание базы данных в Microsoft Access // FB.ru – URL: http://fb.ru/article/268269/access---eto-chto-takoe-sozdanie-bazyi-dannyih-v-microsoft-access (дата обращения 20.05.2018).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lang w:val="en-US"/>
        </w:rPr>
      </w:pPr>
      <w:r>
        <w:rPr>
          <w:rFonts w:eastAsia="Calibri" w:cs="Times New Roman"/>
          <w:color w:val="000000"/>
          <w:sz w:val="28"/>
          <w:szCs w:val="28"/>
          <w:lang w:val="en-US"/>
        </w:rPr>
        <w:t>Firebird 3 Developer's Guide released // Firebird – True Universal open source database – URL: http://www.firebirdsql.org/ (</w:t>
      </w:r>
      <w:r>
        <w:rPr>
          <w:rFonts w:eastAsia="Calibri" w:cs="Times New Roman"/>
          <w:color w:val="000000"/>
          <w:sz w:val="28"/>
          <w:szCs w:val="28"/>
        </w:rPr>
        <w:t>дата</w:t>
      </w:r>
      <w:r>
        <w:rPr>
          <w:rFonts w:eastAsia="Calibri" w:cs="Times New Roman"/>
          <w:color w:val="000000"/>
          <w:sz w:val="28"/>
          <w:szCs w:val="28"/>
          <w:lang w:val="en-US"/>
        </w:rPr>
        <w:t xml:space="preserve"> </w:t>
      </w:r>
      <w:r>
        <w:rPr>
          <w:rFonts w:eastAsia="Calibri" w:cs="Times New Roman"/>
          <w:color w:val="000000"/>
          <w:sz w:val="28"/>
          <w:szCs w:val="28"/>
        </w:rPr>
        <w:t>обращения</w:t>
      </w:r>
      <w:r>
        <w:rPr>
          <w:rFonts w:eastAsia="Calibri" w:cs="Times New Roman"/>
          <w:color w:val="000000"/>
          <w:sz w:val="28"/>
          <w:szCs w:val="28"/>
          <w:lang w:val="en-US"/>
        </w:rPr>
        <w:t xml:space="preserve"> 20.05.2018).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Обзор системы «1С: Предприятие 8» // 1C: Предприятие 8. Система программ – URL: http://v8.1c.ru/ (дата обращения 01.05.2018).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Баженова И.Ю. «Основы проектирования приложений баз данных», 2009</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1С: Предприятие 8.1. Разработка прикладных решений / С.М. Кашаев. –М.: Вильямс, 2009. –368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Программирование в 1С: Предприятие 8.3/ С.М. Кашаев. – Санкт-Петербург: Питер, 2014. – 304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Фаулер, М. Архитектура корпоративных программных приложений / М. Фаулер. – М.: Издательский дом «Вильямс», 2004. – 544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Румянцева, Е.Л. Информационные технологии: Учебное пособие / Е.Л. Румянцева, В.В. Слюсарь; Под ред. Л.Г. Гагарина. –  М.: ИД ФОРУМ, НИЦ ИНФРА-М, 2013. – 256 c.</w:t>
      </w:r>
    </w:p>
    <w:sectPr>
      <w:footerReference w:type="even" r:id="rId27"/>
      <w:footerReference w:type="default" r:id="rId28"/>
      <w:footerReference w:type="first" r:id="rId29"/>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ambria">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Noto Sans">
    <w:charset w:val="cc"/>
    <w:family w:val="roman"/>
    <w:pitch w:val="variable"/>
  </w:font>
  <w:font w:name="Symbol">
    <w:charset w:val="cc"/>
    <w:family w:val="roman"/>
    <w:pitch w:val="variable"/>
  </w:font>
  <w:font w:name="Wingdings">
    <w:charset w:val="cc"/>
    <w:family w:val="roman"/>
    <w:pitch w:val="variable"/>
  </w:font>
  <w:font w:name="Courier New">
    <w:charset w:val="cc"/>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12" w:hanging="360"/>
      </w:pPr>
      <w:rPr>
        <w:rFonts w:ascii="Symbol" w:hAnsi="Symbol" w:cs="Symbol" w:hint="default"/>
      </w:rPr>
    </w:lvl>
    <w:lvl w:ilvl="1">
      <w:start w:val="1"/>
      <w:numFmt w:val="bullet"/>
      <w:lvlText w:val="o"/>
      <w:lvlJc w:val="left"/>
      <w:pPr>
        <w:tabs>
          <w:tab w:val="num" w:pos="0"/>
        </w:tabs>
        <w:ind w:left="2432" w:hanging="360"/>
      </w:pPr>
      <w:rPr>
        <w:rFonts w:ascii="Courier New" w:hAnsi="Courier New" w:cs="Courier New" w:hint="default"/>
      </w:rPr>
    </w:lvl>
    <w:lvl w:ilvl="2">
      <w:start w:val="1"/>
      <w:numFmt w:val="bullet"/>
      <w:lvlText w:val=""/>
      <w:lvlJc w:val="left"/>
      <w:pPr>
        <w:tabs>
          <w:tab w:val="num" w:pos="0"/>
        </w:tabs>
        <w:ind w:left="3152" w:hanging="360"/>
      </w:pPr>
      <w:rPr>
        <w:rFonts w:ascii="Wingdings" w:hAnsi="Wingdings" w:cs="Wingdings" w:hint="default"/>
      </w:rPr>
    </w:lvl>
    <w:lvl w:ilvl="3">
      <w:start w:val="1"/>
      <w:numFmt w:val="bullet"/>
      <w:lvlText w:val=""/>
      <w:lvlJc w:val="left"/>
      <w:pPr>
        <w:tabs>
          <w:tab w:val="num" w:pos="0"/>
        </w:tabs>
        <w:ind w:left="3872" w:hanging="360"/>
      </w:pPr>
      <w:rPr>
        <w:rFonts w:ascii="Symbol" w:hAnsi="Symbol" w:cs="Symbol" w:hint="default"/>
      </w:rPr>
    </w:lvl>
    <w:lvl w:ilvl="4">
      <w:start w:val="1"/>
      <w:numFmt w:val="bullet"/>
      <w:lvlText w:val="o"/>
      <w:lvlJc w:val="left"/>
      <w:pPr>
        <w:tabs>
          <w:tab w:val="num" w:pos="0"/>
        </w:tabs>
        <w:ind w:left="4592" w:hanging="360"/>
      </w:pPr>
      <w:rPr>
        <w:rFonts w:ascii="Courier New" w:hAnsi="Courier New" w:cs="Courier New" w:hint="default"/>
      </w:rPr>
    </w:lvl>
    <w:lvl w:ilvl="5">
      <w:start w:val="1"/>
      <w:numFmt w:val="bullet"/>
      <w:lvlText w:val=""/>
      <w:lvlJc w:val="left"/>
      <w:pPr>
        <w:tabs>
          <w:tab w:val="num" w:pos="0"/>
        </w:tabs>
        <w:ind w:left="5312" w:hanging="360"/>
      </w:pPr>
      <w:rPr>
        <w:rFonts w:ascii="Wingdings" w:hAnsi="Wingdings" w:cs="Wingdings" w:hint="default"/>
      </w:rPr>
    </w:lvl>
    <w:lvl w:ilvl="6">
      <w:start w:val="1"/>
      <w:numFmt w:val="bullet"/>
      <w:lvlText w:val=""/>
      <w:lvlJc w:val="left"/>
      <w:pPr>
        <w:tabs>
          <w:tab w:val="num" w:pos="0"/>
        </w:tabs>
        <w:ind w:left="6032" w:hanging="360"/>
      </w:pPr>
      <w:rPr>
        <w:rFonts w:ascii="Symbol" w:hAnsi="Symbol" w:cs="Symbol" w:hint="default"/>
      </w:rPr>
    </w:lvl>
    <w:lvl w:ilvl="7">
      <w:start w:val="1"/>
      <w:numFmt w:val="bullet"/>
      <w:lvlText w:val="o"/>
      <w:lvlJc w:val="left"/>
      <w:pPr>
        <w:tabs>
          <w:tab w:val="num" w:pos="0"/>
        </w:tabs>
        <w:ind w:left="6752" w:hanging="360"/>
      </w:pPr>
      <w:rPr>
        <w:rFonts w:ascii="Courier New" w:hAnsi="Courier New" w:cs="Courier New" w:hint="default"/>
      </w:rPr>
    </w:lvl>
    <w:lvl w:ilvl="8">
      <w:start w:val="1"/>
      <w:numFmt w:val="bullet"/>
      <w:lvlText w:val=""/>
      <w:lvlJc w:val="left"/>
      <w:pPr>
        <w:tabs>
          <w:tab w:val="num" w:pos="0"/>
        </w:tabs>
        <w:ind w:left="7472" w:hanging="360"/>
      </w:pPr>
      <w:rPr>
        <w:rFonts w:ascii="Wingdings" w:hAnsi="Wingdings" w:cs="Wingdings" w:hint="default"/>
      </w:rPr>
    </w:lvl>
  </w:abstractNum>
  <w:abstractNum w:abstractNumId="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3"/>
      <w:numFmt w:val="decimal"/>
      <w:lvlText w:val="%1"/>
      <w:lvlJc w:val="left"/>
      <w:pPr>
        <w:tabs>
          <w:tab w:val="num" w:pos="0"/>
        </w:tabs>
        <w:ind w:left="375" w:hanging="375"/>
      </w:pPr>
      <w:rPr/>
    </w:lvl>
    <w:lvl w:ilvl="1">
      <w:start w:val="1"/>
      <w:numFmt w:val="decimal"/>
      <w:lvlText w:val="%1.%2"/>
      <w:lvlJc w:val="left"/>
      <w:pPr>
        <w:tabs>
          <w:tab w:val="num" w:pos="0"/>
        </w:tabs>
        <w:ind w:left="735" w:hanging="375"/>
      </w:pPr>
      <w:rPr/>
    </w:lvl>
    <w:lvl w:ilvl="2">
      <w:start w:val="1"/>
      <w:numFmt w:val="decimal"/>
      <w:lvlText w:val="%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5">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
    <w:lvl w:ilvl="0">
      <w:start w:val="2"/>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8">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9">
    <w:lvl w:ilvl="0">
      <w:start w:val="1"/>
      <w:numFmt w:val="decimal"/>
      <w:lvlText w:val="%1."/>
      <w:lvlJc w:val="left"/>
      <w:pPr>
        <w:tabs>
          <w:tab w:val="num" w:pos="0"/>
        </w:tabs>
        <w:ind w:left="450" w:hanging="450"/>
      </w:pPr>
      <w:rPr/>
    </w:lvl>
    <w:lvl w:ilvl="1">
      <w:start w:val="3"/>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10">
    <w:lvl w:ilvl="0">
      <w:start w:val="1"/>
      <w:numFmt w:val="decimal"/>
      <w:lvlText w:val="%1."/>
      <w:lvlJc w:val="left"/>
      <w:pPr>
        <w:tabs>
          <w:tab w:val="num" w:pos="0"/>
        </w:tabs>
        <w:ind w:left="450" w:hanging="450"/>
      </w:pPr>
      <w:rPr/>
    </w:lvl>
    <w:lvl w:ilvl="1">
      <w:start w:val="5"/>
      <w:numFmt w:val="decimal"/>
      <w:lvlText w:val="%1.%2."/>
      <w:lvlJc w:val="left"/>
      <w:pPr>
        <w:tabs>
          <w:tab w:val="num" w:pos="0"/>
        </w:tabs>
        <w:ind w:left="1170" w:hanging="720"/>
      </w:pPr>
      <w:rPr/>
    </w:lvl>
    <w:lvl w:ilvl="2">
      <w:start w:val="1"/>
      <w:numFmt w:val="decimal"/>
      <w:lvlText w:val="%1.%2.%3."/>
      <w:lvlJc w:val="left"/>
      <w:pPr>
        <w:tabs>
          <w:tab w:val="num" w:pos="0"/>
        </w:tabs>
        <w:ind w:left="1620" w:hanging="720"/>
      </w:pPr>
      <w:rPr/>
    </w:lvl>
    <w:lvl w:ilvl="3">
      <w:start w:val="1"/>
      <w:numFmt w:val="decimal"/>
      <w:lvlText w:val="%1.%2.%3.%4."/>
      <w:lvlJc w:val="left"/>
      <w:pPr>
        <w:tabs>
          <w:tab w:val="num" w:pos="0"/>
        </w:tabs>
        <w:ind w:left="243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90" w:hanging="1440"/>
      </w:pPr>
      <w:rPr/>
    </w:lvl>
    <w:lvl w:ilvl="6">
      <w:start w:val="1"/>
      <w:numFmt w:val="decimal"/>
      <w:lvlText w:val="%1.%2.%3.%4.%5.%6.%7."/>
      <w:lvlJc w:val="left"/>
      <w:pPr>
        <w:tabs>
          <w:tab w:val="num" w:pos="0"/>
        </w:tabs>
        <w:ind w:left="4500" w:hanging="1800"/>
      </w:pPr>
      <w:rPr/>
    </w:lvl>
    <w:lvl w:ilvl="7">
      <w:start w:val="1"/>
      <w:numFmt w:val="decimal"/>
      <w:lvlText w:val="%1.%2.%3.%4.%5.%6.%7.%8."/>
      <w:lvlJc w:val="left"/>
      <w:pPr>
        <w:tabs>
          <w:tab w:val="num" w:pos="0"/>
        </w:tabs>
        <w:ind w:left="4950" w:hanging="1800"/>
      </w:pPr>
      <w:rPr/>
    </w:lvl>
    <w:lvl w:ilvl="8">
      <w:start w:val="1"/>
      <w:numFmt w:val="decimal"/>
      <w:lvlText w:val="%1.%2.%3.%4.%5.%6.%7.%8.%9."/>
      <w:lvlJc w:val="left"/>
      <w:pPr>
        <w:tabs>
          <w:tab w:val="num" w:pos="0"/>
        </w:tabs>
        <w:ind w:left="5760" w:hanging="2160"/>
      </w:pPr>
      <w:rPr/>
    </w:lvl>
  </w:abstractNum>
  <w:abstractNum w:abstractNumId="11">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ru-RU"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160"/>
      <w:jc w:val="both"/>
    </w:pPr>
    <w:rPr>
      <w:rFonts w:ascii="Times New Roman" w:hAnsi="Times New Roman" w:eastAsia="Calibri" w:cs="Tahoma"/>
      <w:color w:val="auto"/>
      <w:kern w:val="0"/>
      <w:sz w:val="28"/>
      <w:szCs w:val="22"/>
      <w:lang w:val="ru-RU" w:eastAsia="en-US" w:bidi="ar-SA"/>
    </w:rPr>
  </w:style>
  <w:style w:type="paragraph" w:styleId="Heading1">
    <w:name w:val="Heading 1"/>
    <w:basedOn w:val="Normal"/>
    <w:next w:val="Normal"/>
    <w:link w:val="1"/>
    <w:qFormat/>
    <w:pPr>
      <w:keepNext w:val="true"/>
      <w:keepLines/>
      <w:numPr>
        <w:ilvl w:val="0"/>
        <w:numId w:val="0"/>
      </w:numPr>
      <w:spacing w:lineRule="auto" w:line="360" w:before="480" w:after="0"/>
      <w:jc w:val="center"/>
      <w:outlineLvl w:val="0"/>
    </w:pPr>
    <w:rPr>
      <w:rFonts w:ascii="Times New Roman" w:hAnsi="Times New Roman" w:eastAsia="Calibri" w:cs="Times New Roman"/>
      <w:b w:val="false"/>
      <w:bCs/>
      <w:color w:val="000000"/>
      <w:sz w:val="28"/>
      <w:szCs w:val="28"/>
    </w:rPr>
  </w:style>
  <w:style w:type="paragraph" w:styleId="Heading2">
    <w:name w:val="Heading 2"/>
    <w:basedOn w:val="Normal"/>
    <w:next w:val="Normal"/>
    <w:link w:val="2"/>
    <w:qFormat/>
    <w:pPr>
      <w:keepNext w:val="true"/>
      <w:keepLines/>
      <w:numPr>
        <w:ilvl w:val="0"/>
        <w:numId w:val="0"/>
      </w:numPr>
      <w:spacing w:before="40" w:after="0"/>
      <w:outlineLvl w:val="1"/>
    </w:pPr>
    <w:rPr>
      <w:rFonts w:ascii="Calibri Light" w:hAnsi="Calibri Light" w:eastAsia="Calibri" w:cs="Tahoma"/>
      <w:color w:themeColor="accent1" w:themeShade="bf" w:val="2F5496"/>
      <w:sz w:val="26"/>
      <w:szCs w:val="26"/>
    </w:rPr>
  </w:style>
  <w:style w:type="character" w:styleId="DefaultParagraphFont">
    <w:name w:val="Default Paragraph Font"/>
    <w:qFormat/>
    <w:rPr/>
  </w:style>
  <w:style w:type="character" w:styleId="1">
    <w:name w:val="Заголовок 1 Знак"/>
    <w:basedOn w:val="DefaultParagraphFont"/>
    <w:qFormat/>
    <w:rPr>
      <w:rFonts w:ascii="Cambria" w:hAnsi="Cambria" w:eastAsia="Calibri" w:cs="Times New Roman"/>
      <w:b/>
      <w:bCs/>
      <w:color w:val="365F91"/>
      <w:sz w:val="28"/>
      <w:szCs w:val="28"/>
    </w:rPr>
  </w:style>
  <w:style w:type="character" w:styleId="Style12">
    <w:name w:val="Абзац списка Знак"/>
    <w:link w:val="ListParagraph"/>
    <w:qFormat/>
    <w:rPr/>
  </w:style>
  <w:style w:type="character" w:styleId="InternetLink">
    <w:name w:val="Internet Link"/>
    <w:basedOn w:val="DefaultParagraphFont"/>
    <w:qFormat/>
    <w:rPr>
      <w:color w:themeColor="hyperlink" w:val="0563C1"/>
      <w:u w:val="single"/>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rPr>
  </w:style>
  <w:style w:type="character" w:styleId="Style13">
    <w:name w:val="Обычный (Интернет) Знак"/>
    <w:link w:val="NormalWeb"/>
    <w:qFormat/>
    <w:rPr>
      <w:rFonts w:ascii="Times New Roman" w:hAnsi="Times New Roman" w:eastAsia="Times New Roman" w:cs="Times New Roman"/>
      <w:sz w:val="24"/>
      <w:szCs w:val="24"/>
      <w:lang w:eastAsia="ru-RU"/>
    </w:rPr>
  </w:style>
  <w:style w:type="character" w:styleId="apple-converted-space">
    <w:name w:val="apple-converted-space"/>
    <w:qFormat/>
    <w:rPr>
      <w:rFonts w:cs="Times New Roman"/>
    </w:rPr>
  </w:style>
  <w:style w:type="character" w:styleId="Style14">
    <w:name w:val="Верхний колонтитул Знак"/>
    <w:basedOn w:val="DefaultParagraphFont"/>
    <w:qFormat/>
    <w:rPr/>
  </w:style>
  <w:style w:type="character" w:styleId="Style15">
    <w:name w:val="Нижний колонтитул Знак"/>
    <w:basedOn w:val="DefaultParagraphFont"/>
    <w:qFormat/>
    <w:rPr/>
  </w:style>
  <w:style w:type="character" w:styleId="InternetLink1">
    <w:name w:val="Internet Link1"/>
    <w:qFormat/>
    <w:rPr>
      <w:color w:val="000080"/>
      <w:u w:val="single"/>
    </w:rPr>
  </w:style>
  <w:style w:type="character" w:styleId="Style16">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InternetLink7">
    <w:name w:val="Internet Link7"/>
    <w:qFormat/>
    <w:rPr>
      <w:color w:val="000080"/>
      <w:u w:val="single"/>
    </w:rPr>
  </w:style>
  <w:style w:type="character" w:styleId="InternetLink8">
    <w:name w:val="Internet Link8"/>
    <w:qFormat/>
    <w:rPr>
      <w:color w:val="000080"/>
      <w:u w:val="single"/>
    </w:rPr>
  </w:style>
  <w:style w:type="character" w:styleId="InternetLink9">
    <w:name w:val="Internet Link9"/>
    <w:qFormat/>
    <w:rPr>
      <w:color w:val="000080"/>
      <w:u w:val="single"/>
    </w:rPr>
  </w:style>
  <w:style w:type="character" w:styleId="Hyperlink">
    <w:name w:val="Hyperlink"/>
    <w:rPr>
      <w:color w:val="000080"/>
      <w:u w:val="single"/>
    </w:rPr>
  </w:style>
  <w:style w:type="paragraph" w:styleId="Style1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20">
    <w:name w:val="Указатель"/>
    <w:basedOn w:val="Normal"/>
    <w:qFormat/>
    <w:pPr>
      <w:suppressLineNumbers/>
    </w:pPr>
    <w:rPr>
      <w:rFonts w:cs="Arial"/>
    </w:rPr>
  </w:style>
  <w:style w:type="paragraph" w:styleId="ListParagraph">
    <w:name w:val="List Paragraph"/>
    <w:basedOn w:val="Normal"/>
    <w:link w:val="Style12"/>
    <w:qFormat/>
    <w:pPr>
      <w:spacing w:before="0" w:after="160"/>
      <w:ind w:left="720"/>
      <w:contextualSpacing/>
    </w:pPr>
    <w:rPr/>
  </w:style>
  <w:style w:type="paragraph" w:styleId="3">
    <w:name w:val="заголовок 3"/>
    <w:basedOn w:val="Normal"/>
    <w:next w:val="Normal"/>
    <w:qFormat/>
    <w:pPr>
      <w:keepNext w:val="true"/>
      <w:widowControl w:val="false"/>
      <w:spacing w:lineRule="auto" w:line="240" w:before="0" w:after="0"/>
      <w:ind w:firstLine="567"/>
      <w:jc w:val="center"/>
    </w:pPr>
    <w:rPr>
      <w:rFonts w:ascii="Times New Roman" w:hAnsi="Times New Roman" w:eastAsia="Times New Roman" w:cs="Times New Roman"/>
      <w:b/>
      <w:bCs/>
      <w:sz w:val="28"/>
      <w:szCs w:val="28"/>
      <w:lang w:eastAsia="ru-RU"/>
    </w:rPr>
  </w:style>
  <w:style w:type="paragraph" w:styleId="IndexHeading">
    <w:name w:val="Index Heading"/>
    <w:basedOn w:val="Style19"/>
    <w:pPr/>
    <w:rPr/>
  </w:style>
  <w:style w:type="paragraph" w:styleId="TOCHeading">
    <w:name w:val="TOC Heading"/>
    <w:basedOn w:val="Heading1"/>
    <w:next w:val="Normal"/>
    <w:qFormat/>
    <w:pPr>
      <w:spacing w:lineRule="auto" w:line="259" w:before="240" w:after="0"/>
      <w:jc w:val="center"/>
      <w:outlineLvl w:val="9"/>
    </w:pPr>
    <w:rPr>
      <w:rFonts w:ascii="Times New Roman" w:hAnsi="Times New Roman" w:cs="Tahoma"/>
      <w:b w:val="false"/>
      <w:bCs w:val="false"/>
      <w:color w:val="000000"/>
      <w:sz w:val="28"/>
      <w:szCs w:val="32"/>
      <w:lang w:eastAsia="ru-RU"/>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NormalWeb">
    <w:name w:val="Normal (Web)"/>
    <w:basedOn w:val="Normal"/>
    <w:link w:val="Style13"/>
    <w:qFormat/>
    <w:pPr>
      <w:spacing w:lineRule="auto" w:line="240" w:before="280" w:after="280"/>
    </w:pPr>
    <w:rPr>
      <w:rFonts w:ascii="Times New Roman" w:hAnsi="Times New Roman" w:eastAsia="Times New Roman" w:cs="Times New Roman"/>
      <w:sz w:val="24"/>
      <w:szCs w:val="24"/>
      <w:lang w:eastAsia="ru-RU"/>
    </w:rPr>
  </w:style>
  <w:style w:type="paragraph" w:styleId="Style21">
    <w:name w:val="Колонтитул"/>
    <w:basedOn w:val="Normal"/>
    <w:qFormat/>
    <w:pPr/>
    <w:rPr/>
  </w:style>
  <w:style w:type="paragraph" w:styleId="Header">
    <w:name w:val="Header"/>
    <w:basedOn w:val="Normal"/>
    <w:link w:val="Style14"/>
    <w:pPr>
      <w:tabs>
        <w:tab w:val="clear" w:pos="708"/>
        <w:tab w:val="center" w:pos="4677" w:leader="none"/>
        <w:tab w:val="right" w:pos="9355" w:leader="none"/>
      </w:tabs>
      <w:spacing w:lineRule="auto" w:line="240" w:before="0" w:after="0"/>
    </w:pPr>
    <w:rPr/>
  </w:style>
  <w:style w:type="paragraph" w:styleId="Footer">
    <w:name w:val="Footer"/>
    <w:basedOn w:val="Normal"/>
    <w:link w:val="Style15"/>
    <w:pPr>
      <w:tabs>
        <w:tab w:val="clear" w:pos="708"/>
        <w:tab w:val="center" w:pos="4677" w:leader="none"/>
        <w:tab w:val="right" w:pos="9355" w:leader="none"/>
      </w:tabs>
      <w:spacing w:lineRule="auto" w:line="240" w:before="0" w:after="0"/>
    </w:pPr>
    <w:rPr/>
  </w:style>
  <w:style w:type="paragraph" w:styleId="Style22">
    <w:name w:val="Содержимое таблицы"/>
    <w:basedOn w:val="Normal"/>
    <w:qFormat/>
    <w:pPr>
      <w:widowControl w:val="false"/>
      <w:suppressLineNumbers/>
    </w:pPr>
    <w:rPr/>
  </w:style>
  <w:style w:type="paragraph" w:styleId="Style23">
    <w:name w:val="Объект без заливки"/>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Style24">
    <w:name w:val="Объект без заливки и линий"/>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A4">
    <w:name w:val="A4"/>
    <w:basedOn w:val="Style25"/>
    <w:qFormat/>
    <w:pPr/>
    <w:rPr>
      <w:rFonts w:ascii="Noto Sans" w:hAnsi="Noto Sans"/>
      <w:sz w:val="36"/>
    </w:rPr>
  </w:style>
  <w:style w:type="paragraph" w:styleId="Style25">
    <w:name w:val="Текст"/>
    <w:basedOn w:val="Caption"/>
    <w:qFormat/>
    <w:pPr/>
    <w:rPr/>
  </w:style>
  <w:style w:type="paragraph" w:styleId="4">
    <w:name w:val="Заглавие А4"/>
    <w:basedOn w:val="A4"/>
    <w:qFormat/>
    <w:pPr/>
    <w:rPr>
      <w:rFonts w:ascii="Noto Sans" w:hAnsi="Noto Sans"/>
      <w:sz w:val="88"/>
    </w:rPr>
  </w:style>
  <w:style w:type="paragraph" w:styleId="41">
    <w:name w:val="Заголовок А4"/>
    <w:basedOn w:val="A4"/>
    <w:qFormat/>
    <w:pPr/>
    <w:rPr>
      <w:rFonts w:ascii="Noto Sans" w:hAnsi="Noto Sans"/>
      <w:sz w:val="48"/>
    </w:rPr>
  </w:style>
  <w:style w:type="paragraph" w:styleId="42">
    <w:name w:val="Текст А4"/>
    <w:basedOn w:val="A4"/>
    <w:qFormat/>
    <w:pPr/>
    <w:rPr>
      <w:rFonts w:ascii="Noto Sans" w:hAnsi="Noto Sans"/>
      <w:sz w:val="36"/>
    </w:rPr>
  </w:style>
  <w:style w:type="paragraph" w:styleId="A0">
    <w:name w:val="A0"/>
    <w:basedOn w:val="Style25"/>
    <w:qFormat/>
    <w:pPr/>
    <w:rPr>
      <w:rFonts w:ascii="Noto Sans" w:hAnsi="Noto Sans"/>
      <w:sz w:val="96"/>
    </w:rPr>
  </w:style>
  <w:style w:type="paragraph" w:styleId="0">
    <w:name w:val="Заглавие А0"/>
    <w:basedOn w:val="A0"/>
    <w:qFormat/>
    <w:pPr/>
    <w:rPr>
      <w:rFonts w:ascii="Noto Sans" w:hAnsi="Noto Sans"/>
      <w:sz w:val="192"/>
    </w:rPr>
  </w:style>
  <w:style w:type="paragraph" w:styleId="01">
    <w:name w:val="Заголовок А0"/>
    <w:basedOn w:val="A0"/>
    <w:qFormat/>
    <w:pPr/>
    <w:rPr>
      <w:rFonts w:ascii="Noto Sans" w:hAnsi="Noto Sans"/>
      <w:sz w:val="143"/>
    </w:rPr>
  </w:style>
  <w:style w:type="paragraph" w:styleId="02">
    <w:name w:val="Текст А0"/>
    <w:basedOn w:val="A0"/>
    <w:qFormat/>
    <w:pPr/>
    <w:rPr>
      <w:rFonts w:ascii="Noto Sans" w:hAnsi="Noto Sans"/>
      <w:sz w:val="96"/>
    </w:rPr>
  </w:style>
  <w:style w:type="paragraph" w:styleId="Style26">
    <w:name w:val="Графика"/>
    <w:qFormat/>
    <w:pPr>
      <w:widowControl w:val="false"/>
      <w:suppressAutoHyphens w:val="true"/>
      <w:overflowPunct w:val="true"/>
      <w:bidi w:val="0"/>
      <w:spacing w:before="0" w:after="0"/>
      <w:jc w:val="left"/>
    </w:pPr>
    <w:rPr>
      <w:rFonts w:ascii="Liberation Sans" w:hAnsi="Liberation Sans" w:eastAsia="Tahoma" w:cs="Calibri"/>
      <w:color w:val="auto"/>
      <w:kern w:val="0"/>
      <w:sz w:val="36"/>
      <w:szCs w:val="24"/>
      <w:lang w:val="ru-RU" w:eastAsia="en-US" w:bidi="ar-SA"/>
    </w:rPr>
  </w:style>
  <w:style w:type="paragraph" w:styleId="Style27">
    <w:name w:val="Фигуры"/>
    <w:basedOn w:val="Style26"/>
    <w:qFormat/>
    <w:pPr/>
    <w:rPr>
      <w:rFonts w:ascii="Liberation Sans" w:hAnsi="Liberation Sans"/>
      <w:b/>
      <w:sz w:val="28"/>
    </w:rPr>
  </w:style>
  <w:style w:type="paragraph" w:styleId="Style28">
    <w:name w:val="Заливка"/>
    <w:basedOn w:val="Style27"/>
    <w:qFormat/>
    <w:pPr/>
    <w:rPr>
      <w:rFonts w:ascii="Liberation Sans" w:hAnsi="Liberation Sans"/>
      <w:b/>
      <w:sz w:val="28"/>
    </w:rPr>
  </w:style>
  <w:style w:type="paragraph" w:styleId="Style29">
    <w:name w:val="Заливка синим"/>
    <w:basedOn w:val="Style28"/>
    <w:qFormat/>
    <w:pPr/>
    <w:rPr>
      <w:rFonts w:ascii="Liberation Sans" w:hAnsi="Liberation Sans"/>
      <w:b/>
      <w:color w:val="FFFFFF"/>
      <w:sz w:val="28"/>
    </w:rPr>
  </w:style>
  <w:style w:type="paragraph" w:styleId="Style30">
    <w:name w:val="Заливка зелёным"/>
    <w:basedOn w:val="Style28"/>
    <w:qFormat/>
    <w:pPr/>
    <w:rPr>
      <w:rFonts w:ascii="Liberation Sans" w:hAnsi="Liberation Sans"/>
      <w:b/>
      <w:color w:val="FFFFFF"/>
      <w:sz w:val="28"/>
    </w:rPr>
  </w:style>
  <w:style w:type="paragraph" w:styleId="Style31">
    <w:name w:val="Заливка красным"/>
    <w:basedOn w:val="Style28"/>
    <w:qFormat/>
    <w:pPr/>
    <w:rPr>
      <w:rFonts w:ascii="Liberation Sans" w:hAnsi="Liberation Sans"/>
      <w:b/>
      <w:color w:val="FFFFFF"/>
      <w:sz w:val="28"/>
    </w:rPr>
  </w:style>
  <w:style w:type="paragraph" w:styleId="Style32">
    <w:name w:val="Заливка жёлтым"/>
    <w:basedOn w:val="Style28"/>
    <w:qFormat/>
    <w:pPr/>
    <w:rPr>
      <w:rFonts w:ascii="Liberation Sans" w:hAnsi="Liberation Sans"/>
      <w:b/>
      <w:color w:val="FFFFFF"/>
      <w:sz w:val="28"/>
    </w:rPr>
  </w:style>
  <w:style w:type="paragraph" w:styleId="Style33">
    <w:name w:val="Контур"/>
    <w:basedOn w:val="Style27"/>
    <w:qFormat/>
    <w:pPr/>
    <w:rPr>
      <w:rFonts w:ascii="Liberation Sans" w:hAnsi="Liberation Sans"/>
      <w:b/>
      <w:sz w:val="28"/>
    </w:rPr>
  </w:style>
  <w:style w:type="paragraph" w:styleId="Style34">
    <w:name w:val="Контур синий"/>
    <w:basedOn w:val="Style33"/>
    <w:qFormat/>
    <w:pPr/>
    <w:rPr>
      <w:rFonts w:ascii="Liberation Sans" w:hAnsi="Liberation Sans"/>
      <w:b/>
      <w:color w:val="355269"/>
      <w:sz w:val="28"/>
    </w:rPr>
  </w:style>
  <w:style w:type="paragraph" w:styleId="Style35">
    <w:name w:val="Контур зелёный"/>
    <w:basedOn w:val="Style33"/>
    <w:qFormat/>
    <w:pPr/>
    <w:rPr>
      <w:rFonts w:ascii="Liberation Sans" w:hAnsi="Liberation Sans"/>
      <w:b/>
      <w:color w:val="127622"/>
      <w:sz w:val="28"/>
    </w:rPr>
  </w:style>
  <w:style w:type="paragraph" w:styleId="Style36">
    <w:name w:val="Контур красный"/>
    <w:basedOn w:val="Style33"/>
    <w:qFormat/>
    <w:pPr/>
    <w:rPr>
      <w:rFonts w:ascii="Liberation Sans" w:hAnsi="Liberation Sans"/>
      <w:b/>
      <w:color w:val="C9211E"/>
      <w:sz w:val="28"/>
    </w:rPr>
  </w:style>
  <w:style w:type="paragraph" w:styleId="Style37">
    <w:name w:val="Контур жёлтый"/>
    <w:basedOn w:val="Style33"/>
    <w:qFormat/>
    <w:pPr/>
    <w:rPr>
      <w:rFonts w:ascii="Liberation Sans" w:hAnsi="Liberation Sans"/>
      <w:b/>
      <w:color w:val="B47804"/>
      <w:sz w:val="28"/>
    </w:rPr>
  </w:style>
  <w:style w:type="paragraph" w:styleId="Style38">
    <w:name w:val="Линии"/>
    <w:basedOn w:val="Style26"/>
    <w:qFormat/>
    <w:pPr/>
    <w:rPr>
      <w:rFonts w:ascii="Liberation Sans" w:hAnsi="Liberation Sans"/>
      <w:sz w:val="36"/>
    </w:rPr>
  </w:style>
  <w:style w:type="paragraph" w:styleId="Style39">
    <w:name w:val="Стрелки"/>
    <w:basedOn w:val="Style38"/>
    <w:qFormat/>
    <w:pPr/>
    <w:rPr>
      <w:rFonts w:ascii="Liberation Sans" w:hAnsi="Liberation Sans"/>
      <w:sz w:val="36"/>
    </w:rPr>
  </w:style>
  <w:style w:type="paragraph" w:styleId="Style40">
    <w:name w:val="Штриховая линия"/>
    <w:basedOn w:val="Style38"/>
    <w:qFormat/>
    <w:pPr/>
    <w:rPr>
      <w:rFonts w:ascii="Liberation Sans" w:hAnsi="Liberation Sans"/>
      <w:sz w:val="36"/>
    </w:rPr>
  </w:style>
  <w:style w:type="paragraph" w:styleId="LTGliederung1">
    <w:name w:val="Титульный слайд~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
    <w:name w:val="Титульный слайд~LT~Gliederung 2"/>
    <w:basedOn w:val="LTGliederung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
    <w:name w:val="Титульный слайд~LT~Gliederung 3"/>
    <w:basedOn w:val="LTGliederung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
    <w:name w:val="Титульный слайд~LT~Gliederung 4"/>
    <w:basedOn w:val="LTGliederung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
    <w:name w:val="Титульный слайд~LT~Gliederung 5"/>
    <w:basedOn w:val="LTGliederung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
    <w:name w:val="Титульный слайд~LT~Gliederung 6"/>
    <w:basedOn w:val="LTGliederung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
    <w:name w:val="Титульный слайд~LT~Gliederung 7"/>
    <w:basedOn w:val="LTGliederung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
    <w:name w:val="Титульный слайд~LT~Gliederung 8"/>
    <w:basedOn w:val="LTGliederung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
    <w:name w:val="Титульный слайд~LT~Gliederung 9"/>
    <w:basedOn w:val="LTGliederung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
    <w:name w:val="Титульный слайд~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
    <w:name w:val="Титульный слайд~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
    <w:name w:val="Титульный слайд~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
    <w:name w:val="Титульный слайд~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
    <w:name w:val="Титульный слайд~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default">
    <w:name w:val="default"/>
    <w:qFormat/>
    <w:pPr>
      <w:widowControl w:val="false"/>
      <w:suppressAutoHyphens w:val="true"/>
      <w:overflowPunct w:val="true"/>
      <w:bidi w:val="0"/>
      <w:spacing w:before="0" w:after="0"/>
      <w:jc w:val="left"/>
    </w:pPr>
    <w:rPr>
      <w:rFonts w:ascii="Arial" w:hAnsi="Arial" w:eastAsia="Tahoma" w:cs="Calibri"/>
      <w:color w:val="auto"/>
      <w:kern w:val="2"/>
      <w:sz w:val="36"/>
      <w:szCs w:val="24"/>
      <w:lang w:val="ru-RU" w:eastAsia="en-US" w:bidi="ar-SA"/>
    </w:rPr>
  </w:style>
  <w:style w:type="paragraph" w:styleId="bg-none">
    <w:name w:val="bg-none"/>
    <w:basedOn w:val="default"/>
    <w:qFormat/>
    <w:pPr/>
    <w:rPr>
      <w:rFonts w:ascii="Arial" w:hAnsi="Arial"/>
      <w:color w:val="auto"/>
      <w:kern w:val="2"/>
      <w:sz w:val="36"/>
    </w:rPr>
  </w:style>
  <w:style w:type="paragraph" w:styleId="gray">
    <w:name w:val="gray"/>
    <w:basedOn w:val="default"/>
    <w:qFormat/>
    <w:pPr/>
    <w:rPr>
      <w:rFonts w:ascii="Arial" w:hAnsi="Arial"/>
      <w:color w:val="auto"/>
      <w:kern w:val="2"/>
      <w:sz w:val="36"/>
    </w:rPr>
  </w:style>
  <w:style w:type="paragraph" w:styleId="dark-gray">
    <w:name w:val="dark-gray"/>
    <w:basedOn w:val="default"/>
    <w:qFormat/>
    <w:pPr/>
    <w:rPr>
      <w:rFonts w:ascii="Arial" w:hAnsi="Arial"/>
      <w:color w:val="auto"/>
      <w:kern w:val="2"/>
      <w:sz w:val="36"/>
    </w:rPr>
  </w:style>
  <w:style w:type="paragraph" w:styleId="black">
    <w:name w:val="black"/>
    <w:basedOn w:val="default"/>
    <w:qFormat/>
    <w:pPr/>
    <w:rPr>
      <w:rFonts w:ascii="Arial" w:hAnsi="Arial"/>
      <w:color w:val="FFFFFF"/>
      <w:kern w:val="2"/>
      <w:sz w:val="36"/>
    </w:rPr>
  </w:style>
  <w:style w:type="paragraph" w:styleId="black-with-border">
    <w:name w:val="black-with-border"/>
    <w:basedOn w:val="default"/>
    <w:qFormat/>
    <w:pPr/>
    <w:rPr>
      <w:rFonts w:ascii="Arial" w:hAnsi="Arial"/>
      <w:color w:val="FFFFFF"/>
      <w:kern w:val="2"/>
      <w:sz w:val="36"/>
    </w:rPr>
  </w:style>
  <w:style w:type="paragraph" w:styleId="gray-with-border">
    <w:name w:val="gray-with-border"/>
    <w:basedOn w:val="default"/>
    <w:qFormat/>
    <w:pPr/>
    <w:rPr>
      <w:rFonts w:ascii="Arial" w:hAnsi="Arial"/>
      <w:color w:val="auto"/>
      <w:kern w:val="2"/>
      <w:sz w:val="36"/>
    </w:rPr>
  </w:style>
  <w:style w:type="paragraph" w:styleId="white">
    <w:name w:val="white"/>
    <w:basedOn w:val="default"/>
    <w:qFormat/>
    <w:pPr/>
    <w:rPr>
      <w:rFonts w:ascii="Arial" w:hAnsi="Arial"/>
      <w:color w:val="auto"/>
      <w:kern w:val="2"/>
      <w:sz w:val="36"/>
    </w:rPr>
  </w:style>
  <w:style w:type="paragraph" w:styleId="white-with-border">
    <w:name w:val="white-with-border"/>
    <w:basedOn w:val="default"/>
    <w:qFormat/>
    <w:pPr/>
    <w:rPr>
      <w:rFonts w:ascii="Arial" w:hAnsi="Arial"/>
      <w:color w:val="auto"/>
      <w:kern w:val="2"/>
      <w:sz w:val="36"/>
    </w:rPr>
  </w:style>
  <w:style w:type="paragraph" w:styleId="blue-title">
    <w:name w:val="blue-title"/>
    <w:basedOn w:val="default"/>
    <w:qFormat/>
    <w:pPr/>
    <w:rPr>
      <w:rFonts w:ascii="Arial" w:hAnsi="Arial"/>
      <w:color w:val="FFFFFF"/>
      <w:kern w:val="2"/>
      <w:sz w:val="36"/>
    </w:rPr>
  </w:style>
  <w:style w:type="paragraph" w:styleId="blue-title-with-border">
    <w:name w:val="blue-title-with-border"/>
    <w:basedOn w:val="default"/>
    <w:qFormat/>
    <w:pPr/>
    <w:rPr>
      <w:rFonts w:ascii="Arial" w:hAnsi="Arial"/>
      <w:color w:val="FFFFFF"/>
      <w:kern w:val="2"/>
      <w:sz w:val="36"/>
    </w:rPr>
  </w:style>
  <w:style w:type="paragraph" w:styleId="blue-banded">
    <w:name w:val="blue-banded"/>
    <w:basedOn w:val="default"/>
    <w:qFormat/>
    <w:pPr/>
    <w:rPr>
      <w:rFonts w:ascii="Arial" w:hAnsi="Arial"/>
      <w:color w:val="auto"/>
      <w:kern w:val="2"/>
      <w:sz w:val="36"/>
    </w:rPr>
  </w:style>
  <w:style w:type="paragraph" w:styleId="blue-normal">
    <w:name w:val="blue-normal"/>
    <w:basedOn w:val="default"/>
    <w:qFormat/>
    <w:pPr/>
    <w:rPr>
      <w:rFonts w:ascii="Arial" w:hAnsi="Arial"/>
      <w:color w:val="auto"/>
      <w:kern w:val="2"/>
      <w:sz w:val="36"/>
    </w:rPr>
  </w:style>
  <w:style w:type="paragraph" w:styleId="orange-title">
    <w:name w:val="orange-title"/>
    <w:basedOn w:val="default"/>
    <w:qFormat/>
    <w:pPr/>
    <w:rPr>
      <w:rFonts w:ascii="Arial" w:hAnsi="Arial"/>
      <w:color w:val="FFFFFF"/>
      <w:kern w:val="2"/>
      <w:sz w:val="36"/>
    </w:rPr>
  </w:style>
  <w:style w:type="paragraph" w:styleId="orange-title-with-border">
    <w:name w:val="orange-title-with-border"/>
    <w:basedOn w:val="default"/>
    <w:qFormat/>
    <w:pPr/>
    <w:rPr>
      <w:rFonts w:ascii="Arial" w:hAnsi="Arial"/>
      <w:color w:val="FFFFFF"/>
      <w:kern w:val="2"/>
      <w:sz w:val="36"/>
    </w:rPr>
  </w:style>
  <w:style w:type="paragraph" w:styleId="orange-banded">
    <w:name w:val="orange-banded"/>
    <w:basedOn w:val="default"/>
    <w:qFormat/>
    <w:pPr/>
    <w:rPr>
      <w:rFonts w:ascii="Arial" w:hAnsi="Arial"/>
      <w:color w:val="auto"/>
      <w:kern w:val="2"/>
      <w:sz w:val="36"/>
    </w:rPr>
  </w:style>
  <w:style w:type="paragraph" w:styleId="orange-normal">
    <w:name w:val="orange-normal"/>
    <w:basedOn w:val="default"/>
    <w:qFormat/>
    <w:pPr/>
    <w:rPr>
      <w:rFonts w:ascii="Arial" w:hAnsi="Arial"/>
      <w:color w:val="auto"/>
      <w:kern w:val="2"/>
      <w:sz w:val="36"/>
    </w:rPr>
  </w:style>
  <w:style w:type="paragraph" w:styleId="teal-title">
    <w:name w:val="teal-title"/>
    <w:basedOn w:val="default"/>
    <w:qFormat/>
    <w:pPr/>
    <w:rPr>
      <w:rFonts w:ascii="Arial" w:hAnsi="Arial"/>
      <w:color w:val="FFFFFF"/>
      <w:kern w:val="2"/>
      <w:sz w:val="36"/>
    </w:rPr>
  </w:style>
  <w:style w:type="paragraph" w:styleId="teal-title-with-border">
    <w:name w:val="teal-title-with-border"/>
    <w:basedOn w:val="default"/>
    <w:qFormat/>
    <w:pPr/>
    <w:rPr>
      <w:rFonts w:ascii="Arial" w:hAnsi="Arial"/>
      <w:color w:val="FFFFFF"/>
      <w:kern w:val="2"/>
      <w:sz w:val="36"/>
    </w:rPr>
  </w:style>
  <w:style w:type="paragraph" w:styleId="teal-banded">
    <w:name w:val="teal-banded"/>
    <w:basedOn w:val="default"/>
    <w:qFormat/>
    <w:pPr/>
    <w:rPr>
      <w:rFonts w:ascii="Arial" w:hAnsi="Arial"/>
      <w:color w:val="auto"/>
      <w:kern w:val="2"/>
      <w:sz w:val="36"/>
    </w:rPr>
  </w:style>
  <w:style w:type="paragraph" w:styleId="teal-normal">
    <w:name w:val="teal-normal"/>
    <w:basedOn w:val="default"/>
    <w:qFormat/>
    <w:pPr/>
    <w:rPr>
      <w:rFonts w:ascii="Arial" w:hAnsi="Arial"/>
      <w:color w:val="auto"/>
      <w:kern w:val="2"/>
      <w:sz w:val="36"/>
    </w:rPr>
  </w:style>
  <w:style w:type="paragraph" w:styleId="magenta-title">
    <w:name w:val="magenta-title"/>
    <w:basedOn w:val="default"/>
    <w:qFormat/>
    <w:pPr/>
    <w:rPr>
      <w:rFonts w:ascii="Arial" w:hAnsi="Arial"/>
      <w:color w:val="FFFFFF"/>
      <w:kern w:val="2"/>
      <w:sz w:val="36"/>
    </w:rPr>
  </w:style>
  <w:style w:type="paragraph" w:styleId="magenta-title-with-border">
    <w:name w:val="magenta-title-with-border"/>
    <w:basedOn w:val="default"/>
    <w:qFormat/>
    <w:pPr/>
    <w:rPr>
      <w:rFonts w:ascii="Arial" w:hAnsi="Arial"/>
      <w:color w:val="FFFFFF"/>
      <w:kern w:val="2"/>
      <w:sz w:val="36"/>
    </w:rPr>
  </w:style>
  <w:style w:type="paragraph" w:styleId="magenta-banded">
    <w:name w:val="magenta-banded"/>
    <w:basedOn w:val="default"/>
    <w:qFormat/>
    <w:pPr/>
    <w:rPr>
      <w:rFonts w:ascii="Arial" w:hAnsi="Arial"/>
      <w:color w:val="auto"/>
      <w:kern w:val="2"/>
      <w:sz w:val="36"/>
    </w:rPr>
  </w:style>
  <w:style w:type="paragraph" w:styleId="magenta-normal">
    <w:name w:val="magenta-normal"/>
    <w:basedOn w:val="default"/>
    <w:qFormat/>
    <w:pPr/>
    <w:rPr>
      <w:rFonts w:ascii="Arial" w:hAnsi="Arial"/>
      <w:color w:val="auto"/>
      <w:kern w:val="2"/>
      <w:sz w:val="36"/>
    </w:rPr>
  </w:style>
  <w:style w:type="paragraph" w:styleId="Style41">
    <w:name w:val="Объекты фона"/>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2">
    <w:name w:val="Фон"/>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3">
    <w:name w:val="Примечания"/>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1">
    <w:name w:val="Структура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21">
    <w:name w:val="Структура 2"/>
    <w:basedOn w:val="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31">
    <w:name w:val="Структура 3"/>
    <w:basedOn w:val="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43">
    <w:name w:val="Структура 4"/>
    <w:basedOn w:val="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5">
    <w:name w:val="Структура 5"/>
    <w:basedOn w:val="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6">
    <w:name w:val="Структура 6"/>
    <w:basedOn w:val="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7">
    <w:name w:val="Структура 7"/>
    <w:basedOn w:val="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8">
    <w:name w:val="Структура 8"/>
    <w:basedOn w:val="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9">
    <w:name w:val="Структура 9"/>
    <w:basedOn w:val="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Emphasis">
    <w:name w:val="Emphasis"/>
    <w:qFormat/>
    <w:pPr>
      <w:widowControl w:val="false"/>
      <w:suppressAutoHyphens w:val="true"/>
      <w:overflowPunct w:val="true"/>
      <w:bidi w:val="0"/>
      <w:spacing w:before="0" w:after="0"/>
      <w:jc w:val="left"/>
    </w:pPr>
    <w:rPr>
      <w:rFonts w:ascii="Liberation Serif" w:hAnsi="Liberation Serif" w:eastAsia="Tahoma" w:cs="Calibri"/>
      <w:i/>
      <w:color w:val="auto"/>
      <w:kern w:val="0"/>
      <w:sz w:val="24"/>
      <w:szCs w:val="24"/>
      <w:lang w:val="ru-RU" w:eastAsia="en-US" w:bidi="ar-SA"/>
    </w:rPr>
  </w:style>
  <w:style w:type="paragraph" w:styleId="DefaultParagraphFont1">
    <w:name w:val="Default Paragraph Font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41">
    <w:name w:val="Internet Link4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ListLabel2341">
    <w:name w:val="ListLabel 23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31">
    <w:name w:val="ListLabel 23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21">
    <w:name w:val="ListLabel 23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11">
    <w:name w:val="ListLabel 23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01">
    <w:name w:val="ListLabel 23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91">
    <w:name w:val="ListLabel 22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81">
    <w:name w:val="ListLabel 22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71">
    <w:name w:val="ListLabel 22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61">
    <w:name w:val="ListLabel 22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51">
    <w:name w:val="ListLabel 22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41">
    <w:name w:val="ListLabel 22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31">
    <w:name w:val="ListLabel 22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221">
    <w:name w:val="ListLabel 22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11">
    <w:name w:val="ListLabel 22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01">
    <w:name w:val="ListLabel 22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91">
    <w:name w:val="ListLabel 21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81">
    <w:name w:val="ListLabel 21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71">
    <w:name w:val="ListLabel 21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61">
    <w:name w:val="ListLabel 21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51">
    <w:name w:val="ListLabel 21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41">
    <w:name w:val="ListLabel 21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31">
    <w:name w:val="ListLabel 21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21">
    <w:name w:val="ListLabel 21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11">
    <w:name w:val="ListLabel 21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01">
    <w:name w:val="ListLabel 21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91">
    <w:name w:val="ListLabel 20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81">
    <w:name w:val="ListLabel 20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71">
    <w:name w:val="ListLabel 20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61">
    <w:name w:val="ListLabel 20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51">
    <w:name w:val="ListLabel 20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41">
    <w:name w:val="ListLabel 20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31">
    <w:name w:val="ListLabel 20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21">
    <w:name w:val="ListLabel 20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11">
    <w:name w:val="ListLabel 20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01">
    <w:name w:val="ListLabel 20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91">
    <w:name w:val="ListLabel 19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81">
    <w:name w:val="ListLabel 19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71">
    <w:name w:val="ListLabel 19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61">
    <w:name w:val="ListLabel 19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51">
    <w:name w:val="ListLabel 19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41">
    <w:name w:val="ListLabel 19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31">
    <w:name w:val="ListLabel 19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21">
    <w:name w:val="ListLabel 19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11">
    <w:name w:val="ListLabel 19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01">
    <w:name w:val="ListLabel 19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91">
    <w:name w:val="ListLabel 18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81">
    <w:name w:val="ListLabel 18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71">
    <w:name w:val="ListLabel 18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61">
    <w:name w:val="ListLabel 18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51">
    <w:name w:val="ListLabel 18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41">
    <w:name w:val="ListLabel 18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31">
    <w:name w:val="ListLabel 18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21">
    <w:name w:val="ListLabel 18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11">
    <w:name w:val="ListLabel 18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01">
    <w:name w:val="ListLabel 18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91">
    <w:name w:val="ListLabel 17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81">
    <w:name w:val="ListLabel 17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71">
    <w:name w:val="ListLabel 17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61">
    <w:name w:val="ListLabel 17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51">
    <w:name w:val="ListLabel 17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41">
    <w:name w:val="ListLabel 17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31">
    <w:name w:val="ListLabel 17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21">
    <w:name w:val="ListLabel 17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11">
    <w:name w:val="ListLabel 17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01">
    <w:name w:val="ListLabel 17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91">
    <w:name w:val="ListLabel 16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81">
    <w:name w:val="ListLabel 16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71">
    <w:name w:val="ListLabel 16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61">
    <w:name w:val="ListLabel 16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51">
    <w:name w:val="ListLabel 16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41">
    <w:name w:val="ListLabel 16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31">
    <w:name w:val="ListLabel 16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21">
    <w:name w:val="ListLabel 16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11">
    <w:name w:val="ListLabel 16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01">
    <w:name w:val="ListLabel 16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91">
    <w:name w:val="ListLabel 15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81">
    <w:name w:val="ListLabel 15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71">
    <w:name w:val="ListLabel 15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61">
    <w:name w:val="ListLabel 15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51">
    <w:name w:val="ListLabel 15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41">
    <w:name w:val="ListLabel 15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31">
    <w:name w:val="ListLabel 15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21">
    <w:name w:val="ListLabel 15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11">
    <w:name w:val="ListLabel 15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01">
    <w:name w:val="ListLabel 15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91">
    <w:name w:val="ListLabel 14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81">
    <w:name w:val="ListLabel 14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71">
    <w:name w:val="ListLabel 14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61">
    <w:name w:val="ListLabel 14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51">
    <w:name w:val="ListLabel 14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41">
    <w:name w:val="ListLabel 14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31">
    <w:name w:val="ListLabel 14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21">
    <w:name w:val="ListLabel 14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11">
    <w:name w:val="ListLabel 14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01">
    <w:name w:val="ListLabel 14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91">
    <w:name w:val="ListLabel 13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81">
    <w:name w:val="ListLabel 13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71">
    <w:name w:val="ListLabel 13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61">
    <w:name w:val="ListLabel 13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51">
    <w:name w:val="ListLabel 13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41">
    <w:name w:val="ListLabel 13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31">
    <w:name w:val="ListLabel 13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21">
    <w:name w:val="ListLabel 13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11">
    <w:name w:val="ListLabel 13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01">
    <w:name w:val="ListLabel 13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91">
    <w:name w:val="ListLabel 12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81">
    <w:name w:val="ListLabel 12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71">
    <w:name w:val="ListLabel 12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61">
    <w:name w:val="ListLabel 12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51">
    <w:name w:val="ListLabel 12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41">
    <w:name w:val="ListLabel 12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31">
    <w:name w:val="ListLabel 12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21">
    <w:name w:val="ListLabel 12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11">
    <w:name w:val="ListLabel 12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01">
    <w:name w:val="ListLabel 12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91">
    <w:name w:val="ListLabel 11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81">
    <w:name w:val="ListLabel 11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71">
    <w:name w:val="ListLabel 11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61">
    <w:name w:val="ListLabel 11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51">
    <w:name w:val="ListLabel 11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41">
    <w:name w:val="ListLabel 11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31">
    <w:name w:val="ListLabel 11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21">
    <w:name w:val="ListLabel 11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11">
    <w:name w:val="ListLabel 11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01">
    <w:name w:val="ListLabel 11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091">
    <w:name w:val="ListLabel 10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081">
    <w:name w:val="ListLabel 10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71">
    <w:name w:val="ListLabel 10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61">
    <w:name w:val="ListLabel 10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51">
    <w:name w:val="ListLabel 10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41">
    <w:name w:val="ListLabel 10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31">
    <w:name w:val="ListLabel 10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21">
    <w:name w:val="ListLabel 10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11">
    <w:name w:val="ListLabel 10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01">
    <w:name w:val="ListLabel 10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991">
    <w:name w:val="ListLabel 9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81">
    <w:name w:val="ListLabel 9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71">
    <w:name w:val="ListLabel 9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61">
    <w:name w:val="ListLabel 96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51">
    <w:name w:val="ListLabel 9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41">
    <w:name w:val="ListLabel 9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31">
    <w:name w:val="ListLabel 93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21">
    <w:name w:val="ListLabel 92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11">
    <w:name w:val="ListLabel 9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01">
    <w:name w:val="ListLabel 9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91">
    <w:name w:val="ListLabel 8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81">
    <w:name w:val="ListLabel 8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71">
    <w:name w:val="ListLabel 8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61">
    <w:name w:val="ListLabel 8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51">
    <w:name w:val="ListLabel 8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41">
    <w:name w:val="ListLabel 8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31">
    <w:name w:val="ListLabel 8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21">
    <w:name w:val="ListLabel 8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11">
    <w:name w:val="ListLabel 8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01">
    <w:name w:val="ListLabel 8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91">
    <w:name w:val="ListLabel 7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81">
    <w:name w:val="ListLabel 7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71">
    <w:name w:val="ListLabel 7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61">
    <w:name w:val="ListLabel 7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51">
    <w:name w:val="ListLabel 7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41">
    <w:name w:val="ListLabel 7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31">
    <w:name w:val="ListLabel 7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21">
    <w:name w:val="ListLabel 72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711">
    <w:name w:val="ListLabel 71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701">
    <w:name w:val="ListLabel 7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91">
    <w:name w:val="ListLabel 6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681">
    <w:name w:val="ListLabel 6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671">
    <w:name w:val="ListLabel 6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61">
    <w:name w:val="ListLabel 66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651">
    <w:name w:val="ListLabel 6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641">
    <w:name w:val="ListLabel 6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31">
    <w:name w:val="ListLabel 6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21">
    <w:name w:val="ListLabel 6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11">
    <w:name w:val="ListLabel 6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01">
    <w:name w:val="ListLabel 6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91">
    <w:name w:val="ListLabel 5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81">
    <w:name w:val="ListLabel 5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71">
    <w:name w:val="ListLabel 5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61">
    <w:name w:val="ListLabel 5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51">
    <w:name w:val="ListLabel 5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41">
    <w:name w:val="ListLabel 5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31">
    <w:name w:val="ListLabel 5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21">
    <w:name w:val="ListLabel 5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11">
    <w:name w:val="ListLabel 5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01">
    <w:name w:val="ListLabel 5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91">
    <w:name w:val="ListLabel 4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81">
    <w:name w:val="ListLabel 4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71">
    <w:name w:val="ListLabel 4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61">
    <w:name w:val="ListLabel 4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51">
    <w:name w:val="ListLabel 45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441">
    <w:name w:val="ListLabel 44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31">
    <w:name w:val="ListLabel 4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421">
    <w:name w:val="ListLabel 42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411">
    <w:name w:val="ListLabel 41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01">
    <w:name w:val="ListLabel 4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91">
    <w:name w:val="ListLabel 3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381">
    <w:name w:val="ListLabel 3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371">
    <w:name w:val="ListLabel 3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61">
    <w:name w:val="ListLabel 3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51">
    <w:name w:val="ListLabel 3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41">
    <w:name w:val="ListLabel 3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31">
    <w:name w:val="ListLabel 3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21">
    <w:name w:val="ListLabel 3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11">
    <w:name w:val="ListLabel 3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01">
    <w:name w:val="ListLabel 3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91">
    <w:name w:val="ListLabel 2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81">
    <w:name w:val="ListLabel 2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71">
    <w:name w:val="ListLabel 27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61">
    <w:name w:val="ListLabel 26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251">
    <w:name w:val="ListLabel 2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411">
    <w:name w:val="ListLabel 241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351">
    <w:name w:val="ListLabel 23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2210">
    <w:name w:val="ListLabel 22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10">
    <w:name w:val="ListLabel 21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010">
    <w:name w:val="ListLabel 20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910">
    <w:name w:val="ListLabel 19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10">
    <w:name w:val="ListLabel 18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710">
    <w:name w:val="ListLabel 17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610">
    <w:name w:val="ListLabel 16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10">
    <w:name w:val="ListLabel 15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410">
    <w:name w:val="ListLabel 14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310">
    <w:name w:val="ListLabel 13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10">
    <w:name w:val="ListLabel 12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110">
    <w:name w:val="ListLabel 11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010">
    <w:name w:val="ListLabel 1010"/>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ListLabel910">
    <w:name w:val="ListLabel 9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810">
    <w:name w:val="ListLabel 8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710">
    <w:name w:val="ListLabel 7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10">
    <w:name w:val="ListLabel 6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510">
    <w:name w:val="ListLabel 5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10">
    <w:name w:val="ListLabel 4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10">
    <w:name w:val="ListLabel 3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361">
    <w:name w:val="ListLabel 236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100">
    <w:name w:val="ListLabel 110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InternetLink51">
    <w:name w:val="Internet Link5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InternetLink21">
    <w:name w:val="Internet Link2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2">
    <w:name w:val="Символ нумерации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3">
    <w:name w:val="Маркеры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14">
    <w:name w:val="Ссылка указателя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11">
    <w:name w:val="Internet Link1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5">
    <w:name w:val="Нижний колонтитул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6">
    <w:name w:val="Верхний колонтитул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apple-converted-space1">
    <w:name w:val="apple-converted-space1"/>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17">
    <w:name w:val="Обычный (Интернет) Знак1"/>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211">
    <w:name w:val="Заголовок 2 Знак1"/>
    <w:qFormat/>
    <w:pPr>
      <w:widowControl w:val="false"/>
      <w:suppressAutoHyphens w:val="true"/>
      <w:overflowPunct w:val="true"/>
      <w:bidi w:val="0"/>
      <w:spacing w:before="0" w:after="0"/>
      <w:jc w:val="left"/>
    </w:pPr>
    <w:rPr>
      <w:rFonts w:ascii="Calibri Light" w:hAnsi="Calibri Light" w:eastAsia="Tahoma" w:cs="Calibri"/>
      <w:color w:val="2F5496"/>
      <w:kern w:val="0"/>
      <w:sz w:val="26"/>
      <w:szCs w:val="24"/>
      <w:lang w:val="ru-RU" w:eastAsia="en-US" w:bidi="ar-SA"/>
    </w:rPr>
  </w:style>
  <w:style w:type="paragraph" w:styleId="InternetLink31">
    <w:name w:val="Internet Link31"/>
    <w:qFormat/>
    <w:pPr>
      <w:widowControl w:val="false"/>
      <w:suppressAutoHyphens w:val="true"/>
      <w:overflowPunct w:val="true"/>
      <w:bidi w:val="0"/>
      <w:spacing w:before="0" w:after="0"/>
      <w:jc w:val="left"/>
    </w:pPr>
    <w:rPr>
      <w:rFonts w:ascii="Liberation Serif" w:hAnsi="Liberation Serif" w:eastAsia="Tahoma" w:cs="Calibri"/>
      <w:color w:val="0563C1"/>
      <w:kern w:val="0"/>
      <w:sz w:val="24"/>
      <w:szCs w:val="24"/>
      <w:u w:val="single"/>
      <w:lang w:val="ru-RU" w:eastAsia="en-US" w:bidi="ar-SA"/>
    </w:rPr>
  </w:style>
  <w:style w:type="paragraph" w:styleId="18">
    <w:name w:val="Абзац списка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11">
    <w:name w:val="Заголовок 1 Знак1"/>
    <w:qFormat/>
    <w:pPr>
      <w:widowControl w:val="false"/>
      <w:suppressAutoHyphens w:val="true"/>
      <w:overflowPunct w:val="true"/>
      <w:bidi w:val="0"/>
      <w:spacing w:before="0" w:after="0"/>
      <w:jc w:val="left"/>
    </w:pPr>
    <w:rPr>
      <w:rFonts w:ascii="Cambria" w:hAnsi="Cambria" w:eastAsia="Tahoma" w:cs="Calibri"/>
      <w:b/>
      <w:color w:val="365F91"/>
      <w:kern w:val="0"/>
      <w:sz w:val="28"/>
      <w:szCs w:val="24"/>
      <w:lang w:val="ru-RU" w:eastAsia="en-US" w:bidi="ar-SA"/>
    </w:rPr>
  </w:style>
  <w:style w:type="paragraph" w:styleId="LTGliederung11">
    <w:name w:val="Заголовок и вертикальный текс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
    <w:name w:val="Заголовок и вертикальный текст~LT~Gliederung 2"/>
    <w:basedOn w:val="LTGliederung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
    <w:name w:val="Заголовок и вертикальный текст~LT~Gliederung 3"/>
    <w:basedOn w:val="LTGliederung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
    <w:name w:val="Заголовок и вертикальный текст~LT~Gliederung 4"/>
    <w:basedOn w:val="LTGliederung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
    <w:name w:val="Заголовок и вертикальный текст~LT~Gliederung 5"/>
    <w:basedOn w:val="LTGliederung4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
    <w:name w:val="Заголовок и вертикальный текст~LT~Gliederung 6"/>
    <w:basedOn w:val="LTGliederung5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
    <w:name w:val="Заголовок и вертикальный текст~LT~Gliederung 7"/>
    <w:basedOn w:val="LTGliederung6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
    <w:name w:val="Заголовок и вертикальный текст~LT~Gliederung 8"/>
    <w:basedOn w:val="LTGliederung7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
    <w:name w:val="Заголовок и вертикальный текст~LT~Gliederung 9"/>
    <w:basedOn w:val="LTGliederung8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
    <w:name w:val="Заголовок и вертикальный текс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
    <w:name w:val="Заголовок и вертикальный текс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
    <w:name w:val="Заголовок и вертикальный текс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
    <w:name w:val="Заголовок и вертикальный текс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
    <w:name w:val="Заголовок и вертикальный текс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2">
    <w:name w:val="Вертикальный заголовок и текс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2">
    <w:name w:val="Вертикальный заголовок и текст~LT~Gliederung 2"/>
    <w:basedOn w:val="LTGliederung12"/>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2">
    <w:name w:val="Вертикальный заголовок и текст~LT~Gliederung 3"/>
    <w:basedOn w:val="LTGliederung2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2">
    <w:name w:val="Вертикальный заголовок и текст~LT~Gliederung 4"/>
    <w:basedOn w:val="LTGliederung32"/>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2">
    <w:name w:val="Вертикальный заголовок и текст~LT~Gliederung 5"/>
    <w:basedOn w:val="LTGliederung4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2">
    <w:name w:val="Вертикальный заголовок и текст~LT~Gliederung 6"/>
    <w:basedOn w:val="LTGliederung5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2">
    <w:name w:val="Вертикальный заголовок и текст~LT~Gliederung 7"/>
    <w:basedOn w:val="LTGliederung6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2">
    <w:name w:val="Вертикальный заголовок и текст~LT~Gliederung 8"/>
    <w:basedOn w:val="LTGliederung7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2">
    <w:name w:val="Вертикальный заголовок и текст~LT~Gliederung 9"/>
    <w:basedOn w:val="LTGliederung8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2">
    <w:name w:val="Вертикальный заголовок и текс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2">
    <w:name w:val="Вертикальный заголовок и текс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2">
    <w:name w:val="Вертикальный заголовок и текс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2">
    <w:name w:val="Вертикальный заголовок и текс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2">
    <w:name w:val="Вертикальный заголовок и текс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3">
    <w:name w:val="Заголовок и объек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3">
    <w:name w:val="Заголовок и объект~LT~Gliederung 2"/>
    <w:basedOn w:val="LTGliederung13"/>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3">
    <w:name w:val="Заголовок и объект~LT~Gliederung 3"/>
    <w:basedOn w:val="LTGliederung23"/>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3">
    <w:name w:val="Заголовок и объект~LT~Gliederung 4"/>
    <w:basedOn w:val="LTGliederung3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3">
    <w:name w:val="Заголовок и объект~LT~Gliederung 5"/>
    <w:basedOn w:val="LTGliederung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3">
    <w:name w:val="Заголовок и объект~LT~Gliederung 6"/>
    <w:basedOn w:val="LTGliederung5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3">
    <w:name w:val="Заголовок и объект~LT~Gliederung 7"/>
    <w:basedOn w:val="LTGliederung6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3">
    <w:name w:val="Заголовок и объект~LT~Gliederung 8"/>
    <w:basedOn w:val="LTGliederung7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3">
    <w:name w:val="Заголовок и объект~LT~Gliederung 9"/>
    <w:basedOn w:val="LTGliederung8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3">
    <w:name w:val="Заголовок и объек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3">
    <w:name w:val="Заголовок и объек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3">
    <w:name w:val="Заголовок и объек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3">
    <w:name w:val="Заголовок и объек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3">
    <w:name w:val="Заголовок и объек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4">
    <w:name w:val="Заголовок раздела~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4">
    <w:name w:val="Заголовок раздела~LT~Gliederung 2"/>
    <w:basedOn w:val="LTGliederung14"/>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4">
    <w:name w:val="Заголовок раздела~LT~Gliederung 3"/>
    <w:basedOn w:val="LTGliederung24"/>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4">
    <w:name w:val="Заголовок раздела~LT~Gliederung 4"/>
    <w:basedOn w:val="LTGliederung34"/>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4">
    <w:name w:val="Заголовок раздела~LT~Gliederung 5"/>
    <w:basedOn w:val="LTGliederung4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4">
    <w:name w:val="Заголовок раздела~LT~Gliederung 6"/>
    <w:basedOn w:val="LTGliederung5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4">
    <w:name w:val="Заголовок раздела~LT~Gliederung 7"/>
    <w:basedOn w:val="LTGliederung6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4">
    <w:name w:val="Заголовок раздела~LT~Gliederung 8"/>
    <w:basedOn w:val="LTGliederung7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4">
    <w:name w:val="Заголовок раздела~LT~Gliederung 9"/>
    <w:basedOn w:val="LTGliederung8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4">
    <w:name w:val="Заголовок раздела~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4">
    <w:name w:val="Заголовок раздела~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4">
    <w:name w:val="Заголовок раздела~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4">
    <w:name w:val="Заголовок раздела~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4">
    <w:name w:val="Заголовок раздела~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5">
    <w:name w:val="Два объекта~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5">
    <w:name w:val="Два объекта~LT~Gliederung 2"/>
    <w:basedOn w:val="LTGliederung15"/>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5">
    <w:name w:val="Два объекта~LT~Gliederung 3"/>
    <w:basedOn w:val="LTGliederung25"/>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5">
    <w:name w:val="Два объекта~LT~Gliederung 4"/>
    <w:basedOn w:val="LTGliederung35"/>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5">
    <w:name w:val="Два объекта~LT~Gliederung 5"/>
    <w:basedOn w:val="LTGliederung4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5">
    <w:name w:val="Два объекта~LT~Gliederung 6"/>
    <w:basedOn w:val="LTGliederung5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5">
    <w:name w:val="Два объекта~LT~Gliederung 7"/>
    <w:basedOn w:val="LTGliederung6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5">
    <w:name w:val="Два объекта~LT~Gliederung 8"/>
    <w:basedOn w:val="LTGliederung7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5">
    <w:name w:val="Два объекта~LT~Gliederung 9"/>
    <w:basedOn w:val="LTGliederung8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5">
    <w:name w:val="Два объекта~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5">
    <w:name w:val="Два объекта~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5">
    <w:name w:val="Два объекта~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5">
    <w:name w:val="Два объекта~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5">
    <w:name w:val="Два объекта~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6">
    <w:name w:val="Сравнение~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6">
    <w:name w:val="Сравнение~LT~Gliederung 2"/>
    <w:basedOn w:val="LTGliederung16"/>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6">
    <w:name w:val="Сравнение~LT~Gliederung 3"/>
    <w:basedOn w:val="LTGliederung26"/>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6">
    <w:name w:val="Сравнение~LT~Gliederung 4"/>
    <w:basedOn w:val="LTGliederung36"/>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6">
    <w:name w:val="Сравнение~LT~Gliederung 5"/>
    <w:basedOn w:val="LTGliederung4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6">
    <w:name w:val="Сравнение~LT~Gliederung 6"/>
    <w:basedOn w:val="LTGliederung5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6">
    <w:name w:val="Сравнение~LT~Gliederung 7"/>
    <w:basedOn w:val="LTGliederung6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6">
    <w:name w:val="Сравнение~LT~Gliederung 8"/>
    <w:basedOn w:val="LTGliederung7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6">
    <w:name w:val="Сравнение~LT~Gliederung 9"/>
    <w:basedOn w:val="LTGliederung8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6">
    <w:name w:val="Сравнение~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6">
    <w:name w:val="Сравнение~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6">
    <w:name w:val="Сравнение~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6">
    <w:name w:val="Сравнение~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6">
    <w:name w:val="Сравнение~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7">
    <w:name w:val="Только заголовок~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7">
    <w:name w:val="Только заголовок~LT~Gliederung 2"/>
    <w:basedOn w:val="LTGliederung17"/>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7">
    <w:name w:val="Только заголовок~LT~Gliederung 3"/>
    <w:basedOn w:val="LTGliederung27"/>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7">
    <w:name w:val="Только заголовок~LT~Gliederung 4"/>
    <w:basedOn w:val="LTGliederung37"/>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7">
    <w:name w:val="Только заголовок~LT~Gliederung 5"/>
    <w:basedOn w:val="LTGliederung4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7">
    <w:name w:val="Только заголовок~LT~Gliederung 6"/>
    <w:basedOn w:val="LTGliederung5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7">
    <w:name w:val="Только заголовок~LT~Gliederung 7"/>
    <w:basedOn w:val="LTGliederung6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7">
    <w:name w:val="Только заголовок~LT~Gliederung 8"/>
    <w:basedOn w:val="LTGliederung7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7">
    <w:name w:val="Только заголовок~LT~Gliederung 9"/>
    <w:basedOn w:val="LTGliederung8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7">
    <w:name w:val="Только заголовок~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7">
    <w:name w:val="Только заголовок~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7">
    <w:name w:val="Только заголовок~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7">
    <w:name w:val="Только заголовок~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7">
    <w:name w:val="Только заголовок~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8">
    <w:name w:val="Пустой слайд~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8">
    <w:name w:val="Пустой слайд~LT~Gliederung 2"/>
    <w:basedOn w:val="LTGliederung18"/>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8">
    <w:name w:val="Пустой слайд~LT~Gliederung 3"/>
    <w:basedOn w:val="LTGliederung28"/>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8">
    <w:name w:val="Пустой слайд~LT~Gliederung 4"/>
    <w:basedOn w:val="LTGliederung38"/>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8">
    <w:name w:val="Пустой слайд~LT~Gliederung 5"/>
    <w:basedOn w:val="LTGliederung4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8">
    <w:name w:val="Пустой слайд~LT~Gliederung 6"/>
    <w:basedOn w:val="LTGliederung5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8">
    <w:name w:val="Пустой слайд~LT~Gliederung 7"/>
    <w:basedOn w:val="LTGliederung6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8">
    <w:name w:val="Пустой слайд~LT~Gliederung 8"/>
    <w:basedOn w:val="LTGliederung7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8">
    <w:name w:val="Пустой слайд~LT~Gliederung 9"/>
    <w:basedOn w:val="LTGliederung8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8">
    <w:name w:val="Пустой слайд~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8">
    <w:name w:val="Пустой слайд~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8">
    <w:name w:val="Пустой слайд~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8">
    <w:name w:val="Пустой слайд~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8">
    <w:name w:val="Пустой слайд~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9">
    <w:name w:val="Объект с подписью~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9">
    <w:name w:val="Объект с подписью~LT~Gliederung 2"/>
    <w:basedOn w:val="LTGliederung19"/>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9">
    <w:name w:val="Объект с подписью~LT~Gliederung 3"/>
    <w:basedOn w:val="LTGliederung29"/>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9">
    <w:name w:val="Объект с подписью~LT~Gliederung 4"/>
    <w:basedOn w:val="LTGliederung39"/>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9">
    <w:name w:val="Объект с подписью~LT~Gliederung 5"/>
    <w:basedOn w:val="LTGliederung4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9">
    <w:name w:val="Объект с подписью~LT~Gliederung 6"/>
    <w:basedOn w:val="LTGliederung5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9">
    <w:name w:val="Объект с подписью~LT~Gliederung 7"/>
    <w:basedOn w:val="LTGliederung6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9">
    <w:name w:val="Объект с подписью~LT~Gliederung 8"/>
    <w:basedOn w:val="LTGliederung7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9">
    <w:name w:val="Объект с подписью~LT~Gliederung 9"/>
    <w:basedOn w:val="LTGliederung8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9">
    <w:name w:val="Объект с подписью~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9">
    <w:name w:val="Объект с подписью~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9">
    <w:name w:val="Объект с подписью~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9">
    <w:name w:val="Объект с подписью~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9">
    <w:name w:val="Объект с подписью~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10">
    <w:name w:val="Рисунок с подписью~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0">
    <w:name w:val="Рисунок с подписью~LT~Gliederung 2"/>
    <w:basedOn w:val="LTGliederung110"/>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0">
    <w:name w:val="Рисунок с подписью~LT~Gliederung 3"/>
    <w:basedOn w:val="LTGliederung210"/>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0">
    <w:name w:val="Рисунок с подписью~LT~Gliederung 4"/>
    <w:basedOn w:val="LTGliederung310"/>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0">
    <w:name w:val="Рисунок с подписью~LT~Gliederung 5"/>
    <w:basedOn w:val="LTGliederung4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0">
    <w:name w:val="Рисунок с подписью~LT~Gliederung 6"/>
    <w:basedOn w:val="LTGliederung5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0">
    <w:name w:val="Рисунок с подписью~LT~Gliederung 7"/>
    <w:basedOn w:val="LTGliederung6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0">
    <w:name w:val="Рисунок с подписью~LT~Gliederung 8"/>
    <w:basedOn w:val="LTGliederung7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0">
    <w:name w:val="Рисунок с подписью~LT~Gliederung 9"/>
    <w:basedOn w:val="LTGliederung8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0">
    <w:name w:val="Рисунок с подписью~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0">
    <w:name w:val="Рисунок с подписью~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0">
    <w:name w:val="Рисунок с подписью~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0">
    <w:name w:val="Рисунок с подписью~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0">
    <w:name w:val="Рисунок с подписью~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numbering" w:styleId="Style44">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544</TotalTime>
  <Application>LibreOffice/24.2.4.2$Windows_X86_64 LibreOffice_project/51a6219feb6075d9a4c46691dcfe0cd9c4fff3c2</Application>
  <AppVersion>15.0000</AppVersion>
  <Pages>60</Pages>
  <Words>8855</Words>
  <Characters>62788</Characters>
  <CharactersWithSpaces>71240</CharactersWithSpaces>
  <Paragraphs>640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2018-06-03T19:43:00Z</dcterms:created>
  <dc:creator>user</dc:creator>
  <dc:description/>
  <dc:language>ru-RU</dc:language>
  <cp:lastModifiedBy/>
  <cp:lastPrinted>2018-06-04T12:42:00Z</cp:lastPrinted>
  <dcterms:modified xsi:type="dcterms:W3CDTF">2026-04-25T18:38:11Z</dcterms:modified>
  <cp:revision>137</cp:revision>
  <dc:subject/>
  <dc:title/>
</cp:coreProperties>
</file>

<file path=docProps/custom.xml><?xml version="1.0" encoding="utf-8"?>
<Properties xmlns="http://schemas.openxmlformats.org/officeDocument/2006/custom-properties" xmlns:vt="http://schemas.openxmlformats.org/officeDocument/2006/docPropsVTypes"/>
</file>