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360"/>
        <w:jc w:val="center"/>
        <w:rPr>
          <w:spacing w:val="-6"/>
          <w:sz w:val="28"/>
          <w:szCs w:val="28"/>
        </w:rPr>
      </w:pPr>
      <w:r>
        <w:rPr>
          <w:sz w:val="28"/>
          <w:szCs w:val="28"/>
        </w:rPr>
        <w:t>Министерство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цифрового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развития,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связи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массовых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коммуникаций</w:t>
      </w:r>
    </w:p>
    <w:p>
      <w:pPr>
        <w:pStyle w:val="BodyText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Российской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Федерации</w:t>
      </w:r>
    </w:p>
    <w:p>
      <w:pPr>
        <w:pStyle w:val="BodyText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Ордена Трудового Красного Знамени федеральное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государственное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бюджетное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образовательное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учреждение высшего образования</w:t>
      </w:r>
    </w:p>
    <w:p>
      <w:pPr>
        <w:pStyle w:val="BodyText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«Московский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технический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университет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связи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-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информатики»</w:t>
      </w:r>
    </w:p>
    <w:p>
      <w:pPr>
        <w:pStyle w:val="BodyText"/>
        <w:spacing w:lineRule="auto" w:line="252"/>
        <w:rPr/>
      </w:pPr>
      <w:r>
        <w:rPr/>
      </w:r>
    </w:p>
    <w:p>
      <w:pPr>
        <w:pStyle w:val="BodyText"/>
        <w:spacing w:lineRule="auto" w:line="252"/>
        <w:rPr/>
      </w:pPr>
      <w:r>
        <w:rPr/>
      </w:r>
    </w:p>
    <w:p>
      <w:pPr>
        <w:pStyle w:val="Normal"/>
        <w:spacing w:lineRule="auto" w:line="264"/>
        <w:ind w:hanging="0"/>
        <w:jc w:val="both"/>
        <w:rPr/>
      </w:pPr>
      <w:r>
        <w:rPr/>
      </w:r>
    </w:p>
    <w:p>
      <w:pPr>
        <w:pStyle w:val="BodyText"/>
        <w:spacing w:lineRule="auto" w:line="360"/>
        <w:rPr>
          <w:u w:val="single"/>
        </w:rPr>
      </w:pPr>
      <w:r>
        <w:rPr>
          <w:u w:val="single"/>
        </w:rPr>
      </w:r>
    </w:p>
    <w:p>
      <w:pPr>
        <w:pStyle w:val="BodyText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36"/>
          <w:szCs w:val="36"/>
        </w:rPr>
      </w:pPr>
      <w:r>
        <w:rPr>
          <w:b/>
          <w:spacing w:val="-2"/>
          <w:sz w:val="36"/>
          <w:szCs w:val="36"/>
        </w:rPr>
        <w:t>Отчет о преддипломной практике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tabs>
          <w:tab w:val="clear" w:pos="708"/>
          <w:tab w:val="left" w:pos="3900" w:leader="none"/>
          <w:tab w:val="left" w:pos="3940" w:leader="none"/>
          <w:tab w:val="left" w:pos="3985" w:leader="none"/>
          <w:tab w:val="left" w:pos="6235" w:leader="none"/>
          <w:tab w:val="left" w:pos="6275" w:leader="none"/>
          <w:tab w:val="left" w:pos="6318" w:leader="none"/>
          <w:tab w:val="left" w:pos="8696" w:leader="none"/>
          <w:tab w:val="left" w:pos="8857" w:leader="none"/>
        </w:tabs>
        <w:spacing w:lineRule="auto" w:line="360"/>
        <w:ind w:left="1701"/>
        <w:rPr>
          <w:sz w:val="28"/>
          <w:szCs w:val="28"/>
          <w:u w:val="single"/>
        </w:rPr>
      </w:pPr>
      <w:r>
        <w:rPr>
          <w:spacing w:val="-2"/>
          <w:sz w:val="28"/>
          <w:szCs w:val="28"/>
        </w:rPr>
        <w:t>Студент:</w:t>
      </w:r>
      <w:r>
        <w:rPr/>
        <w:t xml:space="preserve">               </w:t>
      </w:r>
      <w:r>
        <w:rPr>
          <w:sz w:val="28"/>
          <w:szCs w:val="28"/>
          <w:u w:val="single"/>
        </w:rPr>
        <w:t>Альвицов Данил Сергеевич</w:t>
      </w:r>
    </w:p>
    <w:p>
      <w:pPr>
        <w:pStyle w:val="BodyText"/>
        <w:tabs>
          <w:tab w:val="clear" w:pos="708"/>
          <w:tab w:val="left" w:pos="3900" w:leader="none"/>
          <w:tab w:val="left" w:pos="3940" w:leader="none"/>
          <w:tab w:val="left" w:pos="3985" w:leader="none"/>
          <w:tab w:val="left" w:pos="6235" w:leader="none"/>
          <w:tab w:val="left" w:pos="6275" w:leader="none"/>
          <w:tab w:val="left" w:pos="6318" w:leader="none"/>
          <w:tab w:val="left" w:pos="8696" w:leader="none"/>
          <w:tab w:val="left" w:pos="8857" w:leader="none"/>
        </w:tabs>
        <w:spacing w:lineRule="auto" w:line="360"/>
        <w:ind w:left="1701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Руководитель:</w:t>
      </w:r>
      <w:r>
        <w:rPr/>
        <w:t xml:space="preserve">      </w:t>
      </w:r>
      <w:r>
        <w:rPr>
          <w:sz w:val="28"/>
          <w:szCs w:val="28"/>
          <w:u w:val="single"/>
        </w:rPr>
        <w:t>Андреев Илья Александрович</w:t>
      </w:r>
    </w:p>
    <w:p>
      <w:pPr>
        <w:pStyle w:val="BodyText"/>
        <w:tabs>
          <w:tab w:val="clear" w:pos="708"/>
          <w:tab w:val="left" w:pos="3900" w:leader="none"/>
          <w:tab w:val="left" w:pos="3940" w:leader="none"/>
          <w:tab w:val="left" w:pos="3985" w:leader="none"/>
          <w:tab w:val="left" w:pos="6235" w:leader="none"/>
          <w:tab w:val="left" w:pos="6275" w:leader="none"/>
          <w:tab w:val="left" w:pos="6318" w:leader="none"/>
          <w:tab w:val="left" w:pos="8696" w:leader="none"/>
          <w:tab w:val="left" w:pos="8857" w:leader="none"/>
        </w:tabs>
        <w:spacing w:lineRule="auto" w:line="360"/>
        <w:ind w:left="1701"/>
        <w:rPr>
          <w:spacing w:val="-2"/>
          <w:sz w:val="28"/>
          <w:szCs w:val="28"/>
        </w:rPr>
      </w:pPr>
      <w:r>
        <w:rPr>
          <w:u w:val="single"/>
        </w:rPr>
        <w:t>Консультант:</w:t>
      </w:r>
      <w:r>
        <w:rPr>
          <w:u w:val="none"/>
        </w:rPr>
        <w:t xml:space="preserve">       </w:t>
      </w:r>
      <w:r>
        <w:rPr>
          <w:u w:val="single"/>
        </w:rPr>
        <w:t xml:space="preserve">Колобенина Дарья Сергеевна 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itlePg/>
          <w:textDirection w:val="lrTb"/>
          <w:docGrid w:type="default" w:linePitch="10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r>
            <w:fldChar w:fldCharType="begin"/>
          </w:r>
          <w:r>
            <w:rPr>
              <w:rStyle w:val="Style16"/>
            </w:rPr>
            <w:instrText xml:space="preserve"> TOC \f \o "1-9" \h</w:instrText>
          </w:r>
          <w:r>
            <w:rPr>
              <w:rStyle w:val="Style16"/>
            </w:rPr>
            <w:fldChar w:fldCharType="separate"/>
          </w:r>
          <w:hyperlink w:anchor="__RefHeading___Toc22169_2829662935">
            <w:r>
              <w:rPr>
                <w:rStyle w:val="Style16"/>
              </w:rPr>
              <w:t>Введение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37925_2829662935">
            <w:r>
              <w:rPr>
                <w:rStyle w:val="Style16"/>
              </w:rPr>
              <w:t>1. Техническая реализация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355" w:leader="dot"/>
            </w:tabs>
            <w:rPr/>
          </w:pPr>
          <w:hyperlink w:anchor="__RefHeading___Toc22193_2829662935">
            <w:r>
              <w:rPr>
                <w:rStyle w:val="Style16"/>
              </w:rPr>
              <w:t>1.1. Разработка информационной системы 1С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355" w:leader="dot"/>
            </w:tabs>
            <w:rPr/>
          </w:pPr>
          <w:hyperlink w:anchor="__RefHeading___Toc3368_4046097046">
            <w:r>
              <w:rPr>
                <w:rStyle w:val="Style16"/>
              </w:rPr>
              <w:t>1.2. Проектирование информационной системы Python</w:t>
              <w:tab/>
              <w:t>7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22211_2829662935">
            <w:r>
              <w:rPr>
                <w:rStyle w:val="Style16"/>
              </w:rPr>
              <w:t>Заключение</w:t>
              <w:tab/>
              <w:t>13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22213_2829662935">
            <w:r>
              <w:rPr>
                <w:rStyle w:val="Style16"/>
              </w:rPr>
              <w:t>Список литературы</w:t>
              <w:tab/>
              <w:t>14</w:t>
            </w:r>
          </w:hyperlink>
          <w:r>
            <w:rPr>
              <w:rStyle w:val="Style16"/>
            </w:rPr>
            <w:fldChar w:fldCharType="end"/>
          </w:r>
        </w:p>
      </w:sdtContent>
    </w:sdt>
    <w:p>
      <w:pPr>
        <w:pStyle w:val="Heading1"/>
        <w:ind w:hanging="0" w:left="0"/>
        <w:rPr/>
      </w:pPr>
      <w:r>
        <w:br w:type="page"/>
      </w:r>
      <w:bookmarkStart w:id="0" w:name="__RefHeading___Toc22169_2829662935"/>
      <w:bookmarkStart w:id="1" w:name="_Toc515886983"/>
      <w:bookmarkEnd w:id="0"/>
      <w:r>
        <w:rPr/>
        <w:t>Введение</w:t>
      </w:r>
      <w:bookmarkEnd w:id="1"/>
    </w:p>
    <w:p>
      <w:pPr>
        <w:pStyle w:val="Normal"/>
        <w:ind w:hanging="0" w:left="0"/>
        <w:rPr/>
      </w:pPr>
      <w:r>
        <w:rPr/>
        <w:tab/>
        <w:t>В современных экономических условиях, характеризующихся высокой динамикой рыночных отношений, нестабильностью законодательства и ростом числа недобросовестных участников хозяйственной деятельности, вопросы оценки благонадежности контрагентов приобретают критическое значение.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Актуальность исследования:</w:t>
      </w:r>
      <w:r>
        <w:rPr>
          <w:rFonts w:eastAsia="Times New Roman" w:cs="Times New Roman"/>
          <w:sz w:val="28"/>
          <w:szCs w:val="28"/>
          <w:lang w:eastAsia="ru-RU"/>
        </w:rPr>
        <w:t xml:space="preserve"> Актуальность темы исследования обусловлена критической важностью выбора надежных поставщиков для обеспечения бесперебойной деятельности торговых предприятий в условиях современной рыночной нестабильности. Основная проблема заключается в противоречии между необходимостью быстрого принятия решений о закупках и трудоемкостью традиционных методов сбора и верификации информации о контрагентах, которая часто разрозненна и труднодоступна. В связи с этим разработка программного модуля на основе интеллектуального анализа данных, позволяющего оперативно и объективно оценивать благонадежность поставщиков, является своевременным и практически значимым решением.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Объект исследования:</w:t>
      </w:r>
      <w:r>
        <w:rPr>
          <w:rFonts w:eastAsia="Times New Roman" w:cs="Times New Roman"/>
          <w:sz w:val="28"/>
          <w:szCs w:val="28"/>
          <w:lang w:eastAsia="ru-RU"/>
        </w:rPr>
        <w:t xml:space="preserve"> торговая организация АО "РТК".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Предмет исследования:</w:t>
      </w:r>
      <w:r>
        <w:rPr>
          <w:rFonts w:eastAsia="Times New Roman" w:cs="Times New Roman"/>
          <w:sz w:val="28"/>
          <w:szCs w:val="28"/>
          <w:lang w:eastAsia="ru-RU"/>
        </w:rPr>
        <w:t xml:space="preserve"> закупочная деятельность организации, в частности процесс </w:t>
      </w:r>
      <w:r>
        <w:rPr>
          <w:rFonts w:cs="Times New Roman"/>
          <w:color w:val="000000"/>
          <w:sz w:val="28"/>
          <w:szCs w:val="28"/>
          <w:shd w:fill="FFFFFF" w:val="clear"/>
        </w:rPr>
        <w:t>оценки благонадежности и выбора поставщика товаров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Цель работы:</w:t>
      </w:r>
      <w:r>
        <w:rPr>
          <w:rFonts w:eastAsia="Times New Roman" w:cs="Times New Roman"/>
          <w:sz w:val="28"/>
          <w:szCs w:val="28"/>
        </w:rPr>
        <w:t xml:space="preserve"> </w:t>
      </w:r>
      <w:r>
        <w:rPr>
          <w:rFonts w:cs="Times New Roman"/>
          <w:color w:val="000000"/>
          <w:sz w:val="28"/>
          <w:szCs w:val="28"/>
          <w:shd w:fill="FFFFFF" w:val="clear"/>
        </w:rPr>
        <w:t xml:space="preserve">разработка информационной системы оценки благонадежности поставщика товаров </w:t>
      </w:r>
      <w:r>
        <w:rPr>
          <w:rFonts w:eastAsia="Times New Roman" w:cs="Times New Roman"/>
          <w:sz w:val="28"/>
          <w:szCs w:val="28"/>
        </w:rPr>
        <w:t xml:space="preserve">для повышения качества и эффективности труда сотрудников </w:t>
      </w:r>
      <w:r>
        <w:rPr>
          <w:rFonts w:cs="Times New Roman"/>
          <w:color w:val="000000"/>
          <w:sz w:val="28"/>
          <w:szCs w:val="28"/>
          <w:shd w:fill="FFFFFF" w:val="clear"/>
        </w:rPr>
        <w:t>организации АО "РТК"</w:t>
      </w:r>
      <w:r>
        <w:rPr>
          <w:rFonts w:eastAsia="Times New Roman" w:cs="Times New Roman"/>
          <w:sz w:val="28"/>
          <w:szCs w:val="28"/>
        </w:rPr>
        <w:t>.</w:t>
      </w:r>
    </w:p>
    <w:p>
      <w:pPr>
        <w:pStyle w:val="Normal"/>
        <w:spacing w:lineRule="auto" w:line="360" w:before="0" w:after="0"/>
        <w:ind w:firstLine="709"/>
        <w:jc w:val="both"/>
        <w:rPr>
          <w:b/>
          <w:bCs/>
        </w:rPr>
      </w:pPr>
      <w:r>
        <w:rPr>
          <w:rFonts w:eastAsia="Times New Roman" w:cs="Times New Roman"/>
          <w:b/>
          <w:bCs/>
          <w:sz w:val="28"/>
          <w:szCs w:val="28"/>
          <w:lang w:val="ru-RU"/>
        </w:rPr>
        <w:t>З</w:t>
      </w:r>
      <w:r>
        <w:rPr>
          <w:rFonts w:eastAsia="Times New Roman" w:cs="Times New Roman"/>
          <w:b/>
          <w:bCs/>
          <w:sz w:val="28"/>
          <w:szCs w:val="28"/>
        </w:rPr>
        <w:t>адачи:</w:t>
      </w:r>
    </w:p>
    <w:p>
      <w:pPr>
        <w:pStyle w:val="ListParagraph"/>
        <w:widowControl/>
        <w:numPr>
          <w:ilvl w:val="0"/>
          <w:numId w:val="7"/>
        </w:numPr>
        <w:suppressAutoHyphens w:val="true"/>
        <w:overflowPunct w:val="false"/>
        <w:bidi w:val="0"/>
        <w:spacing w:lineRule="auto" w:line="360" w:before="0" w:after="0"/>
        <w:ind w:firstLine="680" w:left="0" w:right="0"/>
        <w:contextualSpacing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Разработать архитектуру и выполнить техническую реализацию информационной системы (модуля) для оценки благонадежности поставщиков на платформе «1С:Предприятие 8.3» с интеграцией Python-сервиса на основе машинного обучения.</w:t>
      </w:r>
      <w:r>
        <w:br w:type="page"/>
      </w:r>
    </w:p>
    <w:p>
      <w:pPr>
        <w:pStyle w:val="Heading1"/>
        <w:spacing w:before="0" w:after="0"/>
        <w:ind w:hanging="0" w:left="0"/>
        <w:rPr>
          <w:rFonts w:ascii="Times New Roman" w:hAnsi="Times New Roman"/>
          <w:b w:val="false"/>
          <w:color w:val="auto"/>
        </w:rPr>
      </w:pPr>
      <w:bookmarkStart w:id="2" w:name="__RefHeading___Toc37925_2829662935"/>
      <w:bookmarkEnd w:id="2"/>
      <w:r>
        <w:rPr/>
        <w:t>1. Техническая реализация</w:t>
      </w:r>
    </w:p>
    <w:p>
      <w:pPr>
        <w:pStyle w:val="Heading2"/>
        <w:ind w:hanging="0" w:left="0"/>
        <w:rPr/>
      </w:pPr>
      <w:bookmarkStart w:id="3" w:name="__RefHeading___Toc22193_2829662935"/>
      <w:bookmarkEnd w:id="3"/>
      <w:r>
        <w:rPr/>
        <w:t>1</w:t>
      </w:r>
      <w:bookmarkStart w:id="4" w:name="_Toc484799750"/>
      <w:bookmarkStart w:id="5" w:name="_Toc515886995"/>
      <w:bookmarkStart w:id="6" w:name="_Toc514667811"/>
      <w:r>
        <w:rPr/>
        <w:t>.1. Разработка информационной системы</w:t>
      </w:r>
      <w:bookmarkEnd w:id="4"/>
      <w:bookmarkEnd w:id="5"/>
      <w:bookmarkEnd w:id="6"/>
      <w:r>
        <w:rPr/>
        <w:t xml:space="preserve"> 1С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cs="Times New Roman"/>
          <w:bCs/>
          <w:sz w:val="28"/>
          <w:szCs w:val="28"/>
          <w:lang w:val="ru-RU" w:eastAsia="ru-RU"/>
        </w:rPr>
        <w:t>В ходе работы для компании</w:t>
      </w:r>
      <w:r>
        <w:rPr>
          <w:rFonts w:cs="Times New Roman"/>
          <w:bCs/>
          <w:sz w:val="28"/>
          <w:szCs w:val="28"/>
          <w:lang w:val="en-US" w:eastAsia="ru-RU"/>
        </w:rPr>
        <w:t xml:space="preserve"> АО «РТК» </w:t>
      </w:r>
      <w:r>
        <w:rPr>
          <w:rFonts w:cs="Times New Roman"/>
          <w:bCs/>
          <w:sz w:val="28"/>
          <w:szCs w:val="28"/>
          <w:lang w:val="ru-RU" w:eastAsia="ru-RU"/>
        </w:rPr>
        <w:t>была разработана отдельная конфигурация 1С, которая позволяет быстро и эффективно проверить контрагентов перед заключением договоров</w:t>
      </w:r>
      <w:r>
        <w:rPr>
          <w:rFonts w:cs="Times New Roman"/>
          <w:bCs/>
          <w:sz w:val="28"/>
          <w:szCs w:val="28"/>
          <w:lang w:val="en-US" w:eastAsia="ru-RU"/>
        </w:rPr>
        <w:t>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cs="Times New Roman"/>
          <w:bCs/>
          <w:sz w:val="28"/>
          <w:szCs w:val="28"/>
          <w:lang w:val="en-US" w:eastAsia="ru-RU"/>
        </w:rPr>
        <w:t>Структура</w:t>
      </w:r>
      <w:r>
        <w:rPr>
          <w:rFonts w:cs="Times New Roman"/>
          <w:bCs/>
          <w:sz w:val="28"/>
          <w:szCs w:val="28"/>
          <w:lang w:val="ru-RU" w:eastAsia="ru-RU"/>
        </w:rPr>
        <w:t xml:space="preserve"> разработанной </w:t>
      </w:r>
      <w:r>
        <w:rPr>
          <w:rFonts w:cs="Times New Roman"/>
          <w:bCs/>
          <w:sz w:val="28"/>
          <w:szCs w:val="28"/>
          <w:lang w:val="en-US" w:eastAsia="ru-RU"/>
        </w:rPr>
        <w:t>конфигурации показана на рисунке 1.1.</w:t>
      </w:r>
    </w:p>
    <w:p>
      <w:pPr>
        <w:pStyle w:val="Normal"/>
        <w:tabs>
          <w:tab w:val="clear" w:pos="708"/>
          <w:tab w:val="left" w:pos="990" w:leader="none"/>
        </w:tabs>
        <w:spacing w:lineRule="auto" w:line="360" w:before="0" w:after="0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/>
        <w:drawing>
          <wp:inline distT="0" distB="0" distL="0" distR="0">
            <wp:extent cx="2466975" cy="2696845"/>
            <wp:effectExtent l="0" t="0" r="0" b="0"/>
            <wp:docPr id="1" name="Рисунок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145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2729230</wp:posOffset>
            </wp:positionH>
            <wp:positionV relativeFrom="paragraph">
              <wp:posOffset>104775</wp:posOffset>
            </wp:positionV>
            <wp:extent cx="2954655" cy="2537460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655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990" w:leader="none"/>
        </w:tabs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/>
          <w:sz w:val="28"/>
          <w:szCs w:val="28"/>
          <w:lang w:eastAsia="ru-RU"/>
        </w:rPr>
        <w:t xml:space="preserve">Рисунок 1.1 – </w:t>
      </w:r>
      <w:r>
        <w:rPr>
          <w:rFonts w:cs="Times New Roman"/>
          <w:bCs/>
          <w:sz w:val="28"/>
          <w:szCs w:val="28"/>
          <w:lang w:val="en-US" w:eastAsia="ru-RU"/>
        </w:rPr>
        <w:t>Структура</w:t>
      </w:r>
      <w:r>
        <w:rPr>
          <w:rFonts w:cs="Times New Roman"/>
          <w:bCs/>
          <w:sz w:val="28"/>
          <w:szCs w:val="28"/>
          <w:lang w:val="ru-RU" w:eastAsia="ru-RU"/>
        </w:rPr>
        <w:t xml:space="preserve"> разработанной </w:t>
      </w:r>
      <w:r>
        <w:rPr>
          <w:rFonts w:cs="Times New Roman"/>
          <w:bCs/>
          <w:sz w:val="28"/>
          <w:szCs w:val="28"/>
          <w:lang w:val="en-US" w:eastAsia="ru-RU"/>
        </w:rPr>
        <w:t>конфигурации</w:t>
      </w:r>
    </w:p>
    <w:p>
      <w:pPr>
        <w:pStyle w:val="Normal"/>
        <w:tabs>
          <w:tab w:val="clear" w:pos="708"/>
          <w:tab w:val="left" w:pos="990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Интерфейс для взаимодействия с конфигурацией представлен на рисунке 1.2.</w:t>
      </w:r>
    </w:p>
    <w:p>
      <w:pPr>
        <w:pStyle w:val="Normal"/>
        <w:tabs>
          <w:tab w:val="clear" w:pos="708"/>
          <w:tab w:val="left" w:pos="990" w:leader="none"/>
        </w:tabs>
        <w:spacing w:lineRule="auto" w:line="360" w:before="0" w:after="0"/>
        <w:ind w:hanging="0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61865" cy="2980055"/>
            <wp:effectExtent l="0" t="0" r="0" b="0"/>
            <wp:wrapTopAndBottom/>
            <wp:docPr id="3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86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8"/>
          <w:szCs w:val="28"/>
          <w:lang w:eastAsia="ru-RU"/>
        </w:rPr>
        <w:t>Рисунок 1.2. - Интерфейс для взаимодействия с конфигурацией представлен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/>
          <w:sz w:val="28"/>
          <w:szCs w:val="28"/>
          <w:lang w:eastAsia="ru-RU"/>
        </w:rPr>
        <w:tab/>
        <w:t>Для заполнения списка поставщиков определенной группы товаров применяется процедура, которая формирует запрос к регистру сведений с учётом заданных параметров (рисунок 1.3).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5210175" cy="3335020"/>
            <wp:effectExtent l="0" t="0" r="0" b="0"/>
            <wp:docPr id="4" name="Рисунок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/>
          <w:sz w:val="28"/>
          <w:szCs w:val="28"/>
          <w:lang w:eastAsia="ru-RU"/>
        </w:rPr>
        <w:t>Рисунок 1.3 – Алгоритм заполнения перечня контрагентов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</w:rPr>
      </w:pPr>
      <w:r>
        <w:rPr>
          <w:rFonts w:cs="Times New Roman"/>
          <w:bCs/>
          <w:sz w:val="28"/>
          <w:szCs w:val="28"/>
          <w:shd w:fill="auto" w:val="clear"/>
        </w:rPr>
        <w:t>Для проведения оценки надежности поставщиков необходимо вызвать процедуру «Провести анализ на сервере» с помощью кнопки «Провести анализ». Данная процедура, представленная на рисунке 3.4, формирует HTTP-запрос с ИНН и КПП поставщиков в формате JSON и отправляет его на FastAPI-сервер по адресу localhost:8001/api/v1/check. FastAPI-сервер, в свою очередь, выполняет асинхронный запрос к внешнему сервису api.reputation.ru для получения расширенных данных о компаниях, обрабатывает эти данные с помощью предобученной модели машинного обучения, выполняет расчет рейтинга и возвращает структурированные результаты обратно в систему 1С, где они отображаются в пользовательском интерфейсе и сохраняются в табличных частях для дальнейшего анализа.</w:t>
      </w:r>
      <w:r>
        <w:rPr>
          <w:rFonts w:cs="Times New Roman"/>
          <w:bCs/>
          <w:sz w:val="28"/>
          <w:szCs w:val="28"/>
          <w:shd w:fill="auto" w:val="clear"/>
          <w:lang w:eastAsia="ru-RU"/>
        </w:rPr>
        <w:t xml:space="preserve"> </w:t>
      </w:r>
      <w:r>
        <w:rPr>
          <w:rFonts w:cs="Times New Roman"/>
          <w:sz w:val="28"/>
          <w:szCs w:val="28"/>
          <w:lang w:eastAsia="ru-RU"/>
        </w:rPr>
        <w:t>(Рисунок 3.4).</w:t>
      </w:r>
    </w:p>
    <w:p>
      <w:pPr>
        <w:pStyle w:val="Normal"/>
        <w:spacing w:lineRule="auto" w:line="360" w:before="0" w:after="0"/>
        <w:ind w:hanging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45085</wp:posOffset>
            </wp:positionH>
            <wp:positionV relativeFrom="paragraph">
              <wp:posOffset>31115</wp:posOffset>
            </wp:positionV>
            <wp:extent cx="5798185" cy="2562860"/>
            <wp:effectExtent l="0" t="0" r="0" b="0"/>
            <wp:wrapTopAndBottom/>
            <wp:docPr id="5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18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8"/>
          <w:szCs w:val="28"/>
          <w:lang w:eastAsia="ru-RU"/>
        </w:rPr>
        <w:t>Рисунок 1.4 – Алгоритм выполнения оценки контрагентов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  <w:t xml:space="preserve">Результаты оценки фиксируются в соответствующей табличной части </w:t>
      </w:r>
      <w:r>
        <w:rPr>
          <w:rFonts w:cs="Times New Roman"/>
          <w:sz w:val="28"/>
          <w:szCs w:val="28"/>
          <w:lang w:eastAsia="ru-RU"/>
        </w:rPr>
        <w:t>(Рисунок 1.5).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42545</wp:posOffset>
            </wp:positionH>
            <wp:positionV relativeFrom="paragraph">
              <wp:posOffset>42545</wp:posOffset>
            </wp:positionV>
            <wp:extent cx="5940425" cy="2131695"/>
            <wp:effectExtent l="0" t="0" r="0" b="0"/>
            <wp:wrapTopAndBottom/>
            <wp:docPr id="6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8"/>
          <w:szCs w:val="28"/>
          <w:lang w:eastAsia="ru-RU"/>
        </w:rPr>
        <w:t xml:space="preserve">Рисунок 1.5 – </w:t>
      </w:r>
      <w:r>
        <w:rPr>
          <w:rFonts w:cs="Times New Roman"/>
          <w:bCs/>
          <w:sz w:val="28"/>
          <w:szCs w:val="28"/>
          <w:lang w:eastAsia="ru-RU"/>
        </w:rPr>
        <w:t>Итоговые показатели оценки контрагентов</w:t>
      </w:r>
      <w:r>
        <w:br w:type="page"/>
      </w:r>
    </w:p>
    <w:p>
      <w:pPr>
        <w:pStyle w:val="Heading2"/>
        <w:spacing w:before="0" w:after="0"/>
        <w:ind w:hanging="0" w:left="0"/>
        <w:rPr/>
      </w:pPr>
      <w:bookmarkStart w:id="7" w:name="__RefHeading___Toc3368_4046097046"/>
      <w:bookmarkEnd w:id="7"/>
      <w:r>
        <w:rPr>
          <w:color w:val="auto"/>
        </w:rPr>
        <w:t xml:space="preserve">1.2. Проектирование информационной системы </w:t>
      </w:r>
      <w:r>
        <w:rPr>
          <w:color w:val="auto"/>
          <w:lang w:val="en-US"/>
        </w:rPr>
        <w:t>Python</w:t>
      </w:r>
    </w:p>
    <w:p>
      <w:pPr>
        <w:pStyle w:val="Normal"/>
        <w:jc w:val="center"/>
        <w:rPr>
          <w:b/>
          <w:bCs/>
        </w:rPr>
      </w:pPr>
      <w:bookmarkStart w:id="8" w:name="__RefHeading___Toc3370_4046097046"/>
      <w:bookmarkEnd w:id="8"/>
      <w:r>
        <w:rPr>
          <w:b/>
          <w:bCs/>
          <w:sz w:val="28"/>
          <w:szCs w:val="28"/>
        </w:rPr>
        <w:t xml:space="preserve">1.2.1 </w:t>
      </w:r>
      <w:r>
        <w:rPr>
          <w:b/>
          <w:bCs/>
          <w:sz w:val="28"/>
          <w:szCs w:val="28"/>
          <w:lang w:val="ru-RU"/>
        </w:rPr>
        <w:t>Разработка модели искусственного интеллекта</w:t>
      </w:r>
    </w:p>
    <w:p>
      <w:pPr>
        <w:pStyle w:val="Normal"/>
        <w:rPr/>
      </w:pPr>
      <w:bookmarkStart w:id="9" w:name="__RefHeading___Toc3372_4046097046"/>
      <w:bookmarkEnd w:id="9"/>
      <w:r>
        <w:rPr/>
        <w:tab/>
        <w:t>Основным инструментом при разработке систем машинного обучения является модель данных, которая представляет собой формализованное описание процессов обучения и прогнозирования на основе исторических или синтетических данных. В рамках данной работы была разработана модель оценки рисков поставщиков на основе ансамбля алгоритмов классификации. Модель реализована на языке Python с использованием библиотек scikit-learn, imbalanced-learn, xgboost и других.</w:t>
      </w:r>
    </w:p>
    <w:p>
      <w:pPr>
        <w:pStyle w:val="Normal"/>
        <w:rPr/>
      </w:pPr>
      <w:bookmarkStart w:id="10" w:name="__RefHeading___Toc3374_4046097046"/>
      <w:bookmarkEnd w:id="10"/>
      <w:r>
        <w:rPr/>
        <w:tab/>
        <w:t>Современный подход к разработке ML-моделей предполагает использование объектно-ориентированного программирования, что позволяет инкапсулировать логику обработки данных, обучения и прогнозирования в единый класс. Это обеспечивает удобство использования, возможность повторного обучения и интеграции модели в производственные системы.</w:t>
      </w:r>
    </w:p>
    <w:p>
      <w:pPr>
        <w:pStyle w:val="Normal"/>
        <w:rPr/>
      </w:pPr>
      <w:bookmarkStart w:id="11" w:name="__RefHeading___Toc3376_4046097046"/>
      <w:bookmarkEnd w:id="11"/>
      <w:r>
        <w:rPr/>
        <w:tab/>
        <w:t>Разработанная модель включает следующие ключевые компоненты:</w:t>
      </w:r>
    </w:p>
    <w:p>
      <w:pPr>
        <w:pStyle w:val="Normal"/>
        <w:numPr>
          <w:ilvl w:val="0"/>
          <w:numId w:val="2"/>
        </w:numPr>
        <w:rPr/>
      </w:pPr>
      <w:bookmarkStart w:id="12" w:name="__RefHeading___Toc3378_4046097046"/>
      <w:bookmarkEnd w:id="12"/>
      <w:r>
        <w:rPr/>
        <w:t>Расчёт интегрального показателя риска на основе бизнес-правил.</w:t>
      </w:r>
    </w:p>
    <w:p>
      <w:pPr>
        <w:pStyle w:val="Normal"/>
        <w:numPr>
          <w:ilvl w:val="0"/>
          <w:numId w:val="2"/>
        </w:numPr>
        <w:rPr/>
      </w:pPr>
      <w:bookmarkStart w:id="13" w:name="__RefHeading___Toc3380_4046097046"/>
      <w:bookmarkEnd w:id="13"/>
      <w:r>
        <w:rPr/>
        <w:t>Генерация синтетического обучающего набора данных.</w:t>
      </w:r>
    </w:p>
    <w:p>
      <w:pPr>
        <w:pStyle w:val="Normal"/>
        <w:numPr>
          <w:ilvl w:val="0"/>
          <w:numId w:val="2"/>
        </w:numPr>
        <w:rPr/>
      </w:pPr>
      <w:bookmarkStart w:id="14" w:name="__RefHeading___Toc3382_4046097046"/>
      <w:bookmarkEnd w:id="14"/>
      <w:r>
        <w:rPr/>
        <w:t>Расширение признакового пространства за счёт производных метрик.</w:t>
      </w:r>
    </w:p>
    <w:p>
      <w:pPr>
        <w:pStyle w:val="Normal"/>
        <w:numPr>
          <w:ilvl w:val="0"/>
          <w:numId w:val="2"/>
        </w:numPr>
        <w:rPr/>
      </w:pPr>
      <w:bookmarkStart w:id="15" w:name="__RefHeading___Toc3384_4046097046"/>
      <w:bookmarkEnd w:id="15"/>
      <w:r>
        <w:rPr/>
        <w:t>Применение техник балансировки данных (SMOTE).</w:t>
      </w:r>
    </w:p>
    <w:p>
      <w:pPr>
        <w:pStyle w:val="Normal"/>
        <w:numPr>
          <w:ilvl w:val="0"/>
          <w:numId w:val="2"/>
        </w:numPr>
        <w:rPr/>
      </w:pPr>
      <w:bookmarkStart w:id="16" w:name="__RefHeading___Toc3386_4046097046"/>
      <w:bookmarkEnd w:id="16"/>
      <w:r>
        <w:rPr/>
        <w:t>Использование ансамбля моделей (StackingClassifier) для повышения точности прогнозирования.</w:t>
      </w:r>
    </w:p>
    <w:p>
      <w:pPr>
        <w:pStyle w:val="Normal"/>
        <w:rPr/>
      </w:pPr>
      <w:bookmarkStart w:id="17" w:name="__RefHeading___Toc3388_4046097046"/>
      <w:bookmarkEnd w:id="17"/>
      <w:r>
        <w:rPr/>
        <w:tab/>
        <w:t>Интерфейс взаимодействия с моделью представлен в виде класса SupplierRiskModel, который предоставляет методы для обучения, прогнозирования, оценки и сохранения модели.</w:t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18" w:name="__RefHeading___Toc3390_4046097046"/>
      <w:bookmarkEnd w:id="18"/>
      <w:r>
        <w:rPr/>
        <w:tab/>
        <w:t>Разработка модели машинного обучения в среде Python предполагает создание и настройку объектов-классификаторов, определение пайплайнов предобработки данных, а также реализацию методов валидации и интерпретации результатов. Все созданные объекты и методы инкапсулированы в единый класс, что обеспечивает целостность и сопровождаемость решения.</w:t>
      </w:r>
    </w:p>
    <w:p>
      <w:pPr>
        <w:pStyle w:val="Normal"/>
        <w:rPr/>
      </w:pPr>
      <w:bookmarkStart w:id="19" w:name="__RefHeading___Toc3392_4046097046"/>
      <w:bookmarkEnd w:id="19"/>
      <w:r>
        <w:rPr/>
        <w:tab/>
        <w:t>Рассмотрим подробнее ключевые методы разработанного класса SupplierRiskModel.</w:t>
      </w:r>
    </w:p>
    <w:p>
      <w:pPr>
        <w:pStyle w:val="Normal"/>
        <w:rPr/>
      </w:pPr>
      <w:bookmarkStart w:id="20" w:name="__RefHeading___Toc3394_4046097046"/>
      <w:bookmarkEnd w:id="20"/>
      <w:r>
        <w:rPr/>
        <w:tab/>
        <w:t>Метод calculate_risk_score:</w:t>
      </w:r>
    </w:p>
    <w:p>
      <w:pPr>
        <w:pStyle w:val="Normal"/>
        <w:rPr/>
      </w:pPr>
      <w:bookmarkStart w:id="21" w:name="__RefHeading___Toc3396_4046097046"/>
      <w:bookmarkEnd w:id="21"/>
      <w:r>
        <w:rPr/>
        <w:tab/>
        <w:t>Предназначен для расчёта интегрального показателя риска поставщика на основе взвешенной суммы факторов риска. Формула расчёта включает такие параметры, как наличие убытков, нулевая выручка, налоговая задолженность, арбитражные дела и другие. Весовые коэффициенты определены на основе экспертной оценки значимости каждого фактора. Результирующее значение нормализуется в диапазон от 0 до 10.</w:t>
      </w:r>
    </w:p>
    <w:p>
      <w:pPr>
        <w:pStyle w:val="Normal"/>
        <w:rPr/>
      </w:pPr>
      <w:bookmarkStart w:id="22" w:name="__RefHeading___Toc3398_4046097046"/>
      <w:bookmarkEnd w:id="22"/>
      <w:r>
        <w:rPr/>
        <w:tab/>
        <w:t>Метод prepare_advanced_features:</w:t>
      </w:r>
    </w:p>
    <w:p>
      <w:pPr>
        <w:pStyle w:val="Normal"/>
        <w:rPr/>
      </w:pPr>
      <w:bookmarkStart w:id="23" w:name="__RefHeading___Toc3400_4046097046"/>
      <w:bookmarkEnd w:id="23"/>
      <w:r>
        <w:rPr/>
        <w:tab/>
        <w:t>Выполняет расширение исходного признакового пространства за счёт создания производных признаков, таких как:</w:t>
      </w:r>
    </w:p>
    <w:p>
      <w:pPr>
        <w:pStyle w:val="Normal"/>
        <w:numPr>
          <w:ilvl w:val="0"/>
          <w:numId w:val="3"/>
        </w:numPr>
        <w:rPr/>
      </w:pPr>
      <w:bookmarkStart w:id="24" w:name="__RefHeading___Toc3402_4046097046"/>
      <w:bookmarkEnd w:id="24"/>
      <w:r>
        <w:rPr/>
        <w:t>Общее количество негативных факторов.</w:t>
      </w:r>
    </w:p>
    <w:p>
      <w:pPr>
        <w:pStyle w:val="Normal"/>
        <w:numPr>
          <w:ilvl w:val="0"/>
          <w:numId w:val="3"/>
        </w:numPr>
        <w:rPr/>
      </w:pPr>
      <w:bookmarkStart w:id="25" w:name="__RefHeading___Toc3404_4046097046"/>
      <w:bookmarkEnd w:id="25"/>
      <w:r>
        <w:rPr/>
        <w:t>Индекс стабильности поставщика.</w:t>
      </w:r>
    </w:p>
    <w:p>
      <w:pPr>
        <w:pStyle w:val="Normal"/>
        <w:numPr>
          <w:ilvl w:val="0"/>
          <w:numId w:val="3"/>
        </w:numPr>
        <w:rPr/>
      </w:pPr>
      <w:bookmarkStart w:id="26" w:name="__RefHeading___Toc3406_4046097046"/>
      <w:bookmarkEnd w:id="26"/>
      <w:r>
        <w:rPr/>
        <w:t>Взаимодействия между ключевыми рисковыми факторами.</w:t>
      </w:r>
    </w:p>
    <w:p>
      <w:pPr>
        <w:pStyle w:val="Normal"/>
        <w:numPr>
          <w:ilvl w:val="0"/>
          <w:numId w:val="3"/>
        </w:numPr>
        <w:rPr/>
      </w:pPr>
      <w:bookmarkStart w:id="27" w:name="__RefHeading___Toc3408_4046097046"/>
      <w:bookmarkEnd w:id="27"/>
      <w:r>
        <w:rPr/>
        <w:t>Относительные показатели (например, риск на год работы компании).</w:t>
      </w:r>
    </w:p>
    <w:p>
      <w:pPr>
        <w:pStyle w:val="Normal"/>
        <w:rPr/>
      </w:pPr>
      <w:bookmarkStart w:id="28" w:name="__RefHeading___Toc3410_4046097046"/>
      <w:bookmarkEnd w:id="28"/>
      <w:r>
        <w:rPr/>
        <w:tab/>
        <w:t>Это позволяет модели учитывать не только исходные данные, но и сложные зависимости между ними.</w:t>
      </w:r>
    </w:p>
    <w:p>
      <w:pPr>
        <w:pStyle w:val="Normal"/>
        <w:rPr/>
      </w:pPr>
      <w:r>
        <w:rPr/>
        <w:tab/>
        <w:t xml:space="preserve">Метод create_super_ensemble реализует ансамблевую модель на основе стекинга (StackingClassifier). </w:t>
        <w:tab/>
      </w:r>
    </w:p>
    <w:p>
      <w:pPr>
        <w:pStyle w:val="Normal"/>
        <w:rPr/>
      </w:pPr>
      <w:r>
        <w:rPr/>
        <w:tab/>
        <w:t>В качестве базовых моделей используются:</w:t>
      </w:r>
    </w:p>
    <w:p>
      <w:pPr>
        <w:pStyle w:val="Normal"/>
        <w:numPr>
          <w:ilvl w:val="0"/>
          <w:numId w:val="4"/>
        </w:numPr>
        <w:rPr/>
      </w:pPr>
      <w:bookmarkStart w:id="29" w:name="__RefHeading___Toc3416_4046097046"/>
      <w:bookmarkEnd w:id="29"/>
      <w:r>
        <w:rPr/>
        <w:t>RandomForestClassifier с балансировкой классов.</w:t>
      </w:r>
    </w:p>
    <w:p>
      <w:pPr>
        <w:pStyle w:val="Normal"/>
        <w:numPr>
          <w:ilvl w:val="0"/>
          <w:numId w:val="4"/>
        </w:numPr>
        <w:rPr/>
      </w:pPr>
      <w:bookmarkStart w:id="30" w:name="__RefHeading___Toc3418_4046097046"/>
      <w:bookmarkEnd w:id="30"/>
      <w:r>
        <w:rPr/>
        <w:t>BalancedRandomForestClassifier.</w:t>
      </w:r>
    </w:p>
    <w:p>
      <w:pPr>
        <w:pStyle w:val="Normal"/>
        <w:numPr>
          <w:ilvl w:val="0"/>
          <w:numId w:val="4"/>
        </w:numPr>
        <w:rPr/>
      </w:pPr>
      <w:bookmarkStart w:id="31" w:name="__RefHeading___Toc3420_4046097046"/>
      <w:bookmarkEnd w:id="31"/>
      <w:r>
        <w:rPr/>
        <w:t>XGBoost.</w:t>
      </w:r>
    </w:p>
    <w:p>
      <w:pPr>
        <w:pStyle w:val="Normal"/>
        <w:numPr>
          <w:ilvl w:val="0"/>
          <w:numId w:val="4"/>
        </w:numPr>
        <w:rPr/>
      </w:pPr>
      <w:bookmarkStart w:id="32" w:name="__RefHeading___Toc3422_4046097046"/>
      <w:bookmarkEnd w:id="32"/>
      <w:r>
        <w:rPr/>
        <w:t>GradientBoostingClassifier.</w:t>
      </w:r>
    </w:p>
    <w:p>
      <w:pPr>
        <w:pStyle w:val="Normal"/>
        <w:rPr/>
      </w:pPr>
      <w:r>
        <w:rPr/>
        <w:tab/>
        <w:t>Метод train_high_accuracy_model осуществляет полный цикл обучения модели, начиная с генерации синтетического набора данных и расширения признакового пространства, после чего выполняется балансировка классов с помощью SMOTE. Далее производится разделение данных на обучающую и тестовую выборки, масштабирование и преобразование признаков, а затем непосредственно обучение ансамблевой модели с последующей оценкой ее качества на тестовых данных.</w:t>
      </w:r>
    </w:p>
    <w:p>
      <w:pPr>
        <w:pStyle w:val="Normal"/>
        <w:rPr/>
      </w:pPr>
      <w:bookmarkStart w:id="33" w:name="__RefHeading___Toc3444_4046097046"/>
      <w:bookmarkEnd w:id="33"/>
      <w:r>
        <w:rPr/>
        <w:tab/>
        <w:t>Метод predict_risk:</w:t>
      </w:r>
    </w:p>
    <w:p>
      <w:pPr>
        <w:pStyle w:val="Normal"/>
        <w:rPr/>
      </w:pPr>
      <w:bookmarkStart w:id="34" w:name="__RefHeading___Toc3446_4046097046"/>
      <w:bookmarkEnd w:id="34"/>
      <w:r>
        <w:rPr/>
        <w:tab/>
        <w:t>Выполняет прогнозирование уровня риска для новых данных. Он включает валидацию входных данных, расчёт дополнительных признаков, преобразование данных и получение прогноза с вероятностными оценками для каждого класса. Результат возвращается в структурированном формате, включая предсказанный класс, уверенность модели, распределение вероятностей и детальный анализ факторов риска.</w:t>
      </w:r>
    </w:p>
    <w:p>
      <w:pPr>
        <w:pStyle w:val="Normal"/>
        <w:rPr/>
      </w:pPr>
      <w:bookmarkStart w:id="35" w:name="__RefHeading___Toc3448_4046097046"/>
      <w:bookmarkEnd w:id="35"/>
      <w:r>
        <w:rPr/>
        <w:tab/>
        <w:t>Таким образом, разработанная модель представляет собой комплексное решение для автоматической оценки рисков поставщиков, сочетающее в себе бизнес-логику расчёта рисков, методы машинного обучения и техники обработки данных. Модель демонстрирует высокую точность (accuracy: 0.8577) и может быть интегрирована в существующие системы управления поставщиками.</w:t>
      </w:r>
      <w:r>
        <w:br w:type="page"/>
      </w:r>
    </w:p>
    <w:p>
      <w:pPr>
        <w:pStyle w:val="Normal"/>
        <w:widowControl/>
        <w:suppressAutoHyphens w:val="true"/>
        <w:spacing w:lineRule="auto" w:line="259" w:before="0" w:after="0"/>
        <w:ind w:hanging="0" w:left="0"/>
        <w:jc w:val="center"/>
        <w:rPr>
          <w:b/>
          <w:bCs/>
        </w:rPr>
      </w:pPr>
      <w:bookmarkStart w:id="36" w:name="__RefHeading___Toc3450_4046097046"/>
      <w:bookmarkEnd w:id="36"/>
      <w:r>
        <w:rPr>
          <w:b/>
          <w:bCs/>
          <w:color w:val="auto"/>
          <w:sz w:val="28"/>
          <w:szCs w:val="28"/>
          <w:lang w:val="ru-RU"/>
        </w:rPr>
        <w:t>1</w:t>
      </w:r>
      <w:r>
        <w:rPr>
          <w:b/>
          <w:bCs/>
          <w:color w:val="auto"/>
          <w:sz w:val="28"/>
          <w:szCs w:val="28"/>
          <w:lang w:val="en-US"/>
        </w:rPr>
        <w:t>.</w:t>
      </w:r>
      <w:r>
        <w:rPr>
          <w:b/>
          <w:bCs/>
          <w:color w:val="auto"/>
          <w:sz w:val="28"/>
          <w:szCs w:val="28"/>
          <w:lang w:val="ru-RU"/>
        </w:rPr>
        <w:t>2</w:t>
      </w:r>
      <w:r>
        <w:rPr>
          <w:b/>
          <w:bCs/>
          <w:color w:val="auto"/>
          <w:sz w:val="28"/>
          <w:szCs w:val="28"/>
          <w:lang w:val="en-US"/>
        </w:rPr>
        <w:t>.</w:t>
      </w:r>
      <w:r>
        <w:rPr>
          <w:b/>
          <w:bCs/>
          <w:color w:val="auto"/>
          <w:sz w:val="28"/>
          <w:szCs w:val="28"/>
          <w:lang w:val="ru-RU"/>
        </w:rPr>
        <w:t>2</w:t>
      </w:r>
      <w:r>
        <w:rPr>
          <w:b/>
          <w:bCs/>
          <w:color w:val="auto"/>
          <w:sz w:val="28"/>
          <w:szCs w:val="28"/>
          <w:lang w:val="en-US"/>
        </w:rPr>
        <w:t xml:space="preserve"> </w:t>
      </w:r>
      <w:r>
        <w:rPr>
          <w:b/>
          <w:bCs/>
          <w:color w:val="auto"/>
          <w:sz w:val="28"/>
          <w:szCs w:val="28"/>
          <w:lang w:val="ru-RU"/>
        </w:rPr>
        <w:t xml:space="preserve">Разработка </w:t>
      </w:r>
      <w:r>
        <w:rPr>
          <w:b/>
          <w:bCs/>
          <w:color w:val="auto"/>
          <w:sz w:val="28"/>
          <w:szCs w:val="28"/>
          <w:lang w:val="en-US"/>
        </w:rPr>
        <w:t>API</w:t>
      </w:r>
    </w:p>
    <w:p>
      <w:pPr>
        <w:pStyle w:val="Normal"/>
        <w:widowControl/>
        <w:suppressAutoHyphens w:val="true"/>
        <w:spacing w:lineRule="auto" w:line="259" w:before="0" w:after="0"/>
        <w:ind w:hanging="0" w:left="0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bookmarkStart w:id="37" w:name="__RefHeading___Toc3452_4046097046"/>
      <w:bookmarkEnd w:id="37"/>
      <w:r>
        <w:rPr>
          <w:b w:val="false"/>
          <w:color w:val="auto"/>
        </w:rPr>
        <w:tab/>
        <w:t>Для расширения функциональности системы комплексной оценки надежности поставщиков и реализации современных алгоритмов машинного обучения был разработан специализированный Python-сервис, интегрируемый с платформой 1С:Предприятие через REST API. Данный сервис представляет собой микросервисную архитектуру, построенную на принципах модульности и масштабируемости</w:t>
      </w:r>
      <w:r>
        <w:rPr>
          <w:rFonts w:cs="Times New Roman"/>
          <w:b w:val="false"/>
          <w:color w:val="auto"/>
          <w:lang w:eastAsia="ru-RU"/>
        </w:rPr>
        <w:t>.</w:t>
      </w:r>
    </w:p>
    <w:p>
      <w:pPr>
        <w:pStyle w:val="Normal"/>
        <w:widowControl/>
        <w:suppressAutoHyphens w:val="true"/>
        <w:spacing w:lineRule="auto" w:line="259" w:before="0" w:after="0"/>
        <w:ind w:hanging="0" w:left="0"/>
        <w:jc w:val="center"/>
        <w:rPr>
          <w:rFonts w:ascii="Times New Roman" w:hAnsi="Times New Roman"/>
          <w:b w:val="false"/>
          <w:color w:val="auto"/>
          <w:sz w:val="28"/>
          <w:szCs w:val="28"/>
        </w:rPr>
      </w:pPr>
      <w:bookmarkStart w:id="38" w:name="__RefHeading___Toc3454_4046097046"/>
      <w:bookmarkEnd w:id="38"/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1092200</wp:posOffset>
            </wp:positionH>
            <wp:positionV relativeFrom="paragraph">
              <wp:posOffset>70485</wp:posOffset>
            </wp:positionV>
            <wp:extent cx="3755390" cy="4862195"/>
            <wp:effectExtent l="0" t="0" r="0" b="0"/>
            <wp:wrapTopAndBottom/>
            <wp:docPr id="7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39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color w:val="auto"/>
          <w:sz w:val="28"/>
          <w:szCs w:val="28"/>
        </w:rPr>
        <w:t>Рисунок 1.6 -  Архитектура Python-сервиса</w:t>
      </w:r>
    </w:p>
    <w:p>
      <w:pPr>
        <w:pStyle w:val="Normal"/>
        <w:widowControl/>
        <w:suppressAutoHyphens w:val="true"/>
        <w:spacing w:lineRule="auto" w:line="259" w:before="0" w:after="0"/>
        <w:ind w:hanging="0" w:left="0"/>
        <w:jc w:val="both"/>
        <w:rPr>
          <w:rFonts w:ascii="Times New Roman" w:hAnsi="Times New Roman"/>
          <w:b w:val="false"/>
          <w:color w:val="auto"/>
          <w:sz w:val="28"/>
          <w:szCs w:val="28"/>
        </w:rPr>
      </w:pPr>
      <w:r>
        <w:rPr>
          <w:b w:val="false"/>
          <w:color w:val="auto"/>
          <w:sz w:val="28"/>
          <w:szCs w:val="28"/>
        </w:rPr>
      </w:r>
    </w:p>
    <w:p>
      <w:pPr>
        <w:pStyle w:val="Normal"/>
        <w:rPr>
          <w:b w:val="false"/>
          <w:color w:val="auto"/>
        </w:rPr>
      </w:pPr>
      <w:bookmarkStart w:id="39" w:name="__RefHeading___Toc3456_4046097046"/>
      <w:bookmarkEnd w:id="39"/>
      <w:r>
        <w:rPr>
          <w:b w:val="false"/>
          <w:color w:val="auto"/>
        </w:rPr>
        <w:tab/>
        <w:t>Архитектура Python-сервиса включает следующие основные компоненты (Рисунок 1.6):</w:t>
      </w:r>
    </w:p>
    <w:p>
      <w:pPr>
        <w:pStyle w:val="Normal"/>
        <w:rPr/>
      </w:pPr>
      <w:r>
        <w:rPr/>
        <w:tab/>
      </w:r>
      <w:r>
        <w:rPr>
          <w:lang w:val="ru-RU"/>
        </w:rPr>
        <w:t>Переменные окружения (</w:t>
      </w:r>
      <w:r>
        <w:rPr/>
        <w:t xml:space="preserve">env.py </w:t>
      </w:r>
      <w:r>
        <w:rPr>
          <w:lang w:val="ru-RU"/>
        </w:rPr>
        <w:t>и .</w:t>
      </w:r>
      <w:r>
        <w:rPr/>
        <w:t xml:space="preserve">env) </w:t>
      </w:r>
      <w:r>
        <w:rPr>
          <w:lang w:val="ru-RU"/>
        </w:rPr>
        <w:t xml:space="preserve">нужны для хранения </w:t>
      </w:r>
      <w:r>
        <w:rPr>
          <w:b w:val="false"/>
          <w:color w:val="auto"/>
          <w:lang w:val="ru-RU"/>
        </w:rPr>
        <w:t xml:space="preserve">API </w:t>
      </w:r>
      <w:r>
        <w:rPr>
          <w:lang w:val="ru-RU"/>
        </w:rPr>
        <w:t xml:space="preserve">ключа </w:t>
      </w:r>
      <w:r>
        <w:rPr>
          <w:b w:val="false"/>
          <w:color w:val="auto"/>
          <w:lang w:val="ru-RU"/>
        </w:rPr>
        <w:t>"Репутация".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160"/>
        <w:ind w:hanging="0" w:left="0" w:right="0"/>
        <w:jc w:val="both"/>
        <w:rPr/>
      </w:pPr>
      <w:r>
        <w:rPr/>
        <w:tab/>
        <w:t>Логирование событий Python-сервиса (log.py) позволяет производить отслеживание, анализ и отладку работы системы, а также находить и исправлять ошибки и контролировать процессы.</w:t>
      </w:r>
    </w:p>
    <w:p>
      <w:pPr>
        <w:pStyle w:val="Normal"/>
        <w:rPr/>
      </w:pPr>
      <w:r>
        <w:rPr/>
        <w:tab/>
        <w:t>FastAPI-приложение (app.py) выступает в качестве точки входа и обеспечивает:</w:t>
      </w:r>
    </w:p>
    <w:p>
      <w:pPr>
        <w:pStyle w:val="Normal"/>
        <w:numPr>
          <w:ilvl w:val="0"/>
          <w:numId w:val="6"/>
        </w:numPr>
        <w:rPr/>
      </w:pPr>
      <w:bookmarkStart w:id="40" w:name="__RefHeading___Toc3472_4046097046"/>
      <w:bookmarkEnd w:id="40"/>
      <w:r>
        <w:rPr/>
        <w:t>Обработку HTTP-запросов от клиентской части на 1С</w:t>
      </w:r>
    </w:p>
    <w:p>
      <w:pPr>
        <w:pStyle w:val="Normal"/>
        <w:numPr>
          <w:ilvl w:val="0"/>
          <w:numId w:val="6"/>
        </w:numPr>
        <w:rPr/>
      </w:pPr>
      <w:bookmarkStart w:id="41" w:name="__RefHeading___Toc3474_4046097046"/>
      <w:bookmarkEnd w:id="41"/>
      <w:r>
        <w:rPr/>
        <w:t>Управление жизненным циклом приложения через контекстные менеджеры</w:t>
      </w:r>
    </w:p>
    <w:p>
      <w:pPr>
        <w:pStyle w:val="Normal"/>
        <w:numPr>
          <w:ilvl w:val="0"/>
          <w:numId w:val="6"/>
        </w:numPr>
        <w:rPr/>
      </w:pPr>
      <w:bookmarkStart w:id="42" w:name="__RefHeading___Toc3476_4046097046"/>
      <w:bookmarkEnd w:id="42"/>
      <w:r>
        <w:rPr/>
        <w:t>Настройку CORS-политик для кросс-доменных запросов</w:t>
      </w:r>
    </w:p>
    <w:p>
      <w:pPr>
        <w:pStyle w:val="Normal"/>
        <w:numPr>
          <w:ilvl w:val="0"/>
          <w:numId w:val="6"/>
        </w:numPr>
        <w:rPr/>
      </w:pPr>
      <w:bookmarkStart w:id="43" w:name="__RefHeading___Toc3478_4046097046"/>
      <w:bookmarkEnd w:id="43"/>
      <w:r>
        <w:rPr/>
        <w:t>Маршрутизацию запросов к соответствующим обработчикам</w:t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44" w:name="__RefHeading___Toc3480_4046097046"/>
      <w:bookmarkEnd w:id="44"/>
      <w:r>
        <w:rPr/>
        <w:tab/>
        <w:t>Модуль HTTP-запросов (queries.py) предоставляет асинхронные клиенты для выполнения HTTP-запросов, обеспечивает обработку ошибок и таймаутов при работе с внешними API, а также реализует унифицированный интерфейс для взаимодействия с различными сервисами.</w:t>
      </w:r>
    </w:p>
    <w:p>
      <w:pPr>
        <w:pStyle w:val="Normal"/>
        <w:rPr/>
      </w:pPr>
      <w:r>
        <w:rPr/>
        <w:tab/>
        <w:t>Модуль routers.py определяет конечные точки API, где реализован эндпоинт /api/v1/check для обработки POST-запросов, организован пайплайн обработки данных, включающий их получение, преобразование, анализ и возврат результатов, а также обеспечена интеграция с внешними сервисами и ML-моделью.</w:t>
      </w:r>
    </w:p>
    <w:p>
      <w:pPr>
        <w:pStyle w:val="Normal"/>
        <w:rPr/>
      </w:pPr>
      <w:r>
        <w:rPr/>
        <w:tab/>
        <w:t>Модуль utils.py — содержит  утилиты для обработки данных</w:t>
      </w:r>
    </w:p>
    <w:p>
      <w:pPr>
        <w:pStyle w:val="Normal"/>
        <w:rPr/>
      </w:pPr>
      <w:r>
        <w:rPr/>
        <w:tab/>
        <w:t>Модуль model.py, содержащий модель машинного обучения, представляет собой ядро системы оценки и включает класс SupplierRiskModel для работы с ансамблевой моделью классификации, методы предобработки данных и извлечения признаков, алгоритмы расчета интегральных показателей риска, а также механизмы валидации и оценки качества предсказаний.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160"/>
        <w:ind w:hanging="0" w:left="0" w:right="0"/>
        <w:jc w:val="both"/>
        <w:rPr/>
      </w:pPr>
      <w:r>
        <w:rPr/>
        <w:t xml:space="preserve"> </w:t>
      </w:r>
      <w:r>
        <w:rPr/>
        <w:tab/>
        <w:t>Модуль model_provider.py - поставщик модели, обеспечивает загрузку предобученных моделей из сериализованных файлов, управление их жизненным циклом в производственной среде, а также изоляцию логики работы с моделями для упрощения поддержки и дальнейшего развития системы.</w:t>
      </w:r>
    </w:p>
    <w:p>
      <w:pPr>
        <w:pStyle w:val="Normal"/>
        <w:rPr/>
      </w:pPr>
      <w:bookmarkStart w:id="45" w:name="__RefHeading___Toc3524_4046097046"/>
      <w:bookmarkEnd w:id="45"/>
      <w:r>
        <w:rPr/>
        <w:tab/>
        <w:t>Взаимодействие компонентов в процессе оценки поставщика происходит по следующему алгоритму:</w:t>
      </w:r>
    </w:p>
    <w:p>
      <w:pPr>
        <w:pStyle w:val="Normal"/>
        <w:numPr>
          <w:ilvl w:val="0"/>
          <w:numId w:val="8"/>
        </w:numPr>
        <w:rPr/>
      </w:pPr>
      <w:bookmarkStart w:id="46" w:name="__RefHeading___Toc3526_4046097046"/>
      <w:bookmarkEnd w:id="46"/>
      <w:r>
        <w:rPr/>
        <w:t>Клиентское приложение на 1С формирует JSON-запрос с ИНН поставщиков</w:t>
      </w:r>
    </w:p>
    <w:p>
      <w:pPr>
        <w:pStyle w:val="Normal"/>
        <w:numPr>
          <w:ilvl w:val="0"/>
          <w:numId w:val="8"/>
        </w:numPr>
        <w:rPr/>
      </w:pPr>
      <w:bookmarkStart w:id="47" w:name="__RefHeading___Toc3528_4046097046"/>
      <w:bookmarkEnd w:id="47"/>
      <w:r>
        <w:rPr/>
        <w:t>FastAPI-сервер принимает запрос и передает его в обработчик роутера</w:t>
      </w:r>
    </w:p>
    <w:p>
      <w:pPr>
        <w:pStyle w:val="Normal"/>
        <w:numPr>
          <w:ilvl w:val="0"/>
          <w:numId w:val="8"/>
        </w:numPr>
        <w:rPr/>
      </w:pPr>
      <w:bookmarkStart w:id="48" w:name="__RefHeading___Toc3530_4046097046"/>
      <w:bookmarkEnd w:id="48"/>
      <w:r>
        <w:rPr/>
        <w:t>Модуль утилит выполняет асинхронные запросы к API "Репутация"</w:t>
      </w:r>
    </w:p>
    <w:p>
      <w:pPr>
        <w:pStyle w:val="Normal"/>
        <w:numPr>
          <w:ilvl w:val="0"/>
          <w:numId w:val="8"/>
        </w:numPr>
        <w:rPr/>
      </w:pPr>
      <w:bookmarkStart w:id="49" w:name="__RefHeading___Toc3532_4046097046"/>
      <w:bookmarkEnd w:id="49"/>
      <w:r>
        <w:rPr/>
        <w:t>Полученные данные преобразуются в структурированные признаки</w:t>
      </w:r>
    </w:p>
    <w:p>
      <w:pPr>
        <w:pStyle w:val="Normal"/>
        <w:numPr>
          <w:ilvl w:val="0"/>
          <w:numId w:val="8"/>
        </w:numPr>
        <w:rPr/>
      </w:pPr>
      <w:bookmarkStart w:id="50" w:name="__RefHeading___Toc3534_4046097046"/>
      <w:bookmarkEnd w:id="50"/>
      <w:r>
        <w:rPr/>
        <w:t>ML-модель анализирует признаки и генерирует оценку надежности</w:t>
      </w:r>
    </w:p>
    <w:p>
      <w:pPr>
        <w:pStyle w:val="Normal"/>
        <w:numPr>
          <w:ilvl w:val="0"/>
          <w:numId w:val="8"/>
        </w:numPr>
        <w:rPr/>
      </w:pPr>
      <w:bookmarkStart w:id="51" w:name="__RefHeading___Toc3536_4046097046"/>
      <w:bookmarkEnd w:id="51"/>
      <w:r>
        <w:rPr/>
        <w:t>Результаты форматируются и возвращаются в 1С для отображения</w:t>
      </w:r>
    </w:p>
    <w:p>
      <w:pPr>
        <w:pStyle w:val="Normal"/>
        <w:rPr/>
      </w:pPr>
      <w:bookmarkStart w:id="52" w:name="__RefHeading___Toc3538_4046097046"/>
      <w:bookmarkEnd w:id="52"/>
      <w:r>
        <w:rPr/>
        <w:tab/>
        <w:t>Преимущества выбранной архитектуры:</w:t>
      </w:r>
    </w:p>
    <w:p>
      <w:pPr>
        <w:pStyle w:val="Normal"/>
        <w:numPr>
          <w:ilvl w:val="0"/>
          <w:numId w:val="5"/>
        </w:numPr>
        <w:rPr/>
      </w:pPr>
      <w:bookmarkStart w:id="53" w:name="__RefHeading___Toc3540_4046097046"/>
      <w:bookmarkEnd w:id="53"/>
      <w:r>
        <w:rPr/>
        <w:t>Модульность: каждый компонент отвечает за конкретную задачу</w:t>
      </w:r>
    </w:p>
    <w:p>
      <w:pPr>
        <w:pStyle w:val="Normal"/>
        <w:numPr>
          <w:ilvl w:val="0"/>
          <w:numId w:val="5"/>
        </w:numPr>
        <w:rPr/>
      </w:pPr>
      <w:bookmarkStart w:id="54" w:name="__RefHeading___Toc3542_4046097046"/>
      <w:bookmarkEnd w:id="54"/>
      <w:r>
        <w:rPr/>
        <w:t>Масштабируемость: возможность независимого масштабирования компонентов</w:t>
      </w:r>
    </w:p>
    <w:p>
      <w:pPr>
        <w:pStyle w:val="Normal"/>
        <w:numPr>
          <w:ilvl w:val="0"/>
          <w:numId w:val="5"/>
        </w:numPr>
        <w:rPr/>
      </w:pPr>
      <w:bookmarkStart w:id="55" w:name="__RefHeading___Toc3544_4046097046"/>
      <w:bookmarkEnd w:id="55"/>
      <w:r>
        <w:rPr/>
        <w:t>Поддерживаемость: четкое разделение ответственности между модулями</w:t>
      </w:r>
    </w:p>
    <w:p>
      <w:pPr>
        <w:pStyle w:val="Normal"/>
        <w:numPr>
          <w:ilvl w:val="0"/>
          <w:numId w:val="5"/>
        </w:numPr>
        <w:rPr/>
      </w:pPr>
      <w:bookmarkStart w:id="56" w:name="__RefHeading___Toc3546_4046097046"/>
      <w:bookmarkEnd w:id="56"/>
      <w:r>
        <w:rPr/>
        <w:t>Интегрируемость: REST API позволяет легко интегрироваться с различными системами</w:t>
      </w:r>
      <w:r>
        <w:br w:type="page"/>
      </w:r>
    </w:p>
    <w:p>
      <w:pPr>
        <w:pStyle w:val="Heading1"/>
        <w:spacing w:before="0" w:after="240"/>
        <w:ind w:hanging="0" w:left="0"/>
        <w:jc w:val="center"/>
        <w:rPr>
          <w:b/>
          <w:bCs/>
        </w:rPr>
      </w:pPr>
      <w:bookmarkStart w:id="57" w:name="__RefHeading___Toc22211_2829662935"/>
      <w:bookmarkStart w:id="58" w:name="_Toc515887005"/>
      <w:bookmarkEnd w:id="57"/>
      <w:r>
        <w:rPr>
          <w:b/>
          <w:bCs/>
          <w:color w:val="auto"/>
        </w:rPr>
        <w:t>Заключение</w:t>
      </w:r>
      <w:bookmarkEnd w:id="58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 результате выполнения работы была достигнута поставленная цель – повышение эффективности и снижение рисков процесса выбора поставщиков в АО «РТК» путем разработки и внедрения автоматизированной системы проверки контрагентов на основе интеграции 1С, Python (FastAPI) и машинного обучения. Все сформулированные задачи исследования решены в полном объеме.</w:t>
      </w:r>
      <w:r>
        <w:br w:type="page"/>
      </w:r>
    </w:p>
    <w:p>
      <w:pPr>
        <w:pStyle w:val="Heading1"/>
        <w:spacing w:before="0" w:after="240"/>
        <w:ind w:hanging="0" w:left="0"/>
        <w:jc w:val="center"/>
        <w:rPr>
          <w:b/>
          <w:bCs/>
        </w:rPr>
      </w:pPr>
      <w:bookmarkStart w:id="59" w:name="__RefHeading___Toc22213_2829662935"/>
      <w:bookmarkStart w:id="60" w:name="_Toc515887006"/>
      <w:bookmarkEnd w:id="59"/>
      <w:r>
        <w:rPr>
          <w:b/>
          <w:bCs/>
          <w:color w:val="auto"/>
        </w:rPr>
        <w:t>Список литературы</w:t>
      </w:r>
      <w:bookmarkEnd w:id="60"/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Литвинова А.А. – 72-е Дни науки студентов НИТУ "МИСиС"/ Интеллектуальный анализ в розничной торговле..-621-622 с. – 2017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ГОСТ Р 51303-2013. Торговля. Термины и определения (с Изменением N 1).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Бутусов О.Б., Дубин М.Е. Система поддержки принятия решений для выбора поставщика в цепи поставок // Известия Московского государственного технического университета МАМИ. - с 267. – 2013.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Громова, А. Ю. Оптовая и розничная торговля. Бухучет и налогообложение / А.Ю. Громова, И.Н. Пашкина, Е.А. Рыхлова. - М.: Дашков и Ко, 2012. - 272 c.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Суслова Е.В. Интеллектуальные системы поддержки принятия решений // Молодой ученый. - 2017. - №3. - С. 171-174.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Гулина О.М.  Принятие решений в условиях нечеткой информации // Учебное пособие по курсу «Теория принятия решений». – 2008.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Черемных, С.В. Моделирование и анализ систем. IDEF-технологии: практикум / С.В.Черемных [и др.]. – М.: Финансы и статистика, 2006. – 192 с.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Лендри О торговле на колебаниях / Лендри, Дейв. - М.: Аналитика, 2016. - 248 c.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Щур Д.Л., Основы торговли, оптовая торговля, издательство "Дело и Сервис", 2005;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Аванесов Ю.А., Клочко А.Н., Васькин Е.В. Основы коммерции. -    М.: ТОО Люкс-арт, 2015. - 176 с.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PLUSSELL комплексная система автоматизации и контроля торгово-закупочной деятельности предприятий - URL: https://plussell.org/ (дата обращения 13.05.2018).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Информация о SAP Ariba - URL: https://www.ariba.com/ru-ru/about (дата обращения 12.05.2018).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iTender SRM - URL: http://itender-srm.ru/ (дата обращения 08.05.2018).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Delphi (язык программирования) // Википедия. Свободная энциклопедия – URL: https://ru.wikipedia.org/wiki/Delphi (дата обращения 08.05.2018).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Access – это что такое? Создание базы данных в Microsoft Access // FB.ru – URL: http://fb.ru/article/268269/access---eto-chto-takoe-sozdanie-bazyi-dannyih-v-microsoft-access (дата обращения 20.05.2018).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val="en-US"/>
        </w:rPr>
      </w:pPr>
      <w:r>
        <w:rPr>
          <w:rFonts w:eastAsia="Calibri" w:cs="Times New Roman"/>
          <w:color w:val="000000"/>
          <w:sz w:val="28"/>
          <w:szCs w:val="28"/>
          <w:lang w:val="en-US"/>
        </w:rPr>
        <w:t>Firebird 3 Developer's Guide released // Firebird – True Universal open source database – URL: http://www.firebirdsql.org/ (</w:t>
      </w:r>
      <w:r>
        <w:rPr>
          <w:rFonts w:eastAsia="Calibri" w:cs="Times New Roman"/>
          <w:color w:val="000000"/>
          <w:sz w:val="28"/>
          <w:szCs w:val="28"/>
        </w:rPr>
        <w:t>дата</w:t>
      </w:r>
      <w:r>
        <w:rPr>
          <w:rFonts w:eastAsia="Calibri" w:cs="Times New Roman"/>
          <w:color w:val="000000"/>
          <w:sz w:val="28"/>
          <w:szCs w:val="28"/>
          <w:lang w:val="en-US"/>
        </w:rPr>
        <w:t xml:space="preserve"> </w:t>
      </w:r>
      <w:r>
        <w:rPr>
          <w:rFonts w:eastAsia="Calibri" w:cs="Times New Roman"/>
          <w:color w:val="000000"/>
          <w:sz w:val="28"/>
          <w:szCs w:val="28"/>
        </w:rPr>
        <w:t>обращения</w:t>
      </w:r>
      <w:r>
        <w:rPr>
          <w:rFonts w:eastAsia="Calibri" w:cs="Times New Roman"/>
          <w:color w:val="000000"/>
          <w:sz w:val="28"/>
          <w:szCs w:val="28"/>
          <w:lang w:val="en-US"/>
        </w:rPr>
        <w:t xml:space="preserve"> 20.05.2018).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Обзор системы «1С: Предприятие 8» // 1C: Предприятие 8. Система программ – URL: http://v8.1c.ru/ (дата обращения 01.05.2018).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Баженова И.Ю. «Основы проектирования приложений баз данных», 2009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Кашаев, С. М. 1С: Предприятие 8.1. Разработка прикладных решений / С.М. Кашаев. –М.: Вильямс, 2009. –368 c.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Кашаев, С. М. Программирование в 1С: Предприятие 8.3/ С.М. Кашаев. – Санкт-Петербург: Питер, 2014. – 304 с.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Фаулер, М. Архитектура корпоративных программных приложений / М. Фаулер. – М.: Издательский дом «Вильямс», 2004. – 544 с.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Хрусталева, Е.Ю. Разработка сложных отчётов в 1С: Предприятии 8. Система компоновки данных/ Е.Ю. Хрусталева. – М.:1С–Паблишинг, 2014. – 501 с.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/>
        <w:t>Румянцева, Е.Л. Информационные технологии: Учебное пособие / Е.Л. Румянцева, В.В. Слюсарь; Под ред. Л.Г. Гагарина. –  М.: ИД ФОРУМ, НИЦ ИНФРА-М, 2013. – 256 c.</w:t>
      </w:r>
    </w:p>
    <w:p>
      <w:pPr>
        <w:pStyle w:val="ListParagraph"/>
        <w:spacing w:lineRule="auto" w:line="360" w:before="0" w:after="0"/>
        <w:ind w:firstLine="709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</w:r>
    </w:p>
    <w:sectPr>
      <w:footerReference w:type="even" r:id="rId12"/>
      <w:footerReference w:type="default" r:id="rId13"/>
      <w:footerReference w:type="first" r:id="rId14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Calibri Light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Arial">
    <w:charset w:val="cc"/>
    <w:family w:val="roman"/>
    <w:pitch w:val="variable"/>
  </w:font>
  <w:font w:name="Noto Sans">
    <w:charset w:val="cc"/>
    <w:family w:val="roman"/>
    <w:pitch w:val="variable"/>
  </w:font>
  <w:font w:name="Symbol">
    <w:charset w:val="cc"/>
    <w:family w:val="roman"/>
    <w:pitch w:val="variable"/>
  </w:font>
  <w:font w:name="Wingdings">
    <w:charset w:val="cc"/>
    <w:family w:val="roman"/>
    <w:pitch w:val="variable"/>
  </w:font>
  <w:font w:name="Courier New"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61" w:name="PageNumWizard_FOOTER_Converted1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  <w:bookmarkEnd w:id="61"/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62" w:name="PageNumWizard_FOOTER_Converted1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  <w:bookmarkEnd w:id="62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360" w:before="0" w:after="160"/>
      <w:jc w:val="both"/>
    </w:pPr>
    <w:rPr>
      <w:rFonts w:ascii="Times New Roman" w:hAnsi="Times New Roman" w:eastAsia="Calibri" w:cs="Tahoma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lineRule="auto" w:line="360" w:before="480" w:after="0"/>
      <w:jc w:val="center"/>
      <w:outlineLvl w:val="0"/>
    </w:pPr>
    <w:rPr>
      <w:rFonts w:ascii="Times New Roman" w:hAnsi="Times New Roman" w:eastAsia="Calibri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40" w:after="0"/>
      <w:jc w:val="center"/>
      <w:outlineLvl w:val="1"/>
    </w:pPr>
    <w:rPr>
      <w:rFonts w:ascii="Times New Roman" w:hAnsi="Times New Roman" w:eastAsia="Calibri" w:cs="Tahoma"/>
      <w:b/>
      <w:color w:val="000000"/>
      <w:sz w:val="28"/>
      <w:szCs w:val="26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Cambria" w:hAnsi="Cambria" w:eastAsia="Calibri" w:cs="Times New Roman"/>
      <w:b/>
      <w:bCs/>
      <w:color w:val="365F91"/>
      <w:sz w:val="28"/>
      <w:szCs w:val="28"/>
    </w:rPr>
  </w:style>
  <w:style w:type="character" w:styleId="Style12">
    <w:name w:val="Абзац списка Знак"/>
    <w:link w:val="ListParagraph"/>
    <w:qFormat/>
    <w:rPr/>
  </w:style>
  <w:style w:type="character" w:styleId="InternetLink">
    <w:name w:val="Internet Link"/>
    <w:basedOn w:val="DefaultParagraphFont"/>
    <w:qFormat/>
    <w:rPr>
      <w:color w:themeColor="hyperlink" w:val="0563C1"/>
      <w:u w:val="single"/>
    </w:rPr>
  </w:style>
  <w:style w:type="character" w:styleId="2">
    <w:name w:val="Заголовок 2 Знак"/>
    <w:basedOn w:val="DefaultParagraphFont"/>
    <w:qFormat/>
    <w:rPr>
      <w:rFonts w:ascii="Calibri Light" w:hAnsi="Calibri Light" w:eastAsia="Calibri" w:cs="Tahoma"/>
      <w:color w:themeColor="accent1" w:themeShade="bf" w:val="2F5496"/>
      <w:sz w:val="26"/>
      <w:szCs w:val="26"/>
    </w:rPr>
  </w:style>
  <w:style w:type="character" w:styleId="Style13">
    <w:name w:val="Обычный (Интернет) Знак"/>
    <w:link w:val="NormalWeb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apple-converted-space">
    <w:name w:val="apple-converted-space"/>
    <w:qFormat/>
    <w:rPr>
      <w:rFonts w:cs="Times New Roman"/>
    </w:rPr>
  </w:style>
  <w:style w:type="character" w:styleId="Style14">
    <w:name w:val="Верхний колонтитул Знак"/>
    <w:basedOn w:val="DefaultParagraphFont"/>
    <w:qFormat/>
    <w:rPr/>
  </w:style>
  <w:style w:type="character" w:styleId="Style15">
    <w:name w:val="Нижний колонтитул Знак"/>
    <w:basedOn w:val="DefaultParagraphFont"/>
    <w:qFormat/>
    <w:rPr/>
  </w:style>
  <w:style w:type="character" w:styleId="InternetLink1">
    <w:name w:val="Internet Link1"/>
    <w:qFormat/>
    <w:rPr>
      <w:color w:val="000080"/>
      <w:u w:val="single"/>
    </w:rPr>
  </w:style>
  <w:style w:type="character" w:styleId="Style16">
    <w:name w:val="Ссылка указателя"/>
    <w:qFormat/>
    <w:rPr/>
  </w:style>
  <w:style w:type="character" w:styleId="Style17">
    <w:name w:val="Маркеры"/>
    <w:qFormat/>
    <w:rPr>
      <w:rFonts w:ascii="OpenSymbol" w:hAnsi="OpenSymbol" w:eastAsia="OpenSymbol" w:cs="OpenSymbol"/>
    </w:rPr>
  </w:style>
  <w:style w:type="character" w:styleId="Style18">
    <w:name w:val="Символ нумерации"/>
    <w:qFormat/>
    <w:rPr/>
  </w:style>
  <w:style w:type="character" w:styleId="InternetLink2">
    <w:name w:val="Internet Link2"/>
    <w:qFormat/>
    <w:rPr>
      <w:color w:val="000080"/>
      <w:u w:val="single"/>
    </w:rPr>
  </w:style>
  <w:style w:type="character" w:styleId="InternetLink3">
    <w:name w:val="Internet Link3"/>
    <w:qFormat/>
    <w:rPr>
      <w:color w:val="000080"/>
      <w:u w:val="single"/>
    </w:rPr>
  </w:style>
  <w:style w:type="character" w:styleId="InternetLink4">
    <w:name w:val="Internet Link4"/>
    <w:qFormat/>
    <w:rPr>
      <w:color w:val="000080"/>
      <w:u w:val="single"/>
    </w:rPr>
  </w:style>
  <w:style w:type="character" w:styleId="InternetLink5">
    <w:name w:val="Internet Link5"/>
    <w:qFormat/>
    <w:rPr>
      <w:color w:val="000080"/>
      <w:u w:val="single"/>
    </w:rPr>
  </w:style>
  <w:style w:type="character" w:styleId="InternetLink6">
    <w:name w:val="Internet Link6"/>
    <w:qFormat/>
    <w:rPr>
      <w:color w:val="000080"/>
      <w:u w:val="single"/>
    </w:rPr>
  </w:style>
  <w:style w:type="character" w:styleId="InternetLink7">
    <w:name w:val="Internet Link7"/>
    <w:qFormat/>
    <w:rPr>
      <w:color w:val="000080"/>
      <w:u w:val="single"/>
    </w:rPr>
  </w:style>
  <w:style w:type="character" w:styleId="InternetLink8">
    <w:name w:val="Internet Link8"/>
    <w:qFormat/>
    <w:rPr>
      <w:color w:val="000080"/>
      <w:u w:val="single"/>
    </w:rPr>
  </w:style>
  <w:style w:type="character" w:styleId="InternetLink9">
    <w:name w:val="Internet Link9"/>
    <w:qFormat/>
    <w:rPr>
      <w:color w:val="000080"/>
      <w:u w:val="single"/>
    </w:rPr>
  </w:style>
  <w:style w:type="character" w:styleId="InternetLink10">
    <w:name w:val="Internet Link10"/>
    <w:qFormat/>
    <w:rPr>
      <w:color w:val="000080"/>
      <w:u w:val="single"/>
    </w:rPr>
  </w:style>
  <w:style w:type="character" w:styleId="InternetLink11">
    <w:name w:val="Internet Link11"/>
    <w:qFormat/>
    <w:rPr>
      <w:color w:val="000080"/>
      <w:u w:val="single"/>
    </w:rPr>
  </w:style>
  <w:style w:type="character" w:styleId="InternetLink12">
    <w:name w:val="Internet Link12"/>
    <w:qFormat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InternetLink13">
    <w:name w:val="Internet Link13"/>
    <w:qFormat/>
    <w:rPr>
      <w:color w:val="000080"/>
      <w:u w:val="single"/>
    </w:rPr>
  </w:style>
  <w:style w:type="character" w:styleId="InternetLink14">
    <w:name w:val="Internet Link14"/>
    <w:qFormat/>
    <w:rPr>
      <w:color w:val="000080"/>
      <w:u w:val="single"/>
    </w:rPr>
  </w:style>
  <w:style w:type="character" w:styleId="InternetLink15">
    <w:name w:val="Internet Link15"/>
    <w:qFormat/>
    <w:rPr>
      <w:color w:val="000080"/>
      <w:u w:val="single"/>
    </w:rPr>
  </w:style>
  <w:style w:type="character" w:styleId="InternetLink16">
    <w:name w:val="Internet Link16"/>
    <w:qFormat/>
    <w:rPr>
      <w:color w:val="000080"/>
      <w:u w:val="single"/>
    </w:rPr>
  </w:style>
  <w:style w:type="character" w:styleId="InternetLink151">
    <w:name w:val="Internet Link151"/>
    <w:qFormat/>
    <w:rPr>
      <w:rFonts w:ascii="Times New Roman" w:hAnsi="Times New Roman" w:eastAsia="Times New Roman" w:cs="Times New Roman"/>
      <w:color w:val="0563C1"/>
      <w:sz w:val="24"/>
      <w:szCs w:val="24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InternetLink17">
    <w:name w:val="Internet Link17"/>
    <w:qFormat/>
    <w:rPr>
      <w:color w:val="000080"/>
      <w:u w:val="single"/>
    </w:rPr>
  </w:style>
  <w:style w:type="character" w:styleId="InternetLink18">
    <w:name w:val="Internet Link18"/>
    <w:qFormat/>
    <w:rPr>
      <w:color w:val="000080"/>
      <w:u w:val="single"/>
    </w:rPr>
  </w:style>
  <w:style w:type="character" w:styleId="InternetLink19">
    <w:name w:val="Internet Link19"/>
    <w:qFormat/>
    <w:rPr>
      <w:color w:val="000080"/>
      <w:u w:val="single"/>
    </w:rPr>
  </w:style>
  <w:style w:type="character" w:styleId="InternetLink20">
    <w:name w:val="Internet Link20"/>
    <w:qFormat/>
    <w:rPr>
      <w:color w:val="000080"/>
      <w:u w:val="single"/>
    </w:rPr>
  </w:style>
  <w:style w:type="character" w:styleId="InternetLink21">
    <w:name w:val="Internet Link21"/>
    <w:qFormat/>
    <w:rPr>
      <w:color w:val="000080"/>
      <w:u w:val="single"/>
    </w:rPr>
  </w:style>
  <w:style w:type="character" w:styleId="InternetLink22">
    <w:name w:val="Internet Link22"/>
    <w:qFormat/>
    <w:rPr>
      <w:color w:val="000080"/>
      <w:u w:val="single"/>
    </w:rPr>
  </w:style>
  <w:style w:type="character" w:styleId="InternetLink23">
    <w:name w:val="Internet Link23"/>
    <w:qFormat/>
    <w:rPr>
      <w:color w:val="000080"/>
      <w:u w:val="single"/>
    </w:rPr>
  </w:style>
  <w:style w:type="character" w:styleId="InternetLink24">
    <w:name w:val="Internet Link24"/>
    <w:qFormat/>
    <w:rPr>
      <w:color w:val="000080"/>
      <w:u w:val="single"/>
    </w:rPr>
  </w:style>
  <w:style w:type="character" w:styleId="InternetLink25">
    <w:name w:val="Internet Link25"/>
    <w:qFormat/>
    <w:rPr>
      <w:color w:val="000080"/>
      <w:u w:val="single"/>
    </w:rPr>
  </w:style>
  <w:style w:type="character" w:styleId="InternetLink26">
    <w:name w:val="Internet Link26"/>
    <w:qFormat/>
    <w:rPr>
      <w:color w:val="000080"/>
      <w:u w:val="single"/>
    </w:rPr>
  </w:style>
  <w:style w:type="character" w:styleId="InternetLink27">
    <w:name w:val="Internet Link27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Style1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link w:val="Style12"/>
    <w:qFormat/>
    <w:pPr>
      <w:spacing w:before="0" w:after="160"/>
      <w:ind w:left="720"/>
      <w:contextualSpacing/>
    </w:pPr>
    <w:rPr/>
  </w:style>
  <w:style w:type="paragraph" w:styleId="3">
    <w:name w:val="заголовок 3"/>
    <w:basedOn w:val="Normal"/>
    <w:next w:val="Normal"/>
    <w:qFormat/>
    <w:pPr>
      <w:keepNext w:val="true"/>
      <w:widowControl w:val="false"/>
      <w:spacing w:lineRule="auto" w:line="240" w:before="0" w:after="0"/>
      <w:ind w:firstLine="567"/>
      <w:jc w:val="center"/>
    </w:pPr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paragraph" w:styleId="IndexHeading">
    <w:name w:val="Index Heading"/>
    <w:basedOn w:val="Style19"/>
    <w:pPr/>
    <w:rPr/>
  </w:style>
  <w:style w:type="paragraph" w:styleId="TOCHeading">
    <w:name w:val="TOC Heading"/>
    <w:basedOn w:val="Heading1"/>
    <w:next w:val="Normal"/>
    <w:qFormat/>
    <w:pPr>
      <w:spacing w:lineRule="auto" w:line="259" w:before="240" w:after="0"/>
      <w:jc w:val="center"/>
      <w:outlineLvl w:val="9"/>
    </w:pPr>
    <w:rPr>
      <w:rFonts w:ascii="Times New Roman" w:hAnsi="Times New Roman" w:cs="Tahoma"/>
      <w:b/>
      <w:bCs w:val="false"/>
      <w:color w:val="000000"/>
      <w:sz w:val="28"/>
      <w:szCs w:val="32"/>
      <w:lang w:eastAsia="ru-RU"/>
    </w:rPr>
  </w:style>
  <w:style w:type="paragraph" w:styleId="TOC1">
    <w:name w:val="TOC 1"/>
    <w:basedOn w:val="Normal"/>
    <w:next w:val="Normal"/>
    <w:autoRedefine/>
    <w:pPr>
      <w:spacing w:lineRule="auto" w:line="240" w:before="0" w:after="0"/>
    </w:pPr>
    <w:rPr/>
  </w:style>
  <w:style w:type="paragraph" w:styleId="TOC2">
    <w:name w:val="TOC 2"/>
    <w:basedOn w:val="Normal"/>
    <w:next w:val="Normal"/>
    <w:autoRedefine/>
    <w:pPr>
      <w:spacing w:before="0" w:after="100"/>
      <w:ind w:left="220"/>
    </w:pPr>
    <w:rPr/>
  </w:style>
  <w:style w:type="paragraph" w:styleId="NormalWeb">
    <w:name w:val="Normal (Web)"/>
    <w:basedOn w:val="Normal"/>
    <w:link w:val="Style13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21">
    <w:name w:val="Колонтитул"/>
    <w:basedOn w:val="Normal"/>
    <w:qFormat/>
    <w:pPr/>
    <w:rPr/>
  </w:style>
  <w:style w:type="paragraph" w:styleId="Header">
    <w:name w:val="Header"/>
    <w:basedOn w:val="Normal"/>
    <w:link w:val="Style1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2">
    <w:name w:val="Содержимое таблицы"/>
    <w:basedOn w:val="Normal"/>
    <w:qFormat/>
    <w:pPr>
      <w:widowControl w:val="false"/>
      <w:suppressLineNumbers/>
    </w:pPr>
    <w:rPr/>
  </w:style>
  <w:style w:type="paragraph" w:styleId="Style23">
    <w:name w:val="Объект без заливки"/>
    <w:basedOn w:val="Normal"/>
    <w:qFormat/>
    <w:pPr>
      <w:spacing w:lineRule="atLeast" w:line="0" w:before="0" w:after="0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Style24">
    <w:name w:val="Объект без заливки и линий"/>
    <w:basedOn w:val="Normal"/>
    <w:qFormat/>
    <w:pPr>
      <w:spacing w:lineRule="atLeast" w:line="0" w:before="0" w:after="0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Style25"/>
    <w:qFormat/>
    <w:pPr/>
    <w:rPr>
      <w:rFonts w:ascii="Noto Sans" w:hAnsi="Noto Sans"/>
      <w:sz w:val="36"/>
    </w:rPr>
  </w:style>
  <w:style w:type="paragraph" w:styleId="Style25">
    <w:name w:val="Текст"/>
    <w:basedOn w:val="Caption"/>
    <w:qFormat/>
    <w:pPr/>
    <w:rPr/>
  </w:style>
  <w:style w:type="paragraph" w:styleId="4">
    <w:name w:val="Заглавие А4"/>
    <w:basedOn w:val="A4"/>
    <w:qFormat/>
    <w:pPr/>
    <w:rPr>
      <w:rFonts w:ascii="Noto Sans" w:hAnsi="Noto Sans"/>
      <w:sz w:val="88"/>
    </w:rPr>
  </w:style>
  <w:style w:type="paragraph" w:styleId="41">
    <w:name w:val="Заголовок А4"/>
    <w:basedOn w:val="A4"/>
    <w:qFormat/>
    <w:pPr/>
    <w:rPr>
      <w:rFonts w:ascii="Noto Sans" w:hAnsi="Noto Sans"/>
      <w:sz w:val="48"/>
    </w:rPr>
  </w:style>
  <w:style w:type="paragraph" w:styleId="42">
    <w:name w:val="Текст А4"/>
    <w:basedOn w:val="A4"/>
    <w:qFormat/>
    <w:pPr/>
    <w:rPr>
      <w:rFonts w:ascii="Noto Sans" w:hAnsi="Noto Sans"/>
      <w:sz w:val="36"/>
    </w:rPr>
  </w:style>
  <w:style w:type="paragraph" w:styleId="A0">
    <w:name w:val="A0"/>
    <w:basedOn w:val="Style25"/>
    <w:qFormat/>
    <w:pPr/>
    <w:rPr>
      <w:rFonts w:ascii="Noto Sans" w:hAnsi="Noto Sans"/>
      <w:sz w:val="96"/>
    </w:rPr>
  </w:style>
  <w:style w:type="paragraph" w:styleId="0">
    <w:name w:val="Заглавие А0"/>
    <w:basedOn w:val="A0"/>
    <w:qFormat/>
    <w:pPr/>
    <w:rPr>
      <w:rFonts w:ascii="Noto Sans" w:hAnsi="Noto Sans"/>
      <w:sz w:val="192"/>
    </w:rPr>
  </w:style>
  <w:style w:type="paragraph" w:styleId="01">
    <w:name w:val="Заголовок А0"/>
    <w:basedOn w:val="A0"/>
    <w:qFormat/>
    <w:pPr/>
    <w:rPr>
      <w:rFonts w:ascii="Noto Sans" w:hAnsi="Noto Sans"/>
      <w:sz w:val="143"/>
    </w:rPr>
  </w:style>
  <w:style w:type="paragraph" w:styleId="02">
    <w:name w:val="Текст А0"/>
    <w:basedOn w:val="A0"/>
    <w:qFormat/>
    <w:pPr/>
    <w:rPr>
      <w:rFonts w:ascii="Noto Sans" w:hAnsi="Noto Sans"/>
      <w:sz w:val="96"/>
    </w:rPr>
  </w:style>
  <w:style w:type="paragraph" w:styleId="Style26">
    <w:name w:val="Графика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ans" w:hAnsi="Liberation Sans" w:eastAsia="Tahoma" w:cs="Calibri"/>
      <w:color w:val="auto"/>
      <w:kern w:val="0"/>
      <w:sz w:val="36"/>
      <w:szCs w:val="24"/>
      <w:lang w:val="ru-RU" w:eastAsia="en-US" w:bidi="ar-SA"/>
    </w:rPr>
  </w:style>
  <w:style w:type="paragraph" w:styleId="Style27">
    <w:name w:val="Фигуры"/>
    <w:basedOn w:val="Style26"/>
    <w:qFormat/>
    <w:pPr/>
    <w:rPr>
      <w:rFonts w:ascii="Liberation Sans" w:hAnsi="Liberation Sans"/>
      <w:b/>
      <w:sz w:val="28"/>
    </w:rPr>
  </w:style>
  <w:style w:type="paragraph" w:styleId="Style28">
    <w:name w:val="Заливка"/>
    <w:basedOn w:val="Style27"/>
    <w:qFormat/>
    <w:pPr/>
    <w:rPr>
      <w:rFonts w:ascii="Liberation Sans" w:hAnsi="Liberation Sans"/>
      <w:b/>
      <w:sz w:val="28"/>
    </w:rPr>
  </w:style>
  <w:style w:type="paragraph" w:styleId="Style29">
    <w:name w:val="Заливка синим"/>
    <w:basedOn w:val="Style28"/>
    <w:qFormat/>
    <w:pPr/>
    <w:rPr>
      <w:rFonts w:ascii="Liberation Sans" w:hAnsi="Liberation Sans"/>
      <w:b/>
      <w:color w:val="FFFFFF"/>
      <w:sz w:val="28"/>
    </w:rPr>
  </w:style>
  <w:style w:type="paragraph" w:styleId="Style30">
    <w:name w:val="Заливка зелёным"/>
    <w:basedOn w:val="Style28"/>
    <w:qFormat/>
    <w:pPr/>
    <w:rPr>
      <w:rFonts w:ascii="Liberation Sans" w:hAnsi="Liberation Sans"/>
      <w:b/>
      <w:color w:val="FFFFFF"/>
      <w:sz w:val="28"/>
    </w:rPr>
  </w:style>
  <w:style w:type="paragraph" w:styleId="Style31">
    <w:name w:val="Заливка красным"/>
    <w:basedOn w:val="Style28"/>
    <w:qFormat/>
    <w:pPr/>
    <w:rPr>
      <w:rFonts w:ascii="Liberation Sans" w:hAnsi="Liberation Sans"/>
      <w:b/>
      <w:color w:val="FFFFFF"/>
      <w:sz w:val="28"/>
    </w:rPr>
  </w:style>
  <w:style w:type="paragraph" w:styleId="Style32">
    <w:name w:val="Заливка жёлтым"/>
    <w:basedOn w:val="Style28"/>
    <w:qFormat/>
    <w:pPr/>
    <w:rPr>
      <w:rFonts w:ascii="Liberation Sans" w:hAnsi="Liberation Sans"/>
      <w:b/>
      <w:color w:val="FFFFFF"/>
      <w:sz w:val="28"/>
    </w:rPr>
  </w:style>
  <w:style w:type="paragraph" w:styleId="Style33">
    <w:name w:val="Контур"/>
    <w:basedOn w:val="Style27"/>
    <w:qFormat/>
    <w:pPr/>
    <w:rPr>
      <w:rFonts w:ascii="Liberation Sans" w:hAnsi="Liberation Sans"/>
      <w:b/>
      <w:sz w:val="28"/>
    </w:rPr>
  </w:style>
  <w:style w:type="paragraph" w:styleId="Style34">
    <w:name w:val="Контур синий"/>
    <w:basedOn w:val="Style33"/>
    <w:qFormat/>
    <w:pPr/>
    <w:rPr>
      <w:rFonts w:ascii="Liberation Sans" w:hAnsi="Liberation Sans"/>
      <w:b/>
      <w:color w:val="355269"/>
      <w:sz w:val="28"/>
    </w:rPr>
  </w:style>
  <w:style w:type="paragraph" w:styleId="Style35">
    <w:name w:val="Контур зелёный"/>
    <w:basedOn w:val="Style33"/>
    <w:qFormat/>
    <w:pPr/>
    <w:rPr>
      <w:rFonts w:ascii="Liberation Sans" w:hAnsi="Liberation Sans"/>
      <w:b/>
      <w:color w:val="127622"/>
      <w:sz w:val="28"/>
    </w:rPr>
  </w:style>
  <w:style w:type="paragraph" w:styleId="Style36">
    <w:name w:val="Контур красный"/>
    <w:basedOn w:val="Style33"/>
    <w:qFormat/>
    <w:pPr/>
    <w:rPr>
      <w:rFonts w:ascii="Liberation Sans" w:hAnsi="Liberation Sans"/>
      <w:b/>
      <w:color w:val="C9211E"/>
      <w:sz w:val="28"/>
    </w:rPr>
  </w:style>
  <w:style w:type="paragraph" w:styleId="Style37">
    <w:name w:val="Контур жёлтый"/>
    <w:basedOn w:val="Style33"/>
    <w:qFormat/>
    <w:pPr/>
    <w:rPr>
      <w:rFonts w:ascii="Liberation Sans" w:hAnsi="Liberation Sans"/>
      <w:b/>
      <w:color w:val="B47804"/>
      <w:sz w:val="28"/>
    </w:rPr>
  </w:style>
  <w:style w:type="paragraph" w:styleId="Style38">
    <w:name w:val="Линии"/>
    <w:basedOn w:val="Style26"/>
    <w:qFormat/>
    <w:pPr/>
    <w:rPr>
      <w:rFonts w:ascii="Liberation Sans" w:hAnsi="Liberation Sans"/>
      <w:sz w:val="36"/>
    </w:rPr>
  </w:style>
  <w:style w:type="paragraph" w:styleId="Style39">
    <w:name w:val="Стрелки"/>
    <w:basedOn w:val="Style38"/>
    <w:qFormat/>
    <w:pPr/>
    <w:rPr>
      <w:rFonts w:ascii="Liberation Sans" w:hAnsi="Liberation Sans"/>
      <w:sz w:val="36"/>
    </w:rPr>
  </w:style>
  <w:style w:type="paragraph" w:styleId="Style40">
    <w:name w:val="Штриховая линия"/>
    <w:basedOn w:val="Style38"/>
    <w:qFormat/>
    <w:pPr/>
    <w:rPr>
      <w:rFonts w:ascii="Liberation Sans" w:hAnsi="Liberation Sans"/>
      <w:sz w:val="36"/>
    </w:rPr>
  </w:style>
  <w:style w:type="paragraph" w:styleId="LTGliederung1">
    <w:name w:val="Титульный слайд~LT~Gliederung 1"/>
    <w:qFormat/>
    <w:pPr>
      <w:widowControl w:val="false"/>
      <w:suppressAutoHyphens w:val="true"/>
      <w:overflowPunct w:val="true"/>
      <w:bidi w:val="0"/>
      <w:spacing w:lineRule="auto" w:line="216" w:before="283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en-US" w:bidi="ar-SA"/>
    </w:rPr>
  </w:style>
  <w:style w:type="paragraph" w:styleId="LTGliederung2">
    <w:name w:val="Титульный слайд~LT~Gliederung 2"/>
    <w:basedOn w:val="LTGliederung1"/>
    <w:qFormat/>
    <w:pPr>
      <w:bidi w:val="0"/>
      <w:spacing w:lineRule="auto" w:line="216" w:before="22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">
    <w:name w:val="Титульный слайд~LT~Gliederung 3"/>
    <w:basedOn w:val="LTGliederung2"/>
    <w:qFormat/>
    <w:pPr>
      <w:bidi w:val="0"/>
      <w:spacing w:lineRule="auto" w:line="216" w:before="170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">
    <w:name w:val="Титульный слайд~LT~Gliederung 4"/>
    <w:basedOn w:val="LTGliederung3"/>
    <w:qFormat/>
    <w:pPr>
      <w:bidi w:val="0"/>
      <w:spacing w:lineRule="auto" w:line="216" w:before="113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">
    <w:name w:val="Титульный слайд~LT~Gliederung 5"/>
    <w:basedOn w:val="LTGliederung4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">
    <w:name w:val="Титульный слайд~LT~Gliederung 6"/>
    <w:basedOn w:val="LTGliederung5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">
    <w:name w:val="Титульный слайд~LT~Gliederung 7"/>
    <w:basedOn w:val="LTGliederung6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">
    <w:name w:val="Титульный слайд~LT~Gliederung 8"/>
    <w:basedOn w:val="LTGliederung7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">
    <w:name w:val="Титульный слайд~LT~Gliederung 9"/>
    <w:basedOn w:val="LTGliederung8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">
    <w:name w:val="Титульный слайд~LT~Titel"/>
    <w:qFormat/>
    <w:pPr>
      <w:widowControl w:val="false"/>
      <w:suppressAutoHyphens w:val="true"/>
      <w:overflowPunct w:val="true"/>
      <w:bidi w:val="0"/>
      <w:spacing w:lineRule="atLeast" w:line="0" w:before="0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">
    <w:name w:val="Титульный слайд~LT~Untertitel"/>
    <w:qFormat/>
    <w:pPr>
      <w:widowControl w:val="false"/>
      <w:suppressAutoHyphens w:val="true"/>
      <w:overflowPunct w:val="true"/>
      <w:bidi w:val="0"/>
      <w:spacing w:before="0" w:after="0"/>
      <w:jc w:val="center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">
    <w:name w:val="Титульный слайд~LT~Notizen"/>
    <w:qFormat/>
    <w:pPr>
      <w:widowControl w:val="false"/>
      <w:suppressAutoHyphens w:val="true"/>
      <w:overflowPunct w:val="true"/>
      <w:bidi w:val="0"/>
      <w:spacing w:before="0" w:after="0"/>
      <w:ind w:hanging="340" w:left="34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">
    <w:name w:val="Титульный слайд~LT~Hintergrundobjekte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Hintergrund">
    <w:name w:val="Титульный слайд~LT~Hintergrund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default">
    <w:name w:val="default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Arial" w:hAnsi="Arial" w:eastAsia="Tahoma" w:cs="Calibri"/>
      <w:color w:val="auto"/>
      <w:kern w:val="2"/>
      <w:sz w:val="36"/>
      <w:szCs w:val="24"/>
      <w:lang w:val="ru-RU" w:eastAsia="en-US" w:bidi="ar-SA"/>
    </w:rPr>
  </w:style>
  <w:style w:type="paragraph" w:styleId="bg-none">
    <w:name w:val="bg-none"/>
    <w:basedOn w:val="default"/>
    <w:qFormat/>
    <w:pPr/>
    <w:rPr>
      <w:rFonts w:ascii="Arial" w:hAnsi="Arial"/>
      <w:color w:val="auto"/>
      <w:kern w:val="2"/>
      <w:sz w:val="36"/>
    </w:rPr>
  </w:style>
  <w:style w:type="paragraph" w:styleId="gray">
    <w:name w:val="gray"/>
    <w:basedOn w:val="default"/>
    <w:qFormat/>
    <w:pPr/>
    <w:rPr>
      <w:rFonts w:ascii="Arial" w:hAnsi="Arial"/>
      <w:color w:val="auto"/>
      <w:kern w:val="2"/>
      <w:sz w:val="36"/>
    </w:rPr>
  </w:style>
  <w:style w:type="paragraph" w:styleId="dark-gray">
    <w:name w:val="dark-gray"/>
    <w:basedOn w:val="default"/>
    <w:qFormat/>
    <w:pPr/>
    <w:rPr>
      <w:rFonts w:ascii="Arial" w:hAnsi="Arial"/>
      <w:color w:val="auto"/>
      <w:kern w:val="2"/>
      <w:sz w:val="36"/>
    </w:rPr>
  </w:style>
  <w:style w:type="paragraph" w:styleId="black">
    <w:name w:val="black"/>
    <w:basedOn w:val="default"/>
    <w:qFormat/>
    <w:pPr/>
    <w:rPr>
      <w:rFonts w:ascii="Arial" w:hAnsi="Arial"/>
      <w:color w:val="FFFFFF"/>
      <w:kern w:val="2"/>
      <w:sz w:val="36"/>
    </w:rPr>
  </w:style>
  <w:style w:type="paragraph" w:styleId="black-with-border">
    <w:name w:val="black-with-border"/>
    <w:basedOn w:val="default"/>
    <w:qFormat/>
    <w:pPr/>
    <w:rPr>
      <w:rFonts w:ascii="Arial" w:hAnsi="Arial"/>
      <w:color w:val="FFFFFF"/>
      <w:kern w:val="2"/>
      <w:sz w:val="36"/>
    </w:rPr>
  </w:style>
  <w:style w:type="paragraph" w:styleId="gray-with-border">
    <w:name w:val="gray-with-border"/>
    <w:basedOn w:val="default"/>
    <w:qFormat/>
    <w:pPr/>
    <w:rPr>
      <w:rFonts w:ascii="Arial" w:hAnsi="Arial"/>
      <w:color w:val="auto"/>
      <w:kern w:val="2"/>
      <w:sz w:val="36"/>
    </w:rPr>
  </w:style>
  <w:style w:type="paragraph" w:styleId="white">
    <w:name w:val="white"/>
    <w:basedOn w:val="default"/>
    <w:qFormat/>
    <w:pPr/>
    <w:rPr>
      <w:rFonts w:ascii="Arial" w:hAnsi="Arial"/>
      <w:color w:val="auto"/>
      <w:kern w:val="2"/>
      <w:sz w:val="36"/>
    </w:rPr>
  </w:style>
  <w:style w:type="paragraph" w:styleId="white-with-border">
    <w:name w:val="white-with-border"/>
    <w:basedOn w:val="default"/>
    <w:qFormat/>
    <w:pPr/>
    <w:rPr>
      <w:rFonts w:ascii="Arial" w:hAnsi="Arial"/>
      <w:color w:val="auto"/>
      <w:kern w:val="2"/>
      <w:sz w:val="36"/>
    </w:rPr>
  </w:style>
  <w:style w:type="paragraph" w:styleId="blue-title">
    <w:name w:val="blue-title"/>
    <w:basedOn w:val="default"/>
    <w:qFormat/>
    <w:pPr/>
    <w:rPr>
      <w:rFonts w:ascii="Arial" w:hAnsi="Arial"/>
      <w:color w:val="FFFFFF"/>
      <w:kern w:val="2"/>
      <w:sz w:val="36"/>
    </w:rPr>
  </w:style>
  <w:style w:type="paragraph" w:styleId="blue-title-with-border">
    <w:name w:val="blue-title-with-border"/>
    <w:basedOn w:val="default"/>
    <w:qFormat/>
    <w:pPr/>
    <w:rPr>
      <w:rFonts w:ascii="Arial" w:hAnsi="Arial"/>
      <w:color w:val="FFFFFF"/>
      <w:kern w:val="2"/>
      <w:sz w:val="36"/>
    </w:rPr>
  </w:style>
  <w:style w:type="paragraph" w:styleId="blue-banded">
    <w:name w:val="blue-banded"/>
    <w:basedOn w:val="default"/>
    <w:qFormat/>
    <w:pPr/>
    <w:rPr>
      <w:rFonts w:ascii="Arial" w:hAnsi="Arial"/>
      <w:color w:val="auto"/>
      <w:kern w:val="2"/>
      <w:sz w:val="36"/>
    </w:rPr>
  </w:style>
  <w:style w:type="paragraph" w:styleId="blue-normal">
    <w:name w:val="blue-normal"/>
    <w:basedOn w:val="default"/>
    <w:qFormat/>
    <w:pPr/>
    <w:rPr>
      <w:rFonts w:ascii="Arial" w:hAnsi="Arial"/>
      <w:color w:val="auto"/>
      <w:kern w:val="2"/>
      <w:sz w:val="36"/>
    </w:rPr>
  </w:style>
  <w:style w:type="paragraph" w:styleId="orange-title">
    <w:name w:val="orange-title"/>
    <w:basedOn w:val="default"/>
    <w:qFormat/>
    <w:pPr/>
    <w:rPr>
      <w:rFonts w:ascii="Arial" w:hAnsi="Arial"/>
      <w:color w:val="FFFFFF"/>
      <w:kern w:val="2"/>
      <w:sz w:val="36"/>
    </w:rPr>
  </w:style>
  <w:style w:type="paragraph" w:styleId="orange-title-with-border">
    <w:name w:val="orange-title-with-border"/>
    <w:basedOn w:val="default"/>
    <w:qFormat/>
    <w:pPr/>
    <w:rPr>
      <w:rFonts w:ascii="Arial" w:hAnsi="Arial"/>
      <w:color w:val="FFFFFF"/>
      <w:kern w:val="2"/>
      <w:sz w:val="36"/>
    </w:rPr>
  </w:style>
  <w:style w:type="paragraph" w:styleId="orange-banded">
    <w:name w:val="orange-banded"/>
    <w:basedOn w:val="default"/>
    <w:qFormat/>
    <w:pPr/>
    <w:rPr>
      <w:rFonts w:ascii="Arial" w:hAnsi="Arial"/>
      <w:color w:val="auto"/>
      <w:kern w:val="2"/>
      <w:sz w:val="36"/>
    </w:rPr>
  </w:style>
  <w:style w:type="paragraph" w:styleId="orange-normal">
    <w:name w:val="orange-normal"/>
    <w:basedOn w:val="default"/>
    <w:qFormat/>
    <w:pPr/>
    <w:rPr>
      <w:rFonts w:ascii="Arial" w:hAnsi="Arial"/>
      <w:color w:val="auto"/>
      <w:kern w:val="2"/>
      <w:sz w:val="36"/>
    </w:rPr>
  </w:style>
  <w:style w:type="paragraph" w:styleId="teal-title">
    <w:name w:val="teal-title"/>
    <w:basedOn w:val="default"/>
    <w:qFormat/>
    <w:pPr/>
    <w:rPr>
      <w:rFonts w:ascii="Arial" w:hAnsi="Arial"/>
      <w:color w:val="FFFFFF"/>
      <w:kern w:val="2"/>
      <w:sz w:val="36"/>
    </w:rPr>
  </w:style>
  <w:style w:type="paragraph" w:styleId="teal-title-with-border">
    <w:name w:val="teal-title-with-border"/>
    <w:basedOn w:val="default"/>
    <w:qFormat/>
    <w:pPr/>
    <w:rPr>
      <w:rFonts w:ascii="Arial" w:hAnsi="Arial"/>
      <w:color w:val="FFFFFF"/>
      <w:kern w:val="2"/>
      <w:sz w:val="36"/>
    </w:rPr>
  </w:style>
  <w:style w:type="paragraph" w:styleId="teal-banded">
    <w:name w:val="teal-banded"/>
    <w:basedOn w:val="default"/>
    <w:qFormat/>
    <w:pPr/>
    <w:rPr>
      <w:rFonts w:ascii="Arial" w:hAnsi="Arial"/>
      <w:color w:val="auto"/>
      <w:kern w:val="2"/>
      <w:sz w:val="36"/>
    </w:rPr>
  </w:style>
  <w:style w:type="paragraph" w:styleId="teal-normal">
    <w:name w:val="teal-normal"/>
    <w:basedOn w:val="default"/>
    <w:qFormat/>
    <w:pPr/>
    <w:rPr>
      <w:rFonts w:ascii="Arial" w:hAnsi="Arial"/>
      <w:color w:val="auto"/>
      <w:kern w:val="2"/>
      <w:sz w:val="36"/>
    </w:rPr>
  </w:style>
  <w:style w:type="paragraph" w:styleId="magenta-title">
    <w:name w:val="magenta-title"/>
    <w:basedOn w:val="default"/>
    <w:qFormat/>
    <w:pPr/>
    <w:rPr>
      <w:rFonts w:ascii="Arial" w:hAnsi="Arial"/>
      <w:color w:val="FFFFFF"/>
      <w:kern w:val="2"/>
      <w:sz w:val="36"/>
    </w:rPr>
  </w:style>
  <w:style w:type="paragraph" w:styleId="magenta-title-with-border">
    <w:name w:val="magenta-title-with-border"/>
    <w:basedOn w:val="default"/>
    <w:qFormat/>
    <w:pPr/>
    <w:rPr>
      <w:rFonts w:ascii="Arial" w:hAnsi="Arial"/>
      <w:color w:val="FFFFFF"/>
      <w:kern w:val="2"/>
      <w:sz w:val="36"/>
    </w:rPr>
  </w:style>
  <w:style w:type="paragraph" w:styleId="magenta-banded">
    <w:name w:val="magenta-banded"/>
    <w:basedOn w:val="default"/>
    <w:qFormat/>
    <w:pPr/>
    <w:rPr>
      <w:rFonts w:ascii="Arial" w:hAnsi="Arial"/>
      <w:color w:val="auto"/>
      <w:kern w:val="2"/>
      <w:sz w:val="36"/>
    </w:rPr>
  </w:style>
  <w:style w:type="paragraph" w:styleId="magenta-normal">
    <w:name w:val="magenta-normal"/>
    <w:basedOn w:val="default"/>
    <w:qFormat/>
    <w:pPr/>
    <w:rPr>
      <w:rFonts w:ascii="Arial" w:hAnsi="Arial"/>
      <w:color w:val="auto"/>
      <w:kern w:val="2"/>
      <w:sz w:val="36"/>
    </w:rPr>
  </w:style>
  <w:style w:type="paragraph" w:styleId="Style41">
    <w:name w:val="Объекты фона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Style42">
    <w:name w:val="Фон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Style43">
    <w:name w:val="Примечания"/>
    <w:qFormat/>
    <w:pPr>
      <w:widowControl w:val="false"/>
      <w:suppressAutoHyphens w:val="true"/>
      <w:overflowPunct w:val="true"/>
      <w:bidi w:val="0"/>
      <w:spacing w:before="0" w:after="0"/>
      <w:ind w:hanging="340" w:left="34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11">
    <w:name w:val="Структура 1"/>
    <w:qFormat/>
    <w:pPr>
      <w:widowControl w:val="false"/>
      <w:suppressAutoHyphens w:val="true"/>
      <w:overflowPunct w:val="true"/>
      <w:bidi w:val="0"/>
      <w:spacing w:lineRule="auto" w:line="216" w:before="283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en-US" w:bidi="ar-SA"/>
    </w:rPr>
  </w:style>
  <w:style w:type="paragraph" w:styleId="21">
    <w:name w:val="Структура 2"/>
    <w:basedOn w:val="11"/>
    <w:qFormat/>
    <w:pPr>
      <w:bidi w:val="0"/>
      <w:spacing w:lineRule="auto" w:line="216" w:before="22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31">
    <w:name w:val="Структура 3"/>
    <w:basedOn w:val="21"/>
    <w:qFormat/>
    <w:pPr>
      <w:bidi w:val="0"/>
      <w:spacing w:lineRule="auto" w:line="216" w:before="170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43">
    <w:name w:val="Структура 4"/>
    <w:basedOn w:val="31"/>
    <w:qFormat/>
    <w:pPr>
      <w:bidi w:val="0"/>
      <w:spacing w:lineRule="auto" w:line="216" w:before="113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5">
    <w:name w:val="Структура 5"/>
    <w:basedOn w:val="43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6">
    <w:name w:val="Структура 6"/>
    <w:basedOn w:val="5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7">
    <w:name w:val="Структура 7"/>
    <w:basedOn w:val="6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8">
    <w:name w:val="Структура 8"/>
    <w:basedOn w:val="7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9">
    <w:name w:val="Структура 9"/>
    <w:basedOn w:val="8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Emphasis">
    <w:name w:val="Emphasis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i/>
      <w:color w:val="auto"/>
      <w:kern w:val="0"/>
      <w:sz w:val="24"/>
      <w:szCs w:val="24"/>
      <w:lang w:val="ru-RU" w:eastAsia="en-US" w:bidi="ar-SA"/>
    </w:rPr>
  </w:style>
  <w:style w:type="paragraph" w:styleId="DefaultParagraphFont1">
    <w:name w:val="Default Paragraph Font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InternetLink41">
    <w:name w:val="Internet Link4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000080"/>
      <w:kern w:val="0"/>
      <w:sz w:val="24"/>
      <w:szCs w:val="24"/>
      <w:u w:val="single"/>
      <w:lang w:val="ru-RU" w:eastAsia="en-US" w:bidi="ar-SA"/>
    </w:rPr>
  </w:style>
  <w:style w:type="paragraph" w:styleId="ListLabel2341">
    <w:name w:val="ListLabel 234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331">
    <w:name w:val="ListLabel 233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321">
    <w:name w:val="ListLabel 232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311">
    <w:name w:val="ListLabel 23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301">
    <w:name w:val="ListLabel 230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291">
    <w:name w:val="ListLabel 229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281">
    <w:name w:val="ListLabel 228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271">
    <w:name w:val="ListLabel 227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261">
    <w:name w:val="ListLabel 226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251">
    <w:name w:val="ListLabel 225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241">
    <w:name w:val="ListLabel 224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231">
    <w:name w:val="ListLabel 223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221">
    <w:name w:val="ListLabel 222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211">
    <w:name w:val="ListLabel 22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201">
    <w:name w:val="ListLabel 220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191">
    <w:name w:val="ListLabel 219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181">
    <w:name w:val="ListLabel 218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171">
    <w:name w:val="ListLabel 217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161">
    <w:name w:val="ListLabel 216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151">
    <w:name w:val="ListLabel 215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141">
    <w:name w:val="ListLabel 214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131">
    <w:name w:val="ListLabel 213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121">
    <w:name w:val="ListLabel 212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111">
    <w:name w:val="ListLabel 21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101">
    <w:name w:val="ListLabel 210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091">
    <w:name w:val="ListLabel 209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081">
    <w:name w:val="ListLabel 208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071">
    <w:name w:val="ListLabel 207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061">
    <w:name w:val="ListLabel 206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051">
    <w:name w:val="ListLabel 205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041">
    <w:name w:val="ListLabel 204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031">
    <w:name w:val="ListLabel 203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021">
    <w:name w:val="ListLabel 202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011">
    <w:name w:val="ListLabel 20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001">
    <w:name w:val="ListLabel 200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991">
    <w:name w:val="ListLabel 199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981">
    <w:name w:val="ListLabel 198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971">
    <w:name w:val="ListLabel 197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961">
    <w:name w:val="ListLabel 196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951">
    <w:name w:val="ListLabel 195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941">
    <w:name w:val="ListLabel 194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931">
    <w:name w:val="ListLabel 193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921">
    <w:name w:val="ListLabel 192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911">
    <w:name w:val="ListLabel 19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901">
    <w:name w:val="ListLabel 190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891">
    <w:name w:val="ListLabel 189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881">
    <w:name w:val="ListLabel 188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871">
    <w:name w:val="ListLabel 187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861">
    <w:name w:val="ListLabel 186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851">
    <w:name w:val="ListLabel 185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841">
    <w:name w:val="ListLabel 184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831">
    <w:name w:val="ListLabel 183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821">
    <w:name w:val="ListLabel 182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811">
    <w:name w:val="ListLabel 18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801">
    <w:name w:val="ListLabel 180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791">
    <w:name w:val="ListLabel 179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781">
    <w:name w:val="ListLabel 178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771">
    <w:name w:val="ListLabel 177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761">
    <w:name w:val="ListLabel 176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751">
    <w:name w:val="ListLabel 175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741">
    <w:name w:val="ListLabel 174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731">
    <w:name w:val="ListLabel 173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721">
    <w:name w:val="ListLabel 172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711">
    <w:name w:val="ListLabel 17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701">
    <w:name w:val="ListLabel 170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691">
    <w:name w:val="ListLabel 169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681">
    <w:name w:val="ListLabel 168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671">
    <w:name w:val="ListLabel 167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661">
    <w:name w:val="ListLabel 166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651">
    <w:name w:val="ListLabel 165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641">
    <w:name w:val="ListLabel 164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631">
    <w:name w:val="ListLabel 163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621">
    <w:name w:val="ListLabel 162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611">
    <w:name w:val="ListLabel 16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601">
    <w:name w:val="ListLabel 160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591">
    <w:name w:val="ListLabel 159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581">
    <w:name w:val="ListLabel 158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571">
    <w:name w:val="ListLabel 157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561">
    <w:name w:val="ListLabel 156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551">
    <w:name w:val="ListLabel 155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541">
    <w:name w:val="ListLabel 154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531">
    <w:name w:val="ListLabel 153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521">
    <w:name w:val="ListLabel 152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511">
    <w:name w:val="ListLabel 15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501">
    <w:name w:val="ListLabel 150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491">
    <w:name w:val="ListLabel 149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481">
    <w:name w:val="ListLabel 148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471">
    <w:name w:val="ListLabel 147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461">
    <w:name w:val="ListLabel 146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451">
    <w:name w:val="ListLabel 145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441">
    <w:name w:val="ListLabel 144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431">
    <w:name w:val="ListLabel 143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421">
    <w:name w:val="ListLabel 142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411">
    <w:name w:val="ListLabel 14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401">
    <w:name w:val="ListLabel 140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391">
    <w:name w:val="ListLabel 139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381">
    <w:name w:val="ListLabel 138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371">
    <w:name w:val="ListLabel 137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361">
    <w:name w:val="ListLabel 136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351">
    <w:name w:val="ListLabel 135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341">
    <w:name w:val="ListLabel 134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331">
    <w:name w:val="ListLabel 133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321">
    <w:name w:val="ListLabel 132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311">
    <w:name w:val="ListLabel 13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301">
    <w:name w:val="ListLabel 130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291">
    <w:name w:val="ListLabel 129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281">
    <w:name w:val="ListLabel 128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271">
    <w:name w:val="ListLabel 127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261">
    <w:name w:val="ListLabel 126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251">
    <w:name w:val="ListLabel 125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241">
    <w:name w:val="ListLabel 124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231">
    <w:name w:val="ListLabel 123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221">
    <w:name w:val="ListLabel 122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211">
    <w:name w:val="ListLabel 12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201">
    <w:name w:val="ListLabel 120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191">
    <w:name w:val="ListLabel 119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181">
    <w:name w:val="ListLabel 118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171">
    <w:name w:val="ListLabel 117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161">
    <w:name w:val="ListLabel 116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151">
    <w:name w:val="ListLabel 115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141">
    <w:name w:val="ListLabel 114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131">
    <w:name w:val="ListLabel 113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121">
    <w:name w:val="ListLabel 112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111">
    <w:name w:val="ListLabel 11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101">
    <w:name w:val="ListLabel 110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091">
    <w:name w:val="ListLabel 109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081">
    <w:name w:val="ListLabel 108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071">
    <w:name w:val="ListLabel 107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061">
    <w:name w:val="ListLabel 106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051">
    <w:name w:val="ListLabel 105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041">
    <w:name w:val="ListLabel 104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031">
    <w:name w:val="ListLabel 103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021">
    <w:name w:val="ListLabel 102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011">
    <w:name w:val="ListLabel 10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001">
    <w:name w:val="ListLabel 100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991">
    <w:name w:val="ListLabel 99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981">
    <w:name w:val="ListLabel 98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971">
    <w:name w:val="ListLabel 97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961">
    <w:name w:val="ListLabel 96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951">
    <w:name w:val="ListLabel 95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941">
    <w:name w:val="ListLabel 94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931">
    <w:name w:val="ListLabel 93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921">
    <w:name w:val="ListLabel 92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911">
    <w:name w:val="ListLabel 9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901">
    <w:name w:val="ListLabel 90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891">
    <w:name w:val="ListLabel 89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881">
    <w:name w:val="ListLabel 88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871">
    <w:name w:val="ListLabel 87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861">
    <w:name w:val="ListLabel 86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851">
    <w:name w:val="ListLabel 85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841">
    <w:name w:val="ListLabel 84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831">
    <w:name w:val="ListLabel 83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821">
    <w:name w:val="ListLabel 82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811">
    <w:name w:val="ListLabel 8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801">
    <w:name w:val="ListLabel 80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791">
    <w:name w:val="ListLabel 79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781">
    <w:name w:val="ListLabel 78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771">
    <w:name w:val="ListLabel 77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761">
    <w:name w:val="ListLabel 76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751">
    <w:name w:val="ListLabel 75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741">
    <w:name w:val="ListLabel 74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731">
    <w:name w:val="ListLabel 73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721">
    <w:name w:val="ListLabel 72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711">
    <w:name w:val="ListLabel 7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701">
    <w:name w:val="ListLabel 70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691">
    <w:name w:val="ListLabel 69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681">
    <w:name w:val="ListLabel 68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671">
    <w:name w:val="ListLabel 67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661">
    <w:name w:val="ListLabel 66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651">
    <w:name w:val="ListLabel 65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641">
    <w:name w:val="ListLabel 64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631">
    <w:name w:val="ListLabel 63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621">
    <w:name w:val="ListLabel 62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611">
    <w:name w:val="ListLabel 6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601">
    <w:name w:val="ListLabel 60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591">
    <w:name w:val="ListLabel 59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581">
    <w:name w:val="ListLabel 58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571">
    <w:name w:val="ListLabel 57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561">
    <w:name w:val="ListLabel 56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551">
    <w:name w:val="ListLabel 55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541">
    <w:name w:val="ListLabel 54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531">
    <w:name w:val="ListLabel 53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521">
    <w:name w:val="ListLabel 52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511">
    <w:name w:val="ListLabel 5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501">
    <w:name w:val="ListLabel 50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491">
    <w:name w:val="ListLabel 49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481">
    <w:name w:val="ListLabel 48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471">
    <w:name w:val="ListLabel 47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461">
    <w:name w:val="ListLabel 46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451">
    <w:name w:val="ListLabel 45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441">
    <w:name w:val="ListLabel 44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431">
    <w:name w:val="ListLabel 43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421">
    <w:name w:val="ListLabel 42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411">
    <w:name w:val="ListLabel 4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401">
    <w:name w:val="ListLabel 40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391">
    <w:name w:val="ListLabel 39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381">
    <w:name w:val="ListLabel 38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371">
    <w:name w:val="ListLabel 37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361">
    <w:name w:val="ListLabel 36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351">
    <w:name w:val="ListLabel 35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3411">
    <w:name w:val="ListLabel 34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331">
    <w:name w:val="ListLabel 33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3211">
    <w:name w:val="ListLabel 32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311">
    <w:name w:val="ListLabel 3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3011">
    <w:name w:val="ListLabel 30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911">
    <w:name w:val="ListLabel 29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811">
    <w:name w:val="ListLabel 28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711">
    <w:name w:val="ListLabel 27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611">
    <w:name w:val="ListLabel 26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511">
    <w:name w:val="ListLabel 25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411">
    <w:name w:val="ListLabel 24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351">
    <w:name w:val="ListLabel 235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210">
    <w:name w:val="ListLabel 2210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110">
    <w:name w:val="ListLabel 2110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010">
    <w:name w:val="ListLabel 2010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910">
    <w:name w:val="ListLabel 1910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810">
    <w:name w:val="ListLabel 1810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710">
    <w:name w:val="ListLabel 1710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610">
    <w:name w:val="ListLabel 1610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510">
    <w:name w:val="ListLabel 1510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410">
    <w:name w:val="ListLabel 1410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310">
    <w:name w:val="ListLabel 1310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210">
    <w:name w:val="ListLabel 1210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110">
    <w:name w:val="ListLabel 1110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010">
    <w:name w:val="ListLabel 1010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Times New Roman" w:hAnsi="Times New Roman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910">
    <w:name w:val="ListLabel 910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810">
    <w:name w:val="ListLabel 810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710">
    <w:name w:val="ListLabel 710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610">
    <w:name w:val="ListLabel 610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510">
    <w:name w:val="ListLabel 510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410">
    <w:name w:val="ListLabel 410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310">
    <w:name w:val="ListLabel 310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361">
    <w:name w:val="ListLabel 236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100">
    <w:name w:val="ListLabel 1100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InternetLink51">
    <w:name w:val="Internet Link5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000080"/>
      <w:kern w:val="0"/>
      <w:sz w:val="24"/>
      <w:szCs w:val="24"/>
      <w:u w:val="single"/>
      <w:lang w:val="ru-RU" w:eastAsia="en-US" w:bidi="ar-SA"/>
    </w:rPr>
  </w:style>
  <w:style w:type="paragraph" w:styleId="InternetLink211">
    <w:name w:val="Internet Link2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000080"/>
      <w:kern w:val="0"/>
      <w:sz w:val="24"/>
      <w:szCs w:val="24"/>
      <w:u w:val="single"/>
      <w:lang w:val="ru-RU" w:eastAsia="en-US" w:bidi="ar-SA"/>
    </w:rPr>
  </w:style>
  <w:style w:type="paragraph" w:styleId="12">
    <w:name w:val="Символ нумерации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13">
    <w:name w:val="Маркеры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14">
    <w:name w:val="Ссылка указателя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InternetLink111">
    <w:name w:val="Internet Link11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000080"/>
      <w:kern w:val="0"/>
      <w:sz w:val="24"/>
      <w:szCs w:val="24"/>
      <w:u w:val="single"/>
      <w:lang w:val="ru-RU" w:eastAsia="en-US" w:bidi="ar-SA"/>
    </w:rPr>
  </w:style>
  <w:style w:type="paragraph" w:styleId="15">
    <w:name w:val="Нижний колонтитул Знак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16">
    <w:name w:val="Верхний колонтитул Знак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apple-converted-space1">
    <w:name w:val="apple-converted-space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Times New Roman" w:hAnsi="Times New Roman" w:eastAsia="Tahoma" w:cs="Calibri"/>
      <w:color w:val="auto"/>
      <w:kern w:val="0"/>
      <w:sz w:val="24"/>
      <w:szCs w:val="24"/>
      <w:lang w:val="ru-RU" w:eastAsia="en-US" w:bidi="ar-SA"/>
    </w:rPr>
  </w:style>
  <w:style w:type="paragraph" w:styleId="17">
    <w:name w:val="Обычный (Интернет) Знак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Times New Roman" w:hAnsi="Times New Roman" w:eastAsia="Tahoma" w:cs="Calibri"/>
      <w:color w:val="auto"/>
      <w:kern w:val="0"/>
      <w:sz w:val="24"/>
      <w:szCs w:val="24"/>
      <w:lang w:val="ru-RU" w:eastAsia="en-US" w:bidi="ar-SA"/>
    </w:rPr>
  </w:style>
  <w:style w:type="paragraph" w:styleId="211">
    <w:name w:val="Заголовок 2 Знак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Calibri Light" w:hAnsi="Calibri Light" w:eastAsia="Tahoma" w:cs="Calibri"/>
      <w:color w:val="2F5496"/>
      <w:kern w:val="0"/>
      <w:sz w:val="26"/>
      <w:szCs w:val="24"/>
      <w:lang w:val="ru-RU" w:eastAsia="en-US" w:bidi="ar-SA"/>
    </w:rPr>
  </w:style>
  <w:style w:type="paragraph" w:styleId="InternetLink31">
    <w:name w:val="Internet Link3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0563C1"/>
      <w:kern w:val="0"/>
      <w:sz w:val="24"/>
      <w:szCs w:val="24"/>
      <w:u w:val="single"/>
      <w:lang w:val="ru-RU" w:eastAsia="en-US" w:bidi="ar-SA"/>
    </w:rPr>
  </w:style>
  <w:style w:type="paragraph" w:styleId="18">
    <w:name w:val="Абзац списка Знак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111">
    <w:name w:val="Заголовок 1 Знак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Cambria" w:hAnsi="Cambria" w:eastAsia="Tahoma" w:cs="Calibri"/>
      <w:b/>
      <w:color w:val="365F91"/>
      <w:kern w:val="0"/>
      <w:sz w:val="28"/>
      <w:szCs w:val="24"/>
      <w:lang w:val="ru-RU" w:eastAsia="en-US" w:bidi="ar-SA"/>
    </w:rPr>
  </w:style>
  <w:style w:type="paragraph" w:styleId="LTGliederung11">
    <w:name w:val="Заголовок и вертикальный текст~LT~Gliederung 1"/>
    <w:qFormat/>
    <w:pPr>
      <w:widowControl w:val="false"/>
      <w:suppressAutoHyphens w:val="true"/>
      <w:overflowPunct w:val="true"/>
      <w:bidi w:val="0"/>
      <w:spacing w:lineRule="auto" w:line="216" w:before="283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en-US" w:bidi="ar-SA"/>
    </w:rPr>
  </w:style>
  <w:style w:type="paragraph" w:styleId="LTGliederung21">
    <w:name w:val="Заголовок и вертикальный текст~LT~Gliederung 2"/>
    <w:basedOn w:val="LTGliederung11"/>
    <w:qFormat/>
    <w:pPr>
      <w:bidi w:val="0"/>
      <w:spacing w:lineRule="auto" w:line="216" w:before="22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1">
    <w:name w:val="Заголовок и вертикальный текст~LT~Gliederung 3"/>
    <w:basedOn w:val="LTGliederung21"/>
    <w:qFormat/>
    <w:pPr>
      <w:bidi w:val="0"/>
      <w:spacing w:lineRule="auto" w:line="216" w:before="170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1">
    <w:name w:val="Заголовок и вертикальный текст~LT~Gliederung 4"/>
    <w:basedOn w:val="LTGliederung31"/>
    <w:qFormat/>
    <w:pPr>
      <w:bidi w:val="0"/>
      <w:spacing w:lineRule="auto" w:line="216" w:before="113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1">
    <w:name w:val="Заголовок и вертикальный текст~LT~Gliederung 5"/>
    <w:basedOn w:val="LTGliederung41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1">
    <w:name w:val="Заголовок и вертикальный текст~LT~Gliederung 6"/>
    <w:basedOn w:val="LTGliederung51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1">
    <w:name w:val="Заголовок и вертикальный текст~LT~Gliederung 7"/>
    <w:basedOn w:val="LTGliederung61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1">
    <w:name w:val="Заголовок и вертикальный текст~LT~Gliederung 8"/>
    <w:basedOn w:val="LTGliederung71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1">
    <w:name w:val="Заголовок и вертикальный текст~LT~Gliederung 9"/>
    <w:basedOn w:val="LTGliederung81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1">
    <w:name w:val="Заголовок и вертикальный текст~LT~Titel"/>
    <w:qFormat/>
    <w:pPr>
      <w:widowControl w:val="false"/>
      <w:suppressAutoHyphens w:val="true"/>
      <w:overflowPunct w:val="true"/>
      <w:bidi w:val="0"/>
      <w:spacing w:lineRule="atLeast" w:line="0" w:before="0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1">
    <w:name w:val="Заголовок и вертикальный текст~LT~Untertitel"/>
    <w:qFormat/>
    <w:pPr>
      <w:widowControl w:val="false"/>
      <w:suppressAutoHyphens w:val="true"/>
      <w:overflowPunct w:val="true"/>
      <w:bidi w:val="0"/>
      <w:spacing w:before="0" w:after="0"/>
      <w:jc w:val="center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1">
    <w:name w:val="Заголовок и вертикальный текст~LT~Notizen"/>
    <w:qFormat/>
    <w:pPr>
      <w:widowControl w:val="false"/>
      <w:suppressAutoHyphens w:val="true"/>
      <w:overflowPunct w:val="true"/>
      <w:bidi w:val="0"/>
      <w:spacing w:before="0" w:after="0"/>
      <w:ind w:hanging="340" w:left="34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1">
    <w:name w:val="Заголовок и вертикальный текст~LT~Hintergrundobjekte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Hintergrund1">
    <w:name w:val="Заголовок и вертикальный текст~LT~Hintergrund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Gliederung12">
    <w:name w:val="Вертикальный заголовок и текст~LT~Gliederung 1"/>
    <w:qFormat/>
    <w:pPr>
      <w:widowControl w:val="false"/>
      <w:suppressAutoHyphens w:val="true"/>
      <w:overflowPunct w:val="true"/>
      <w:bidi w:val="0"/>
      <w:spacing w:lineRule="auto" w:line="216" w:before="283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en-US" w:bidi="ar-SA"/>
    </w:rPr>
  </w:style>
  <w:style w:type="paragraph" w:styleId="LTGliederung22">
    <w:name w:val="Вертикальный заголовок и текст~LT~Gliederung 2"/>
    <w:basedOn w:val="LTGliederung12"/>
    <w:qFormat/>
    <w:pPr>
      <w:bidi w:val="0"/>
      <w:spacing w:lineRule="auto" w:line="216" w:before="22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2">
    <w:name w:val="Вертикальный заголовок и текст~LT~Gliederung 3"/>
    <w:basedOn w:val="LTGliederung22"/>
    <w:qFormat/>
    <w:pPr>
      <w:bidi w:val="0"/>
      <w:spacing w:lineRule="auto" w:line="216" w:before="170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2">
    <w:name w:val="Вертикальный заголовок и текст~LT~Gliederung 4"/>
    <w:basedOn w:val="LTGliederung32"/>
    <w:qFormat/>
    <w:pPr>
      <w:bidi w:val="0"/>
      <w:spacing w:lineRule="auto" w:line="216" w:before="113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2">
    <w:name w:val="Вертикальный заголовок и текст~LT~Gliederung 5"/>
    <w:basedOn w:val="LTGliederung42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2">
    <w:name w:val="Вертикальный заголовок и текст~LT~Gliederung 6"/>
    <w:basedOn w:val="LTGliederung52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2">
    <w:name w:val="Вертикальный заголовок и текст~LT~Gliederung 7"/>
    <w:basedOn w:val="LTGliederung62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2">
    <w:name w:val="Вертикальный заголовок и текст~LT~Gliederung 8"/>
    <w:basedOn w:val="LTGliederung72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2">
    <w:name w:val="Вертикальный заголовок и текст~LT~Gliederung 9"/>
    <w:basedOn w:val="LTGliederung82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2">
    <w:name w:val="Вертикальный заголовок и текст~LT~Titel"/>
    <w:qFormat/>
    <w:pPr>
      <w:widowControl w:val="false"/>
      <w:suppressAutoHyphens w:val="true"/>
      <w:overflowPunct w:val="true"/>
      <w:bidi w:val="0"/>
      <w:spacing w:lineRule="atLeast" w:line="0" w:before="0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2">
    <w:name w:val="Вертикальный заголовок и текст~LT~Untertitel"/>
    <w:qFormat/>
    <w:pPr>
      <w:widowControl w:val="false"/>
      <w:suppressAutoHyphens w:val="true"/>
      <w:overflowPunct w:val="true"/>
      <w:bidi w:val="0"/>
      <w:spacing w:before="0" w:after="0"/>
      <w:jc w:val="center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2">
    <w:name w:val="Вертикальный заголовок и текст~LT~Notizen"/>
    <w:qFormat/>
    <w:pPr>
      <w:widowControl w:val="false"/>
      <w:suppressAutoHyphens w:val="true"/>
      <w:overflowPunct w:val="true"/>
      <w:bidi w:val="0"/>
      <w:spacing w:before="0" w:after="0"/>
      <w:ind w:hanging="340" w:left="34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2">
    <w:name w:val="Вертикальный заголовок и текст~LT~Hintergrundobjekte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Hintergrund2">
    <w:name w:val="Вертикальный заголовок и текст~LT~Hintergrund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Gliederung13">
    <w:name w:val="Заголовок и объект~LT~Gliederung 1"/>
    <w:qFormat/>
    <w:pPr>
      <w:widowControl w:val="false"/>
      <w:suppressAutoHyphens w:val="true"/>
      <w:overflowPunct w:val="true"/>
      <w:bidi w:val="0"/>
      <w:spacing w:lineRule="auto" w:line="216" w:before="283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en-US" w:bidi="ar-SA"/>
    </w:rPr>
  </w:style>
  <w:style w:type="paragraph" w:styleId="LTGliederung23">
    <w:name w:val="Заголовок и объект~LT~Gliederung 2"/>
    <w:basedOn w:val="LTGliederung13"/>
    <w:qFormat/>
    <w:pPr>
      <w:bidi w:val="0"/>
      <w:spacing w:lineRule="auto" w:line="216" w:before="22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3">
    <w:name w:val="Заголовок и объект~LT~Gliederung 3"/>
    <w:basedOn w:val="LTGliederung23"/>
    <w:qFormat/>
    <w:pPr>
      <w:bidi w:val="0"/>
      <w:spacing w:lineRule="auto" w:line="216" w:before="170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3">
    <w:name w:val="Заголовок и объект~LT~Gliederung 4"/>
    <w:basedOn w:val="LTGliederung33"/>
    <w:qFormat/>
    <w:pPr>
      <w:bidi w:val="0"/>
      <w:spacing w:lineRule="auto" w:line="216" w:before="113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3">
    <w:name w:val="Заголовок и объект~LT~Gliederung 5"/>
    <w:basedOn w:val="LTGliederung43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3">
    <w:name w:val="Заголовок и объект~LT~Gliederung 6"/>
    <w:basedOn w:val="LTGliederung53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3">
    <w:name w:val="Заголовок и объект~LT~Gliederung 7"/>
    <w:basedOn w:val="LTGliederung63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3">
    <w:name w:val="Заголовок и объект~LT~Gliederung 8"/>
    <w:basedOn w:val="LTGliederung73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3">
    <w:name w:val="Заголовок и объект~LT~Gliederung 9"/>
    <w:basedOn w:val="LTGliederung83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3">
    <w:name w:val="Заголовок и объект~LT~Titel"/>
    <w:qFormat/>
    <w:pPr>
      <w:widowControl w:val="false"/>
      <w:suppressAutoHyphens w:val="true"/>
      <w:overflowPunct w:val="true"/>
      <w:bidi w:val="0"/>
      <w:spacing w:lineRule="atLeast" w:line="0" w:before="0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3">
    <w:name w:val="Заголовок и объект~LT~Untertitel"/>
    <w:qFormat/>
    <w:pPr>
      <w:widowControl w:val="false"/>
      <w:suppressAutoHyphens w:val="true"/>
      <w:overflowPunct w:val="true"/>
      <w:bidi w:val="0"/>
      <w:spacing w:before="0" w:after="0"/>
      <w:jc w:val="center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3">
    <w:name w:val="Заголовок и объект~LT~Notizen"/>
    <w:qFormat/>
    <w:pPr>
      <w:widowControl w:val="false"/>
      <w:suppressAutoHyphens w:val="true"/>
      <w:overflowPunct w:val="true"/>
      <w:bidi w:val="0"/>
      <w:spacing w:before="0" w:after="0"/>
      <w:ind w:hanging="340" w:left="34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3">
    <w:name w:val="Заголовок и объект~LT~Hintergrundobjekte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Hintergrund3">
    <w:name w:val="Заголовок и объект~LT~Hintergrund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Gliederung14">
    <w:name w:val="Заголовок раздела~LT~Gliederung 1"/>
    <w:qFormat/>
    <w:pPr>
      <w:widowControl w:val="false"/>
      <w:suppressAutoHyphens w:val="true"/>
      <w:overflowPunct w:val="true"/>
      <w:bidi w:val="0"/>
      <w:spacing w:lineRule="auto" w:line="216" w:before="283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en-US" w:bidi="ar-SA"/>
    </w:rPr>
  </w:style>
  <w:style w:type="paragraph" w:styleId="LTGliederung24">
    <w:name w:val="Заголовок раздела~LT~Gliederung 2"/>
    <w:basedOn w:val="LTGliederung14"/>
    <w:qFormat/>
    <w:pPr>
      <w:bidi w:val="0"/>
      <w:spacing w:lineRule="auto" w:line="216" w:before="22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4">
    <w:name w:val="Заголовок раздела~LT~Gliederung 3"/>
    <w:basedOn w:val="LTGliederung24"/>
    <w:qFormat/>
    <w:pPr>
      <w:bidi w:val="0"/>
      <w:spacing w:lineRule="auto" w:line="216" w:before="170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4">
    <w:name w:val="Заголовок раздела~LT~Gliederung 4"/>
    <w:basedOn w:val="LTGliederung34"/>
    <w:qFormat/>
    <w:pPr>
      <w:bidi w:val="0"/>
      <w:spacing w:lineRule="auto" w:line="216" w:before="113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4">
    <w:name w:val="Заголовок раздела~LT~Gliederung 5"/>
    <w:basedOn w:val="LTGliederung44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4">
    <w:name w:val="Заголовок раздела~LT~Gliederung 6"/>
    <w:basedOn w:val="LTGliederung54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4">
    <w:name w:val="Заголовок раздела~LT~Gliederung 7"/>
    <w:basedOn w:val="LTGliederung64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4">
    <w:name w:val="Заголовок раздела~LT~Gliederung 8"/>
    <w:basedOn w:val="LTGliederung74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4">
    <w:name w:val="Заголовок раздела~LT~Gliederung 9"/>
    <w:basedOn w:val="LTGliederung84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4">
    <w:name w:val="Заголовок раздела~LT~Titel"/>
    <w:qFormat/>
    <w:pPr>
      <w:widowControl w:val="false"/>
      <w:suppressAutoHyphens w:val="true"/>
      <w:overflowPunct w:val="true"/>
      <w:bidi w:val="0"/>
      <w:spacing w:lineRule="atLeast" w:line="0" w:before="0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4">
    <w:name w:val="Заголовок раздела~LT~Untertitel"/>
    <w:qFormat/>
    <w:pPr>
      <w:widowControl w:val="false"/>
      <w:suppressAutoHyphens w:val="true"/>
      <w:overflowPunct w:val="true"/>
      <w:bidi w:val="0"/>
      <w:spacing w:before="0" w:after="0"/>
      <w:jc w:val="center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4">
    <w:name w:val="Заголовок раздела~LT~Notizen"/>
    <w:qFormat/>
    <w:pPr>
      <w:widowControl w:val="false"/>
      <w:suppressAutoHyphens w:val="true"/>
      <w:overflowPunct w:val="true"/>
      <w:bidi w:val="0"/>
      <w:spacing w:before="0" w:after="0"/>
      <w:ind w:hanging="340" w:left="34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4">
    <w:name w:val="Заголовок раздела~LT~Hintergrundobjekte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Hintergrund4">
    <w:name w:val="Заголовок раздела~LT~Hintergrund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Gliederung15">
    <w:name w:val="Два объекта~LT~Gliederung 1"/>
    <w:qFormat/>
    <w:pPr>
      <w:widowControl w:val="false"/>
      <w:suppressAutoHyphens w:val="true"/>
      <w:overflowPunct w:val="true"/>
      <w:bidi w:val="0"/>
      <w:spacing w:lineRule="auto" w:line="216" w:before="283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en-US" w:bidi="ar-SA"/>
    </w:rPr>
  </w:style>
  <w:style w:type="paragraph" w:styleId="LTGliederung25">
    <w:name w:val="Два объекта~LT~Gliederung 2"/>
    <w:basedOn w:val="LTGliederung15"/>
    <w:qFormat/>
    <w:pPr>
      <w:bidi w:val="0"/>
      <w:spacing w:lineRule="auto" w:line="216" w:before="22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5">
    <w:name w:val="Два объекта~LT~Gliederung 3"/>
    <w:basedOn w:val="LTGliederung25"/>
    <w:qFormat/>
    <w:pPr>
      <w:bidi w:val="0"/>
      <w:spacing w:lineRule="auto" w:line="216" w:before="170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5">
    <w:name w:val="Два объекта~LT~Gliederung 4"/>
    <w:basedOn w:val="LTGliederung35"/>
    <w:qFormat/>
    <w:pPr>
      <w:bidi w:val="0"/>
      <w:spacing w:lineRule="auto" w:line="216" w:before="113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5">
    <w:name w:val="Два объекта~LT~Gliederung 5"/>
    <w:basedOn w:val="LTGliederung45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5">
    <w:name w:val="Два объекта~LT~Gliederung 6"/>
    <w:basedOn w:val="LTGliederung55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5">
    <w:name w:val="Два объекта~LT~Gliederung 7"/>
    <w:basedOn w:val="LTGliederung65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5">
    <w:name w:val="Два объекта~LT~Gliederung 8"/>
    <w:basedOn w:val="LTGliederung75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5">
    <w:name w:val="Два объекта~LT~Gliederung 9"/>
    <w:basedOn w:val="LTGliederung85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5">
    <w:name w:val="Два объекта~LT~Titel"/>
    <w:qFormat/>
    <w:pPr>
      <w:widowControl w:val="false"/>
      <w:suppressAutoHyphens w:val="true"/>
      <w:overflowPunct w:val="true"/>
      <w:bidi w:val="0"/>
      <w:spacing w:lineRule="atLeast" w:line="0" w:before="0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5">
    <w:name w:val="Два объекта~LT~Untertitel"/>
    <w:qFormat/>
    <w:pPr>
      <w:widowControl w:val="false"/>
      <w:suppressAutoHyphens w:val="true"/>
      <w:overflowPunct w:val="true"/>
      <w:bidi w:val="0"/>
      <w:spacing w:before="0" w:after="0"/>
      <w:jc w:val="center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5">
    <w:name w:val="Два объекта~LT~Notizen"/>
    <w:qFormat/>
    <w:pPr>
      <w:widowControl w:val="false"/>
      <w:suppressAutoHyphens w:val="true"/>
      <w:overflowPunct w:val="true"/>
      <w:bidi w:val="0"/>
      <w:spacing w:before="0" w:after="0"/>
      <w:ind w:hanging="340" w:left="34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5">
    <w:name w:val="Два объекта~LT~Hintergrundobjekte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Hintergrund5">
    <w:name w:val="Два объекта~LT~Hintergrund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Gliederung16">
    <w:name w:val="Сравнение~LT~Gliederung 1"/>
    <w:qFormat/>
    <w:pPr>
      <w:widowControl w:val="false"/>
      <w:suppressAutoHyphens w:val="true"/>
      <w:overflowPunct w:val="true"/>
      <w:bidi w:val="0"/>
      <w:spacing w:lineRule="auto" w:line="216" w:before="283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en-US" w:bidi="ar-SA"/>
    </w:rPr>
  </w:style>
  <w:style w:type="paragraph" w:styleId="LTGliederung26">
    <w:name w:val="Сравнение~LT~Gliederung 2"/>
    <w:basedOn w:val="LTGliederung16"/>
    <w:qFormat/>
    <w:pPr>
      <w:bidi w:val="0"/>
      <w:spacing w:lineRule="auto" w:line="216" w:before="22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6">
    <w:name w:val="Сравнение~LT~Gliederung 3"/>
    <w:basedOn w:val="LTGliederung26"/>
    <w:qFormat/>
    <w:pPr>
      <w:bidi w:val="0"/>
      <w:spacing w:lineRule="auto" w:line="216" w:before="170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6">
    <w:name w:val="Сравнение~LT~Gliederung 4"/>
    <w:basedOn w:val="LTGliederung36"/>
    <w:qFormat/>
    <w:pPr>
      <w:bidi w:val="0"/>
      <w:spacing w:lineRule="auto" w:line="216" w:before="113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6">
    <w:name w:val="Сравнение~LT~Gliederung 5"/>
    <w:basedOn w:val="LTGliederung46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6">
    <w:name w:val="Сравнение~LT~Gliederung 6"/>
    <w:basedOn w:val="LTGliederung56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6">
    <w:name w:val="Сравнение~LT~Gliederung 7"/>
    <w:basedOn w:val="LTGliederung66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6">
    <w:name w:val="Сравнение~LT~Gliederung 8"/>
    <w:basedOn w:val="LTGliederung76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6">
    <w:name w:val="Сравнение~LT~Gliederung 9"/>
    <w:basedOn w:val="LTGliederung86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6">
    <w:name w:val="Сравнение~LT~Titel"/>
    <w:qFormat/>
    <w:pPr>
      <w:widowControl w:val="false"/>
      <w:suppressAutoHyphens w:val="true"/>
      <w:overflowPunct w:val="true"/>
      <w:bidi w:val="0"/>
      <w:spacing w:lineRule="atLeast" w:line="0" w:before="0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6">
    <w:name w:val="Сравнение~LT~Untertitel"/>
    <w:qFormat/>
    <w:pPr>
      <w:widowControl w:val="false"/>
      <w:suppressAutoHyphens w:val="true"/>
      <w:overflowPunct w:val="true"/>
      <w:bidi w:val="0"/>
      <w:spacing w:before="0" w:after="0"/>
      <w:jc w:val="center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6">
    <w:name w:val="Сравнение~LT~Notizen"/>
    <w:qFormat/>
    <w:pPr>
      <w:widowControl w:val="false"/>
      <w:suppressAutoHyphens w:val="true"/>
      <w:overflowPunct w:val="true"/>
      <w:bidi w:val="0"/>
      <w:spacing w:before="0" w:after="0"/>
      <w:ind w:hanging="340" w:left="34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6">
    <w:name w:val="Сравнение~LT~Hintergrundobjekte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Hintergrund6">
    <w:name w:val="Сравнение~LT~Hintergrund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Gliederung17">
    <w:name w:val="Только заголовок~LT~Gliederung 1"/>
    <w:qFormat/>
    <w:pPr>
      <w:widowControl w:val="false"/>
      <w:suppressAutoHyphens w:val="true"/>
      <w:overflowPunct w:val="true"/>
      <w:bidi w:val="0"/>
      <w:spacing w:lineRule="auto" w:line="216" w:before="283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en-US" w:bidi="ar-SA"/>
    </w:rPr>
  </w:style>
  <w:style w:type="paragraph" w:styleId="LTGliederung27">
    <w:name w:val="Только заголовок~LT~Gliederung 2"/>
    <w:basedOn w:val="LTGliederung17"/>
    <w:qFormat/>
    <w:pPr>
      <w:bidi w:val="0"/>
      <w:spacing w:lineRule="auto" w:line="216" w:before="22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7">
    <w:name w:val="Только заголовок~LT~Gliederung 3"/>
    <w:basedOn w:val="LTGliederung27"/>
    <w:qFormat/>
    <w:pPr>
      <w:bidi w:val="0"/>
      <w:spacing w:lineRule="auto" w:line="216" w:before="170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7">
    <w:name w:val="Только заголовок~LT~Gliederung 4"/>
    <w:basedOn w:val="LTGliederung37"/>
    <w:qFormat/>
    <w:pPr>
      <w:bidi w:val="0"/>
      <w:spacing w:lineRule="auto" w:line="216" w:before="113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7">
    <w:name w:val="Только заголовок~LT~Gliederung 5"/>
    <w:basedOn w:val="LTGliederung47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7">
    <w:name w:val="Только заголовок~LT~Gliederung 6"/>
    <w:basedOn w:val="LTGliederung57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7">
    <w:name w:val="Только заголовок~LT~Gliederung 7"/>
    <w:basedOn w:val="LTGliederung67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7">
    <w:name w:val="Только заголовок~LT~Gliederung 8"/>
    <w:basedOn w:val="LTGliederung77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7">
    <w:name w:val="Только заголовок~LT~Gliederung 9"/>
    <w:basedOn w:val="LTGliederung87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7">
    <w:name w:val="Только заголовок~LT~Titel"/>
    <w:qFormat/>
    <w:pPr>
      <w:widowControl w:val="false"/>
      <w:suppressAutoHyphens w:val="true"/>
      <w:overflowPunct w:val="true"/>
      <w:bidi w:val="0"/>
      <w:spacing w:lineRule="atLeast" w:line="0" w:before="0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7">
    <w:name w:val="Только заголовок~LT~Untertitel"/>
    <w:qFormat/>
    <w:pPr>
      <w:widowControl w:val="false"/>
      <w:suppressAutoHyphens w:val="true"/>
      <w:overflowPunct w:val="true"/>
      <w:bidi w:val="0"/>
      <w:spacing w:before="0" w:after="0"/>
      <w:jc w:val="center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7">
    <w:name w:val="Только заголовок~LT~Notizen"/>
    <w:qFormat/>
    <w:pPr>
      <w:widowControl w:val="false"/>
      <w:suppressAutoHyphens w:val="true"/>
      <w:overflowPunct w:val="true"/>
      <w:bidi w:val="0"/>
      <w:spacing w:before="0" w:after="0"/>
      <w:ind w:hanging="340" w:left="34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7">
    <w:name w:val="Только заголовок~LT~Hintergrundobjekte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Hintergrund7">
    <w:name w:val="Только заголовок~LT~Hintergrund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Gliederung18">
    <w:name w:val="Пустой слайд~LT~Gliederung 1"/>
    <w:qFormat/>
    <w:pPr>
      <w:widowControl w:val="false"/>
      <w:suppressAutoHyphens w:val="true"/>
      <w:overflowPunct w:val="true"/>
      <w:bidi w:val="0"/>
      <w:spacing w:lineRule="auto" w:line="216" w:before="283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en-US" w:bidi="ar-SA"/>
    </w:rPr>
  </w:style>
  <w:style w:type="paragraph" w:styleId="LTGliederung28">
    <w:name w:val="Пустой слайд~LT~Gliederung 2"/>
    <w:basedOn w:val="LTGliederung18"/>
    <w:qFormat/>
    <w:pPr>
      <w:bidi w:val="0"/>
      <w:spacing w:lineRule="auto" w:line="216" w:before="22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8">
    <w:name w:val="Пустой слайд~LT~Gliederung 3"/>
    <w:basedOn w:val="LTGliederung28"/>
    <w:qFormat/>
    <w:pPr>
      <w:bidi w:val="0"/>
      <w:spacing w:lineRule="auto" w:line="216" w:before="170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8">
    <w:name w:val="Пустой слайд~LT~Gliederung 4"/>
    <w:basedOn w:val="LTGliederung38"/>
    <w:qFormat/>
    <w:pPr>
      <w:bidi w:val="0"/>
      <w:spacing w:lineRule="auto" w:line="216" w:before="113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8">
    <w:name w:val="Пустой слайд~LT~Gliederung 5"/>
    <w:basedOn w:val="LTGliederung48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8">
    <w:name w:val="Пустой слайд~LT~Gliederung 6"/>
    <w:basedOn w:val="LTGliederung58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8">
    <w:name w:val="Пустой слайд~LT~Gliederung 7"/>
    <w:basedOn w:val="LTGliederung68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8">
    <w:name w:val="Пустой слайд~LT~Gliederung 8"/>
    <w:basedOn w:val="LTGliederung78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8">
    <w:name w:val="Пустой слайд~LT~Gliederung 9"/>
    <w:basedOn w:val="LTGliederung88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8">
    <w:name w:val="Пустой слайд~LT~Titel"/>
    <w:qFormat/>
    <w:pPr>
      <w:widowControl w:val="false"/>
      <w:suppressAutoHyphens w:val="true"/>
      <w:overflowPunct w:val="true"/>
      <w:bidi w:val="0"/>
      <w:spacing w:lineRule="atLeast" w:line="0" w:before="0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8">
    <w:name w:val="Пустой слайд~LT~Untertitel"/>
    <w:qFormat/>
    <w:pPr>
      <w:widowControl w:val="false"/>
      <w:suppressAutoHyphens w:val="true"/>
      <w:overflowPunct w:val="true"/>
      <w:bidi w:val="0"/>
      <w:spacing w:before="0" w:after="0"/>
      <w:jc w:val="center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8">
    <w:name w:val="Пустой слайд~LT~Notizen"/>
    <w:qFormat/>
    <w:pPr>
      <w:widowControl w:val="false"/>
      <w:suppressAutoHyphens w:val="true"/>
      <w:overflowPunct w:val="true"/>
      <w:bidi w:val="0"/>
      <w:spacing w:before="0" w:after="0"/>
      <w:ind w:hanging="340" w:left="34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8">
    <w:name w:val="Пустой слайд~LT~Hintergrundobjekte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Hintergrund8">
    <w:name w:val="Пустой слайд~LT~Hintergrund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Gliederung19">
    <w:name w:val="Объект с подписью~LT~Gliederung 1"/>
    <w:qFormat/>
    <w:pPr>
      <w:widowControl w:val="false"/>
      <w:suppressAutoHyphens w:val="true"/>
      <w:overflowPunct w:val="true"/>
      <w:bidi w:val="0"/>
      <w:spacing w:lineRule="auto" w:line="216" w:before="283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en-US" w:bidi="ar-SA"/>
    </w:rPr>
  </w:style>
  <w:style w:type="paragraph" w:styleId="LTGliederung29">
    <w:name w:val="Объект с подписью~LT~Gliederung 2"/>
    <w:basedOn w:val="LTGliederung19"/>
    <w:qFormat/>
    <w:pPr>
      <w:bidi w:val="0"/>
      <w:spacing w:lineRule="auto" w:line="216" w:before="22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9">
    <w:name w:val="Объект с подписью~LT~Gliederung 3"/>
    <w:basedOn w:val="LTGliederung29"/>
    <w:qFormat/>
    <w:pPr>
      <w:bidi w:val="0"/>
      <w:spacing w:lineRule="auto" w:line="216" w:before="170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9">
    <w:name w:val="Объект с подписью~LT~Gliederung 4"/>
    <w:basedOn w:val="LTGliederung39"/>
    <w:qFormat/>
    <w:pPr>
      <w:bidi w:val="0"/>
      <w:spacing w:lineRule="auto" w:line="216" w:before="113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9">
    <w:name w:val="Объект с подписью~LT~Gliederung 5"/>
    <w:basedOn w:val="LTGliederung49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9">
    <w:name w:val="Объект с подписью~LT~Gliederung 6"/>
    <w:basedOn w:val="LTGliederung59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9">
    <w:name w:val="Объект с подписью~LT~Gliederung 7"/>
    <w:basedOn w:val="LTGliederung69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9">
    <w:name w:val="Объект с подписью~LT~Gliederung 8"/>
    <w:basedOn w:val="LTGliederung79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9">
    <w:name w:val="Объект с подписью~LT~Gliederung 9"/>
    <w:basedOn w:val="LTGliederung89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9">
    <w:name w:val="Объект с подписью~LT~Titel"/>
    <w:qFormat/>
    <w:pPr>
      <w:widowControl w:val="false"/>
      <w:suppressAutoHyphens w:val="true"/>
      <w:overflowPunct w:val="true"/>
      <w:bidi w:val="0"/>
      <w:spacing w:lineRule="atLeast" w:line="0" w:before="0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9">
    <w:name w:val="Объект с подписью~LT~Untertitel"/>
    <w:qFormat/>
    <w:pPr>
      <w:widowControl w:val="false"/>
      <w:suppressAutoHyphens w:val="true"/>
      <w:overflowPunct w:val="true"/>
      <w:bidi w:val="0"/>
      <w:spacing w:before="0" w:after="0"/>
      <w:jc w:val="center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9">
    <w:name w:val="Объект с подписью~LT~Notizen"/>
    <w:qFormat/>
    <w:pPr>
      <w:widowControl w:val="false"/>
      <w:suppressAutoHyphens w:val="true"/>
      <w:overflowPunct w:val="true"/>
      <w:bidi w:val="0"/>
      <w:spacing w:before="0" w:after="0"/>
      <w:ind w:hanging="340" w:left="34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9">
    <w:name w:val="Объект с подписью~LT~Hintergrundobjekte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Hintergrund9">
    <w:name w:val="Объект с подписью~LT~Hintergrund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Gliederung110">
    <w:name w:val="Рисунок с подписью~LT~Gliederung 1"/>
    <w:qFormat/>
    <w:pPr>
      <w:widowControl w:val="false"/>
      <w:suppressAutoHyphens w:val="true"/>
      <w:overflowPunct w:val="true"/>
      <w:bidi w:val="0"/>
      <w:spacing w:lineRule="auto" w:line="216" w:before="283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en-US" w:bidi="ar-SA"/>
    </w:rPr>
  </w:style>
  <w:style w:type="paragraph" w:styleId="LTGliederung210">
    <w:name w:val="Рисунок с подписью~LT~Gliederung 2"/>
    <w:basedOn w:val="LTGliederung110"/>
    <w:qFormat/>
    <w:pPr>
      <w:bidi w:val="0"/>
      <w:spacing w:lineRule="auto" w:line="216" w:before="22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10">
    <w:name w:val="Рисунок с подписью~LT~Gliederung 3"/>
    <w:basedOn w:val="LTGliederung210"/>
    <w:qFormat/>
    <w:pPr>
      <w:bidi w:val="0"/>
      <w:spacing w:lineRule="auto" w:line="216" w:before="170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10">
    <w:name w:val="Рисунок с подписью~LT~Gliederung 4"/>
    <w:basedOn w:val="LTGliederung310"/>
    <w:qFormat/>
    <w:pPr>
      <w:bidi w:val="0"/>
      <w:spacing w:lineRule="auto" w:line="216" w:before="113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10">
    <w:name w:val="Рисунок с подписью~LT~Gliederung 5"/>
    <w:basedOn w:val="LTGliederung410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10">
    <w:name w:val="Рисунок с подписью~LT~Gliederung 6"/>
    <w:basedOn w:val="LTGliederung510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10">
    <w:name w:val="Рисунок с подписью~LT~Gliederung 7"/>
    <w:basedOn w:val="LTGliederung610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10">
    <w:name w:val="Рисунок с подписью~LT~Gliederung 8"/>
    <w:basedOn w:val="LTGliederung710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10">
    <w:name w:val="Рисунок с подписью~LT~Gliederung 9"/>
    <w:basedOn w:val="LTGliederung810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10">
    <w:name w:val="Рисунок с подписью~LT~Titel"/>
    <w:qFormat/>
    <w:pPr>
      <w:widowControl w:val="false"/>
      <w:suppressAutoHyphens w:val="true"/>
      <w:overflowPunct w:val="true"/>
      <w:bidi w:val="0"/>
      <w:spacing w:lineRule="atLeast" w:line="0" w:before="0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10">
    <w:name w:val="Рисунок с подписью~LT~Untertitel"/>
    <w:qFormat/>
    <w:pPr>
      <w:widowControl w:val="false"/>
      <w:suppressAutoHyphens w:val="true"/>
      <w:overflowPunct w:val="true"/>
      <w:bidi w:val="0"/>
      <w:spacing w:before="0" w:after="0"/>
      <w:jc w:val="center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10">
    <w:name w:val="Рисунок с подписью~LT~Notizen"/>
    <w:qFormat/>
    <w:pPr>
      <w:widowControl w:val="false"/>
      <w:suppressAutoHyphens w:val="true"/>
      <w:overflowPunct w:val="true"/>
      <w:bidi w:val="0"/>
      <w:spacing w:before="0" w:after="0"/>
      <w:ind w:hanging="340" w:left="34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10">
    <w:name w:val="Рисунок с подписью~LT~Hintergrundobjekte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Hintergrund10">
    <w:name w:val="Рисунок с подписью~LT~Hintergrund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Style44">
    <w:name w:val="ВКР_Шрифт_Размер_Отступ"/>
    <w:basedOn w:val="Normal"/>
    <w:qFormat/>
    <w:pPr/>
    <w:rPr>
      <w:rFonts w:eastAsia="Calibri"/>
    </w:rPr>
  </w:style>
  <w:style w:type="paragraph" w:styleId="Style45">
    <w:name w:val="Заголовок таблицы"/>
    <w:basedOn w:val="Style22"/>
    <w:qFormat/>
    <w:pPr>
      <w:suppressLineNumbers/>
      <w:jc w:val="center"/>
    </w:pPr>
    <w:rPr>
      <w:b/>
      <w:bCs/>
    </w:rPr>
  </w:style>
  <w:style w:type="paragraph" w:styleId="Style4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47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</TotalTime>
  <Application>LibreOffice/24.2.4.2$Windows_X86_64 LibreOffice_project/51a6219feb6075d9a4c46691dcfe0cd9c4fff3c2</Application>
  <AppVersion>15.0000</AppVersion>
  <Pages>15</Pages>
  <Words>1703</Words>
  <Characters>12635</Characters>
  <CharactersWithSpaces>14255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2018-06-03T19:43:00Z</dcterms:created>
  <dc:creator>user</dc:creator>
  <dc:description/>
  <dc:language>ru-RU</dc:language>
  <cp:lastModifiedBy/>
  <cp:lastPrinted>2018-06-04T12:42:00Z</cp:lastPrinted>
  <dcterms:modified xsi:type="dcterms:W3CDTF">2026-06-02T22:59:56Z</dcterms:modified>
  <cp:revision>240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