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jc w:val="center"/>
        <w:rPr>
          <w:spacing w:val="-6"/>
          <w:sz w:val="28"/>
          <w:szCs w:val="28"/>
        </w:rPr>
      </w:pPr>
      <w:r>
        <w:rPr>
          <w:spacing w:val="-6"/>
          <w:sz w:val="28"/>
          <w:szCs w:val="28"/>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3940" cy="9177655"/>
            <wp:effectExtent l="0" t="0" r="0" b="0"/>
            <wp:wrapSquare wrapText="largest"/>
            <wp:docPr id="1"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4" descr=""/>
                    <pic:cNvPicPr>
                      <a:picLocks noChangeAspect="1" noChangeArrowheads="1"/>
                    </pic:cNvPicPr>
                  </pic:nvPicPr>
                  <pic:blipFill>
                    <a:blip r:embed="rId2"/>
                    <a:stretch>
                      <a:fillRect/>
                    </a:stretch>
                  </pic:blipFill>
                  <pic:spPr bwMode="auto">
                    <a:xfrm>
                      <a:off x="0" y="0"/>
                      <a:ext cx="6123940" cy="9177655"/>
                    </a:xfrm>
                    <a:prstGeom prst="rect">
                      <a:avLst/>
                    </a:prstGeom>
                  </pic:spPr>
                </pic:pic>
              </a:graphicData>
            </a:graphic>
          </wp:anchor>
        </w:drawing>
      </w:r>
      <w:r>
        <w:br w:type="page"/>
      </w:r>
    </w:p>
    <w:p>
      <w:pPr>
        <w:pStyle w:val="Normal"/>
        <w:spacing w:lineRule="auto" w:line="240" w:before="0" w:after="0"/>
        <w:jc w:val="center"/>
        <w:rPr>
          <w:b/>
          <w:bCs/>
          <w:sz w:val="28"/>
          <w:szCs w:val="28"/>
          <w:u w:val="none"/>
          <w:lang w:eastAsia="ru-RU"/>
        </w:rPr>
      </w:pPr>
      <w:r>
        <w:rPr>
          <w:b/>
          <w:bCs/>
          <w:sz w:val="28"/>
          <w:szCs w:val="28"/>
          <w:u w:val="none"/>
          <w:lang w:eastAsia="ru-RU"/>
        </w:rPr>
        <w:t>Задание</w:t>
      </w:r>
      <w:r>
        <w:br w:type="page"/>
      </w:r>
    </w:p>
    <w:p>
      <w:pPr>
        <w:pStyle w:val="Normal"/>
        <w:spacing w:before="0" w:after="0"/>
        <w:ind w:hanging="0"/>
        <w:jc w:val="center"/>
        <w:rPr>
          <w:sz w:val="28"/>
          <w:szCs w:val="28"/>
        </w:rPr>
      </w:pPr>
      <w:r>
        <w:rPr>
          <w:b/>
          <w:sz w:val="28"/>
          <w:szCs w:val="28"/>
          <w:lang w:eastAsia="ru-RU"/>
        </w:rPr>
        <w:t>ОТЗЫВ РУКОВОДИТЕЛЯ</w:t>
      </w:r>
      <w:r>
        <w:br w:type="page"/>
      </w:r>
    </w:p>
    <w:p>
      <w:pPr>
        <w:pStyle w:val="Normal"/>
        <w:spacing w:lineRule="auto" w:line="259" w:before="0" w:after="160"/>
        <w:ind w:hanging="0"/>
        <w:jc w:val="center"/>
        <w:rPr>
          <w:b/>
        </w:rPr>
      </w:pPr>
      <w:r>
        <w:rPr>
          <w:b/>
          <w:lang w:eastAsia="ru-RU"/>
        </w:rPr>
        <w:t>Аннотация</w:t>
      </w:r>
    </w:p>
    <w:p>
      <w:pPr>
        <w:pStyle w:val="Normal"/>
        <w:spacing w:lineRule="auto" w:line="360" w:before="0" w:after="0"/>
        <w:ind w:hanging="0"/>
        <w:jc w:val="both"/>
        <w:rPr>
          <w:b w:val="false"/>
          <w:bCs w:val="false"/>
        </w:rPr>
      </w:pPr>
      <w:r>
        <w:rPr>
          <w:b w:val="false"/>
          <w:bCs w:val="false"/>
          <w:lang w:eastAsia="ru-RU"/>
        </w:rPr>
        <w:tab/>
        <w:t>Выпускная квалификационная работа направлена на разработку информационной системы комплексной оценки надежности поставщиков для торговой организации АО «РТК».</w:t>
      </w:r>
    </w:p>
    <w:p>
      <w:pPr>
        <w:pStyle w:val="Normal"/>
        <w:spacing w:lineRule="auto" w:line="360" w:before="0" w:after="0"/>
        <w:ind w:hanging="0"/>
        <w:jc w:val="both"/>
        <w:rPr>
          <w:b w:val="false"/>
          <w:bCs w:val="false"/>
          <w:lang w:eastAsia="ru-RU"/>
        </w:rPr>
      </w:pPr>
      <w:r>
        <w:rPr>
          <w:b w:val="false"/>
          <w:bCs w:val="false"/>
          <w:lang w:eastAsia="ru-RU"/>
        </w:rPr>
        <w:tab/>
        <w:t>ВКР состоит из пояснительной записки, изложенной на 5</w:t>
      </w:r>
      <w:r>
        <w:rPr>
          <w:b w:val="false"/>
          <w:bCs w:val="false"/>
          <w:lang w:val="en-US" w:eastAsia="ru-RU"/>
        </w:rPr>
        <w:t>4</w:t>
      </w:r>
      <w:r>
        <w:rPr>
          <w:b w:val="false"/>
          <w:bCs w:val="false"/>
          <w:lang w:eastAsia="ru-RU"/>
        </w:rPr>
        <w:t xml:space="preserve"> листах формата А4, также включает в себя 5 таблиц, 9 рисунков, 23 источника и 3 приложения. ВКР содержит введение, основную часть, состоящую из пяти разделов, заключение и список использованных источников.</w:t>
      </w:r>
    </w:p>
    <w:p>
      <w:pPr>
        <w:pStyle w:val="Normal"/>
        <w:spacing w:lineRule="auto" w:line="360" w:before="0" w:after="0"/>
        <w:ind w:hanging="0"/>
        <w:jc w:val="both"/>
        <w:rPr>
          <w:b w:val="false"/>
          <w:bCs w:val="false"/>
          <w:lang w:eastAsia="ru-RU"/>
        </w:rPr>
      </w:pPr>
      <w:r>
        <w:rPr>
          <w:b w:val="false"/>
          <w:bCs w:val="false"/>
          <w:lang w:eastAsia="ru-RU"/>
        </w:rPr>
        <w:tab/>
        <w:t>Во введении обоснована актуальность выбранной темы, определены объект и предмет исследования, сформулированы цель и задачи работы.</w:t>
      </w:r>
    </w:p>
    <w:p>
      <w:pPr>
        <w:pStyle w:val="Normal"/>
        <w:spacing w:lineRule="auto" w:line="360" w:before="0" w:after="0"/>
        <w:ind w:hanging="0"/>
        <w:jc w:val="both"/>
        <w:rPr>
          <w:b w:val="false"/>
          <w:bCs w:val="false"/>
          <w:lang w:eastAsia="ru-RU"/>
        </w:rPr>
      </w:pPr>
      <w:r>
        <w:rPr>
          <w:b w:val="false"/>
          <w:bCs w:val="false"/>
          <w:lang w:eastAsia="ru-RU"/>
        </w:rPr>
        <w:tab/>
        <w:t>В первом разделе проанализированы методы и модели оценки надежности поставщиков, дана характеристика деятельности АО «РТК», выполнен анализ бизнес-процесса закупки товаров и выявлены его недостатки. Проведен обзор существующих решений и обоснован выбор технологий разработки.</w:t>
      </w:r>
    </w:p>
    <w:p>
      <w:pPr>
        <w:pStyle w:val="Normal"/>
        <w:spacing w:lineRule="auto" w:line="360" w:before="0" w:after="0"/>
        <w:ind w:hanging="0"/>
        <w:jc w:val="both"/>
        <w:rPr>
          <w:b w:val="false"/>
          <w:bCs w:val="false"/>
          <w:lang w:eastAsia="ru-RU"/>
        </w:rPr>
      </w:pPr>
      <w:r>
        <w:rPr>
          <w:b w:val="false"/>
          <w:bCs w:val="false"/>
          <w:lang w:eastAsia="ru-RU"/>
        </w:rPr>
        <w:tab/>
        <w:t>Во втором разделе спроектирована физическая модель базы данных в нотации «сущность-связь» и рассмотрены особенности хранения данных в платформе 1С:Предприятие 8.3.</w:t>
      </w:r>
    </w:p>
    <w:p>
      <w:pPr>
        <w:pStyle w:val="Normal"/>
        <w:spacing w:lineRule="auto" w:line="360" w:before="0" w:after="0"/>
        <w:ind w:hanging="0"/>
        <w:jc w:val="both"/>
        <w:rPr>
          <w:b w:val="false"/>
          <w:bCs w:val="false"/>
          <w:lang w:eastAsia="ru-RU"/>
        </w:rPr>
      </w:pPr>
      <w:r>
        <w:rPr>
          <w:b w:val="false"/>
          <w:bCs w:val="false"/>
          <w:lang w:eastAsia="ru-RU"/>
        </w:rPr>
        <w:tab/>
        <w:t>В третьем разделе выполнена техническая реализация системы: разработана конфигурация 1С (справочники, документы, регистры сведений), создана ансамблевая модель машинного обучения (StackingClassifier) на базе Scikit-learn и XGBoost, а также реализован FastAPI-сервис для интеграции с внешним API «Репутация» и взаимодействия с моделью.</w:t>
      </w:r>
    </w:p>
    <w:p>
      <w:pPr>
        <w:pStyle w:val="Normal"/>
        <w:spacing w:lineRule="auto" w:line="360" w:before="0" w:after="0"/>
        <w:ind w:hanging="0"/>
        <w:jc w:val="both"/>
        <w:rPr>
          <w:b w:val="false"/>
          <w:bCs w:val="false"/>
          <w:lang w:eastAsia="ru-RU"/>
        </w:rPr>
      </w:pPr>
      <w:r>
        <w:rPr>
          <w:b w:val="false"/>
          <w:bCs w:val="false"/>
          <w:lang w:eastAsia="ru-RU"/>
        </w:rPr>
        <w:tab/>
        <w:t>В четвертом разделе проведено функциональное тестирование разработанной системы, подтвердившее ее стабильную и корректную работу.</w:t>
      </w:r>
    </w:p>
    <w:p>
      <w:pPr>
        <w:pStyle w:val="Normal"/>
        <w:spacing w:lineRule="auto" w:line="360" w:before="0" w:after="0"/>
        <w:ind w:hanging="0"/>
        <w:jc w:val="both"/>
        <w:rPr>
          <w:b w:val="false"/>
          <w:bCs w:val="false"/>
          <w:lang w:eastAsia="ru-RU"/>
        </w:rPr>
      </w:pPr>
      <w:r>
        <w:rPr>
          <w:b w:val="false"/>
          <w:bCs w:val="false"/>
          <w:lang w:eastAsia="ru-RU"/>
        </w:rPr>
        <w:tab/>
        <w:t>В пятом разделе выполнен расчет экономической эффективности проекта: затрат на разработку, экономического эффекта от внедрения и срока окупаемости.</w:t>
      </w:r>
    </w:p>
    <w:p>
      <w:pPr>
        <w:pStyle w:val="Normal"/>
        <w:spacing w:lineRule="auto" w:line="360" w:before="0" w:after="0"/>
        <w:ind w:hanging="0"/>
        <w:jc w:val="both"/>
        <w:rPr>
          <w:b w:val="false"/>
          <w:bCs w:val="false"/>
          <w:lang w:eastAsia="ru-RU"/>
        </w:rPr>
      </w:pPr>
      <w:r>
        <w:rPr>
          <w:b w:val="false"/>
          <w:bCs w:val="false"/>
          <w:lang w:eastAsia="ru-RU"/>
        </w:rPr>
        <w:tab/>
        <w:t>В заключении подведены итоги работы и сделан вывод о достижении поставленных целей.</w:t>
      </w:r>
    </w:p>
    <w:p>
      <w:pPr>
        <w:sectPr>
          <w:footerReference w:type="even" r:id="rId3"/>
          <w:footerReference w:type="default" r:id="rId4"/>
          <w:footerReference w:type="first" r:id="rId5"/>
          <w:type w:val="nextPage"/>
          <w:pgSz w:w="11906" w:h="16838"/>
          <w:pgMar w:left="1134" w:right="1134" w:gutter="0" w:header="0" w:top="1134" w:footer="0" w:bottom="1134"/>
          <w:pgNumType w:fmt="decimal"/>
          <w:formProt w:val="false"/>
          <w:titlePg/>
          <w:textDirection w:val="lrTb"/>
          <w:docGrid w:type="default" w:linePitch="100" w:charSpace="0"/>
        </w:sectPr>
      </w:pPr>
    </w:p>
    <w:sdt>
      <w:sdtPr>
        <w:docPartObj>
          <w:docPartGallery w:val="Table of Contents"/>
          <w:docPartUnique w:val="true"/>
        </w:docPartObj>
      </w:sdtPr>
      <w:sdtContent>
        <w:p>
          <w:pPr>
            <w:pStyle w:val="TOCHeading"/>
            <w:ind w:hanging="0" w:left="0"/>
            <w:rPr/>
          </w:pPr>
          <w:r>
            <w:rPr/>
            <w:t>Содержание</w:t>
          </w:r>
        </w:p>
        <w:p>
          <w:pPr>
            <w:pStyle w:val="TOC1"/>
            <w:tabs>
              <w:tab w:val="clear" w:pos="708"/>
              <w:tab w:val="right" w:pos="9355" w:leader="dot"/>
            </w:tabs>
            <w:rPr/>
          </w:pPr>
          <w:r>
            <w:fldChar w:fldCharType="begin"/>
          </w:r>
          <w:r>
            <w:rPr>
              <w:rStyle w:val="Style16"/>
            </w:rPr>
            <w:instrText xml:space="preserve"> TOC \f \o "1-9" \h</w:instrText>
          </w:r>
          <w:r>
            <w:rPr>
              <w:rStyle w:val="Style16"/>
            </w:rPr>
            <w:fldChar w:fldCharType="separate"/>
          </w:r>
          <w:hyperlink w:anchor="__RefHeading___Toc22169_2829662935">
            <w:r>
              <w:rPr>
                <w:rStyle w:val="Style16"/>
              </w:rPr>
              <w:t>Введение</w:t>
            </w:r>
            <w:r>
              <w:rPr>
                <w:rStyle w:val="Style16"/>
              </w:rPr>
              <w:tab/>
            </w:r>
          </w:hyperlink>
          <w:r>
            <w:rPr/>
            <w:t>6</w:t>
          </w:r>
        </w:p>
        <w:p>
          <w:pPr>
            <w:pStyle w:val="TOC1"/>
            <w:tabs>
              <w:tab w:val="clear" w:pos="708"/>
              <w:tab w:val="right" w:pos="9355" w:leader="dot"/>
            </w:tabs>
            <w:rPr/>
          </w:pPr>
          <w:hyperlink w:anchor="__RefHeading___Toc37927_2829662935">
            <w:r>
              <w:rPr>
                <w:rStyle w:val="Style16"/>
              </w:rPr>
              <w:t>1. Теоретическая основа исследования</w:t>
              <w:tab/>
            </w:r>
          </w:hyperlink>
          <w:r>
            <w:rPr/>
            <w:t>8</w:t>
          </w:r>
        </w:p>
        <w:p>
          <w:pPr>
            <w:pStyle w:val="TOC2"/>
            <w:tabs>
              <w:tab w:val="clear" w:pos="708"/>
              <w:tab w:val="right" w:pos="9355" w:leader="dot"/>
            </w:tabs>
            <w:rPr/>
          </w:pPr>
          <w:hyperlink w:anchor="__RefHeading___Toc22171_2829662935">
            <w:r>
              <w:rPr>
                <w:rStyle w:val="Style16"/>
              </w:rPr>
              <w:t>1.1 Методы и модели анализа данных для оценки благонадежности поставщика товаров</w:t>
              <w:tab/>
            </w:r>
          </w:hyperlink>
          <w:r>
            <w:rPr/>
            <w:t>8</w:t>
          </w:r>
        </w:p>
        <w:p>
          <w:pPr>
            <w:pStyle w:val="TOC2"/>
            <w:tabs>
              <w:tab w:val="clear" w:pos="708"/>
              <w:tab w:val="right" w:pos="9355" w:leader="dot"/>
            </w:tabs>
            <w:rPr/>
          </w:pPr>
          <w:hyperlink w:anchor="__RefHeading___Toc22173_2829662935">
            <w:r>
              <w:rPr>
                <w:rStyle w:val="Style16"/>
              </w:rPr>
              <w:t>1.2 Характеристика деятельности АО "РТК"</w:t>
              <w:tab/>
              <w:t>1</w:t>
            </w:r>
          </w:hyperlink>
          <w:r>
            <w:rPr/>
            <w:t>0</w:t>
          </w:r>
        </w:p>
        <w:p>
          <w:pPr>
            <w:pStyle w:val="TOC2"/>
            <w:tabs>
              <w:tab w:val="clear" w:pos="708"/>
              <w:tab w:val="right" w:pos="9355" w:leader="dot"/>
            </w:tabs>
            <w:rPr/>
          </w:pPr>
          <w:hyperlink w:anchor="__RefHeading___Toc22175_2829662935">
            <w:r>
              <w:rPr>
                <w:rStyle w:val="Style16"/>
              </w:rPr>
              <w:t>1.3 Организационная структура управления АО "РТК"</w:t>
              <w:tab/>
              <w:t>1</w:t>
            </w:r>
          </w:hyperlink>
          <w:r>
            <w:rPr/>
            <w:t>1</w:t>
          </w:r>
        </w:p>
        <w:p>
          <w:pPr>
            <w:pStyle w:val="TOC2"/>
            <w:tabs>
              <w:tab w:val="clear" w:pos="708"/>
              <w:tab w:val="right" w:pos="9355" w:leader="dot"/>
            </w:tabs>
            <w:rPr/>
          </w:pPr>
          <w:hyperlink w:anchor="__RefHeading___Toc22177_2829662935">
            <w:r>
              <w:rPr>
                <w:rStyle w:val="Style16"/>
              </w:rPr>
              <w:t>1.4 Описание и анализ бизнес процесса закупки товаров</w:t>
              <w:tab/>
              <w:t>1</w:t>
            </w:r>
          </w:hyperlink>
          <w:r>
            <w:rPr/>
            <w:t>2</w:t>
          </w:r>
        </w:p>
        <w:p>
          <w:pPr>
            <w:pStyle w:val="TOC2"/>
            <w:tabs>
              <w:tab w:val="clear" w:pos="708"/>
              <w:tab w:val="right" w:pos="9355" w:leader="dot"/>
            </w:tabs>
            <w:rPr/>
          </w:pPr>
          <w:hyperlink w:anchor="__RefHeading___Toc22179_2829662935">
            <w:r>
              <w:rPr>
                <w:rStyle w:val="Style16"/>
              </w:rPr>
              <w:t>1.5 Анализ процесса оценки благонадёжности и выбора поставщика</w:t>
              <w:tab/>
              <w:t>1</w:t>
            </w:r>
          </w:hyperlink>
          <w:r>
            <w:rPr/>
            <w:t>3</w:t>
          </w:r>
        </w:p>
        <w:p>
          <w:pPr>
            <w:pStyle w:val="TOC2"/>
            <w:tabs>
              <w:tab w:val="clear" w:pos="708"/>
              <w:tab w:val="right" w:pos="9355" w:leader="dot"/>
            </w:tabs>
            <w:rPr/>
          </w:pPr>
          <w:hyperlink w:anchor="__RefHeading___Toc22181_2829662935">
            <w:r>
              <w:rPr>
                <w:rStyle w:val="Style16"/>
              </w:rPr>
              <w:t>1.6 Анализ недостатков и формирование предложений по автоматизации бизнес-процесса</w:t>
              <w:tab/>
              <w:t>1</w:t>
            </w:r>
          </w:hyperlink>
          <w:r>
            <w:rPr/>
            <w:t>4</w:t>
          </w:r>
        </w:p>
        <w:p>
          <w:pPr>
            <w:pStyle w:val="TOC2"/>
            <w:tabs>
              <w:tab w:val="clear" w:pos="708"/>
              <w:tab w:val="right" w:pos="9355" w:leader="dot"/>
            </w:tabs>
            <w:rPr/>
          </w:pPr>
          <w:hyperlink w:anchor="__RefHeading___Toc22183_2829662935">
            <w:r>
              <w:rPr>
                <w:rStyle w:val="Style16"/>
              </w:rPr>
              <w:t>1.7 Обзор существующих решений для автоматизации бизнес-процесса</w:t>
              <w:tab/>
              <w:t>1</w:t>
            </w:r>
          </w:hyperlink>
          <w:r>
            <w:rPr/>
            <w:t>5</w:t>
          </w:r>
        </w:p>
        <w:p>
          <w:pPr>
            <w:pStyle w:val="TOC2"/>
            <w:tabs>
              <w:tab w:val="clear" w:pos="708"/>
              <w:tab w:val="right" w:pos="9355" w:leader="dot"/>
            </w:tabs>
            <w:rPr/>
          </w:pPr>
          <w:hyperlink w:anchor="__RefHeading___Toc22185_2829662935">
            <w:r>
              <w:rPr>
                <w:rStyle w:val="Style16"/>
              </w:rPr>
              <w:t>1.8 Обоснование выбора среды для разработки информационной системы</w:t>
              <w:tab/>
              <w:t>1</w:t>
            </w:r>
          </w:hyperlink>
          <w:r>
            <w:rPr/>
            <w:t>6</w:t>
          </w:r>
        </w:p>
        <w:p>
          <w:pPr>
            <w:pStyle w:val="TOC1"/>
            <w:tabs>
              <w:tab w:val="clear" w:pos="708"/>
              <w:tab w:val="right" w:pos="9355" w:leader="dot"/>
            </w:tabs>
            <w:rPr/>
          </w:pPr>
          <w:hyperlink w:anchor="__RefHeading___Toc22187_2829662935">
            <w:r>
              <w:rPr>
                <w:rStyle w:val="Style16"/>
              </w:rPr>
              <w:t>2. Архитектурное решение</w:t>
              <w:tab/>
              <w:t>2</w:t>
            </w:r>
          </w:hyperlink>
          <w:r>
            <w:rPr/>
            <w:t>2</w:t>
          </w:r>
        </w:p>
        <w:p>
          <w:pPr>
            <w:pStyle w:val="TOC2"/>
            <w:tabs>
              <w:tab w:val="clear" w:pos="708"/>
              <w:tab w:val="right" w:pos="9355" w:leader="dot"/>
            </w:tabs>
            <w:rPr/>
          </w:pPr>
          <w:hyperlink w:anchor="__RefHeading___Toc22189_2829662935">
            <w:r>
              <w:rPr>
                <w:rStyle w:val="Style16"/>
              </w:rPr>
              <w:t>2.1. Проектирование физической модели базы данных</w:t>
              <w:tab/>
              <w:t>2</w:t>
            </w:r>
          </w:hyperlink>
          <w:r>
            <w:rPr/>
            <w:t>2</w:t>
          </w:r>
        </w:p>
        <w:p>
          <w:pPr>
            <w:pStyle w:val="TOC2"/>
            <w:tabs>
              <w:tab w:val="clear" w:pos="708"/>
              <w:tab w:val="right" w:pos="9355" w:leader="dot"/>
            </w:tabs>
            <w:rPr/>
          </w:pPr>
          <w:hyperlink w:anchor="__RefHeading___Toc22191_2829662935">
            <w:r>
              <w:rPr>
                <w:rStyle w:val="Style16"/>
              </w:rPr>
              <w:t>2.2. Данные с точки зрения технологии 1С</w:t>
              <w:tab/>
              <w:t>2</w:t>
            </w:r>
          </w:hyperlink>
          <w:r>
            <w:rPr/>
            <w:t>4</w:t>
          </w:r>
        </w:p>
        <w:p>
          <w:pPr>
            <w:pStyle w:val="TOC1"/>
            <w:tabs>
              <w:tab w:val="clear" w:pos="708"/>
              <w:tab w:val="right" w:pos="9355" w:leader="dot"/>
            </w:tabs>
            <w:rPr/>
          </w:pPr>
          <w:hyperlink w:anchor="__RefHeading___Toc37925_2829662935">
            <w:r>
              <w:rPr>
                <w:rStyle w:val="Style16"/>
              </w:rPr>
              <w:t>3. Техническая реализация</w:t>
              <w:tab/>
              <w:t>25</w:t>
            </w:r>
          </w:hyperlink>
        </w:p>
        <w:p>
          <w:pPr>
            <w:pStyle w:val="TOC2"/>
            <w:tabs>
              <w:tab w:val="clear" w:pos="708"/>
              <w:tab w:val="right" w:pos="9355" w:leader="dot"/>
            </w:tabs>
            <w:rPr/>
          </w:pPr>
          <w:hyperlink w:anchor="__RefHeading___Toc22193_2829662935">
            <w:r>
              <w:rPr>
                <w:rStyle w:val="Style16"/>
              </w:rPr>
              <w:t>3.1. Разработка информационной системы 1С</w:t>
              <w:tab/>
              <w:t>2</w:t>
            </w:r>
          </w:hyperlink>
          <w:r>
            <w:rPr/>
            <w:t>5</w:t>
          </w:r>
        </w:p>
        <w:p>
          <w:pPr>
            <w:pStyle w:val="TOC2"/>
            <w:tabs>
              <w:tab w:val="clear" w:pos="708"/>
              <w:tab w:val="right" w:pos="9355" w:leader="dot"/>
            </w:tabs>
            <w:rPr/>
          </w:pPr>
          <w:hyperlink w:anchor="__RefHeading___Toc3368_4046097046">
            <w:r>
              <w:rPr>
                <w:rStyle w:val="Style16"/>
              </w:rPr>
              <w:t>3.2. Проектирование информационной системы Python</w:t>
              <w:tab/>
              <w:t>3</w:t>
            </w:r>
          </w:hyperlink>
          <w:r>
            <w:rPr/>
            <w:t>2</w:t>
          </w:r>
        </w:p>
        <w:p>
          <w:pPr>
            <w:pStyle w:val="TOC1"/>
            <w:tabs>
              <w:tab w:val="clear" w:pos="708"/>
              <w:tab w:val="right" w:pos="9355" w:leader="dot"/>
            </w:tabs>
            <w:rPr/>
          </w:pPr>
          <w:hyperlink w:anchor="__RefHeading___Toc22201_2829662935">
            <w:r>
              <w:rPr>
                <w:rStyle w:val="Style16"/>
              </w:rPr>
              <w:t>4. Тестирование и опытная эксплуатация информационной системы</w:t>
              <w:tab/>
            </w:r>
          </w:hyperlink>
          <w:r>
            <w:rPr/>
            <w:t>39</w:t>
          </w:r>
        </w:p>
        <w:p>
          <w:pPr>
            <w:pStyle w:val="TOC1"/>
            <w:tabs>
              <w:tab w:val="clear" w:pos="708"/>
              <w:tab w:val="right" w:pos="9355" w:leader="dot"/>
            </w:tabs>
            <w:rPr/>
          </w:pPr>
          <w:hyperlink w:anchor="__RefHeading___Toc22203_2829662935">
            <w:r>
              <w:rPr>
                <w:rStyle w:val="Style16"/>
              </w:rPr>
              <w:t>5. Оценка экономической эффективности проекта</w:t>
              <w:tab/>
              <w:t>4</w:t>
            </w:r>
          </w:hyperlink>
          <w:r>
            <w:rPr/>
            <w:t>1</w:t>
          </w:r>
        </w:p>
        <w:p>
          <w:pPr>
            <w:pStyle w:val="TOC2"/>
            <w:tabs>
              <w:tab w:val="clear" w:pos="708"/>
              <w:tab w:val="right" w:pos="9355" w:leader="dot"/>
            </w:tabs>
            <w:rPr/>
          </w:pPr>
          <w:hyperlink w:anchor="__RefHeading___Toc22205_2829662935">
            <w:r>
              <w:rPr>
                <w:rStyle w:val="Style16"/>
              </w:rPr>
              <w:t>5.1. Расчет затрат на разработку</w:t>
              <w:tab/>
              <w:t>4</w:t>
            </w:r>
          </w:hyperlink>
          <w:r>
            <w:rPr/>
            <w:t>1</w:t>
          </w:r>
        </w:p>
        <w:p>
          <w:pPr>
            <w:pStyle w:val="TOC2"/>
            <w:tabs>
              <w:tab w:val="clear" w:pos="708"/>
              <w:tab w:val="right" w:pos="9355" w:leader="dot"/>
            </w:tabs>
            <w:rPr/>
          </w:pPr>
          <w:hyperlink w:anchor="__RefHeading___Toc5445_807107012">
            <w:r>
              <w:rPr>
                <w:rStyle w:val="Style16"/>
              </w:rPr>
              <w:t>5.2. Содержание и эксплуатация вычислительной техники</w:t>
              <w:tab/>
              <w:t>4</w:t>
            </w:r>
          </w:hyperlink>
          <w:r>
            <w:rPr/>
            <w:t>3</w:t>
          </w:r>
        </w:p>
        <w:p>
          <w:pPr>
            <w:pStyle w:val="TOC2"/>
            <w:tabs>
              <w:tab w:val="clear" w:pos="708"/>
              <w:tab w:val="right" w:pos="9355" w:leader="dot"/>
            </w:tabs>
            <w:rPr/>
          </w:pPr>
          <w:hyperlink w:anchor="__RefHeading___Toc5447_807107012">
            <w:r>
              <w:rPr>
                <w:rStyle w:val="Style16"/>
              </w:rPr>
              <w:t>5.2.1. Годовые эксплуатационные затраты на серверное оборудование</w:t>
              <w:tab/>
              <w:t>4</w:t>
            </w:r>
          </w:hyperlink>
          <w:r>
            <w:rPr/>
            <w:t>3</w:t>
          </w:r>
        </w:p>
        <w:p>
          <w:pPr>
            <w:pStyle w:val="TOC2"/>
            <w:tabs>
              <w:tab w:val="clear" w:pos="708"/>
              <w:tab w:val="right" w:pos="9355" w:leader="dot"/>
            </w:tabs>
            <w:rPr/>
          </w:pPr>
          <w:hyperlink w:anchor="__RefHeading___Toc5449_807107012">
            <w:r>
              <w:rPr>
                <w:rStyle w:val="Style16"/>
              </w:rPr>
              <w:t>5.3. Экономический эффект</w:t>
              <w:tab/>
              <w:t>4</w:t>
            </w:r>
          </w:hyperlink>
          <w:r>
            <w:rPr/>
            <w:t>4</w:t>
          </w:r>
        </w:p>
        <w:p>
          <w:pPr>
            <w:pStyle w:val="TOC1"/>
            <w:tabs>
              <w:tab w:val="clear" w:pos="708"/>
              <w:tab w:val="right" w:pos="9355" w:leader="dot"/>
            </w:tabs>
            <w:rPr/>
          </w:pPr>
          <w:hyperlink w:anchor="__RefHeading___Toc22211_2829662935">
            <w:r>
              <w:rPr>
                <w:rStyle w:val="Style16"/>
              </w:rPr>
              <w:t>Заключение</w:t>
              <w:tab/>
              <w:t>47</w:t>
            </w:r>
          </w:hyperlink>
        </w:p>
        <w:p>
          <w:pPr>
            <w:pStyle w:val="TOC1"/>
            <w:tabs>
              <w:tab w:val="clear" w:pos="708"/>
              <w:tab w:val="right" w:pos="9355" w:leader="dot"/>
            </w:tabs>
            <w:rPr/>
          </w:pPr>
          <w:hyperlink w:anchor="__RefHeading___Toc22213_2829662935">
            <w:r>
              <w:rPr>
                <w:rStyle w:val="Style16"/>
              </w:rPr>
              <w:t>Список литературы</w:t>
              <w:tab/>
              <w:t>5</w:t>
            </w:r>
          </w:hyperlink>
          <w:r>
            <w:rPr/>
            <w:t>0</w:t>
          </w:r>
        </w:p>
        <w:p>
          <w:pPr>
            <w:pStyle w:val="TOC1"/>
            <w:tabs>
              <w:tab w:val="clear" w:pos="708"/>
              <w:tab w:val="right" w:pos="9355" w:leader="dot"/>
            </w:tabs>
            <w:rPr/>
          </w:pPr>
          <w:hyperlink w:anchor="__RefHeading___Toc40925_392084037">
            <w:r>
              <w:rPr>
                <w:rStyle w:val="Style16"/>
              </w:rPr>
              <w:t>Приложение А. Архитектура системы</w:t>
              <w:tab/>
              <w:t>5</w:t>
            </w:r>
          </w:hyperlink>
          <w:r>
            <w:rPr/>
            <w:t>2</w:t>
          </w:r>
        </w:p>
        <w:p>
          <w:pPr>
            <w:pStyle w:val="TOC1"/>
            <w:tabs>
              <w:tab w:val="clear" w:pos="708"/>
              <w:tab w:val="right" w:pos="9355" w:leader="dot"/>
            </w:tabs>
            <w:rPr/>
          </w:pPr>
          <w:hyperlink w:anchor="__RefHeading___Toc40927_392084037">
            <w:r>
              <w:rPr>
                <w:rStyle w:val="Style16"/>
              </w:rPr>
              <w:t>Приложение Б. Инфологическая модель БД</w:t>
              <w:tab/>
              <w:t>5</w:t>
            </w:r>
          </w:hyperlink>
          <w:r>
            <w:rPr/>
            <w:t>3</w:t>
          </w:r>
        </w:p>
        <w:p>
          <w:pPr>
            <w:pStyle w:val="TOC1"/>
            <w:tabs>
              <w:tab w:val="clear" w:pos="708"/>
              <w:tab w:val="right" w:pos="9355" w:leader="dot"/>
            </w:tabs>
            <w:rPr/>
          </w:pPr>
          <w:hyperlink w:anchor="__RefHeading___Toc40929_392084037">
            <w:r>
              <w:rPr>
                <w:rStyle w:val="Style16"/>
              </w:rPr>
              <w:t>Приложение В. Интерфейс клиентского приложения</w:t>
              <w:tab/>
              <w:t>5</w:t>
            </w:r>
          </w:hyperlink>
          <w:r>
            <w:rPr/>
            <w:t>4</w:t>
          </w:r>
          <w:r>
            <w:rPr/>
            <w:fldChar w:fldCharType="end"/>
          </w:r>
        </w:p>
      </w:sdtContent>
    </w:sdt>
    <w:p>
      <w:pPr>
        <w:pStyle w:val="Heading1"/>
        <w:ind w:hanging="0" w:left="0"/>
        <w:rPr/>
      </w:pPr>
      <w:r>
        <w:br w:type="page"/>
      </w:r>
      <w:bookmarkStart w:id="0" w:name="__RefHeading___Toc22169_2829662935"/>
      <w:bookmarkStart w:id="1" w:name="_Toc515886983"/>
      <w:bookmarkEnd w:id="0"/>
      <w:r>
        <w:rPr/>
        <w:t>Введение</w:t>
      </w:r>
      <w:bookmarkEnd w:id="1"/>
    </w:p>
    <w:p>
      <w:pPr>
        <w:pStyle w:val="Normal"/>
        <w:ind w:hanging="0" w:left="0"/>
        <w:rPr/>
      </w:pPr>
      <w:r>
        <w:rPr/>
        <w:tab/>
        <w:t>В современных экономических условиях, характеризующихся высокой динамикой рыночных отношений, нестабильностью законодательства и ростом числа недобросовестных участников хозяйственной деятельности, вопросы оценки благонадежности контрагентов приобретают критическое значение. Для крупных компаний, таких как АО «РТК», заключение сделки без предварительной проверки партнера несет в себе риски финансовых потерь, налоговых претензий, судебных издержек и репутационного ущерба. Традиционные механизмы проверки (ручной анализ открытых источников, запросы в государственные реестры) часто оказываются трудоемкими, фрагментарными и не позволяют оперативно получать комплексную оценку. В связи с этим возникает потребность в создании автоматизированной системы проверки контрагентов, которая бы сочетала в себе оперативный сбор данных из внешних API, их интеллектуальный анализ и бесшовную интеграцию с учетными системами предприятия.</w:t>
      </w:r>
    </w:p>
    <w:p>
      <w:pPr>
        <w:pStyle w:val="Normal"/>
        <w:spacing w:lineRule="auto" w:line="360" w:before="0" w:after="0"/>
        <w:ind w:hanging="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ab/>
        <w:t>Существующие программные решения для проверки контрагентов в основном предоставляют готовые отчёты или скоринговые оценки, но часто являются «чёрными ящиками» с закрытыми алгоритмами. Интеграция таких систем с корпоративными учётными системами (в частности, с 1С) возможна, но требует дополнительных доработок и не всегда позволяет адаптировать модель оценки под специфику конкретного бизнеса. В открытой научной литературе недостаточно работ, описывающих архитектуру гибридных решений, где клиентская часть реализована в среде 1С, а серверная – на Python с разделением на сервис-адаптер (FastAPI) и сервис машинного обучения.</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
          <w:bCs/>
          <w:sz w:val="28"/>
          <w:szCs w:val="28"/>
          <w:lang w:eastAsia="ru-RU"/>
        </w:rPr>
        <w:t>Актуальность исследования:</w:t>
      </w:r>
      <w:r>
        <w:rPr>
          <w:rFonts w:eastAsia="Times New Roman" w:cs="Times New Roman"/>
          <w:sz w:val="28"/>
          <w:szCs w:val="28"/>
          <w:lang w:eastAsia="ru-RU"/>
        </w:rPr>
        <w:t xml:space="preserve"> Актуальность темы исследования обусловлена критической важностью выбора надежных поставщиков для обеспечения бесперебойной деятельности торговых предприятий в условиях современной рыночной нестабильности. Основная проблема заключается в противоречии между необходимостью быстрого принятия решений о закупках и трудоемкостью традиционных методов сбора и верификации информации о контрагентах, которая часто разрозненна и труднодоступна. В связи с этим разработка программного модуля на основе интеллектуального анализа данных, позволяющего оперативно и объективно оценивать благонадежность поставщиков, является своевременным и практически значимым решением.</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
          <w:bCs/>
          <w:sz w:val="28"/>
          <w:szCs w:val="28"/>
          <w:lang w:eastAsia="ru-RU"/>
        </w:rPr>
        <w:t>Объект исследования:</w:t>
      </w:r>
      <w:r>
        <w:rPr>
          <w:rFonts w:eastAsia="Times New Roman" w:cs="Times New Roman"/>
          <w:sz w:val="28"/>
          <w:szCs w:val="28"/>
          <w:lang w:eastAsia="ru-RU"/>
        </w:rPr>
        <w:t xml:space="preserve"> торговая организация АО "РТК". </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
          <w:bCs/>
          <w:sz w:val="28"/>
          <w:szCs w:val="28"/>
          <w:lang w:eastAsia="ru-RU"/>
        </w:rPr>
        <w:t>Предмет исследования:</w:t>
      </w:r>
      <w:r>
        <w:rPr>
          <w:rFonts w:eastAsia="Times New Roman" w:cs="Times New Roman"/>
          <w:sz w:val="28"/>
          <w:szCs w:val="28"/>
          <w:lang w:eastAsia="ru-RU"/>
        </w:rPr>
        <w:t xml:space="preserve"> закупочная деятельность организации, в частности процесс </w:t>
      </w:r>
      <w:r>
        <w:rPr>
          <w:rFonts w:cs="Times New Roman"/>
          <w:color w:val="000000"/>
          <w:sz w:val="28"/>
          <w:szCs w:val="28"/>
          <w:shd w:fill="FFFFFF" w:val="clear"/>
        </w:rPr>
        <w:t>оценки благонадежности и выбора поставщика товаров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b/>
          <w:bCs/>
          <w:sz w:val="28"/>
          <w:szCs w:val="28"/>
        </w:rPr>
        <w:t>Цель работы:</w:t>
      </w:r>
      <w:r>
        <w:rPr>
          <w:rFonts w:eastAsia="Times New Roman" w:cs="Times New Roman"/>
          <w:sz w:val="28"/>
          <w:szCs w:val="28"/>
        </w:rPr>
        <w:t xml:space="preserve"> </w:t>
      </w:r>
      <w:r>
        <w:rPr>
          <w:rFonts w:cs="Times New Roman"/>
          <w:color w:val="000000"/>
          <w:sz w:val="28"/>
          <w:szCs w:val="28"/>
          <w:shd w:fill="FFFFFF" w:val="clear"/>
        </w:rPr>
        <w:t xml:space="preserve">разработка информационной системы оценки благонадежности поставщика товаров </w:t>
      </w:r>
      <w:r>
        <w:rPr>
          <w:rFonts w:eastAsia="Times New Roman" w:cs="Times New Roman"/>
          <w:sz w:val="28"/>
          <w:szCs w:val="28"/>
        </w:rPr>
        <w:t xml:space="preserve">для повышения качества и эффективности труда сотрудников </w:t>
      </w:r>
      <w:r>
        <w:rPr>
          <w:rFonts w:cs="Times New Roman"/>
          <w:color w:val="000000"/>
          <w:sz w:val="28"/>
          <w:szCs w:val="28"/>
          <w:shd w:fill="FFFFFF" w:val="clear"/>
        </w:rPr>
        <w:t>организации АО "РТК"</w:t>
      </w:r>
      <w:r>
        <w:rPr>
          <w:rFonts w:eastAsia="Times New Roman" w:cs="Times New Roman"/>
          <w:sz w:val="28"/>
          <w:szCs w:val="28"/>
        </w:rPr>
        <w:t>.</w:t>
      </w:r>
    </w:p>
    <w:p>
      <w:pPr>
        <w:pStyle w:val="Normal"/>
        <w:spacing w:lineRule="auto" w:line="360" w:before="0" w:after="0"/>
        <w:ind w:firstLine="709"/>
        <w:jc w:val="both"/>
        <w:rPr>
          <w:b/>
          <w:bCs/>
        </w:rPr>
      </w:pPr>
      <w:r>
        <w:rPr>
          <w:rFonts w:eastAsia="Times New Roman" w:cs="Times New Roman"/>
          <w:b/>
          <w:bCs/>
          <w:sz w:val="28"/>
          <w:szCs w:val="28"/>
          <w:lang w:val="ru-RU"/>
        </w:rPr>
        <w:t>З</w:t>
      </w:r>
      <w:r>
        <w:rPr>
          <w:rFonts w:eastAsia="Times New Roman" w:cs="Times New Roman"/>
          <w:b/>
          <w:bCs/>
          <w:sz w:val="28"/>
          <w:szCs w:val="28"/>
        </w:rPr>
        <w:t>адачи:</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Провести анализ теоретических основ и существующих методов оценки благонадежности поставщиков, а также выполнить обзор и сравнительный анализ рынка аналогичного программного обеспечения.</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Выполнить анализ деятельности и организационной структуры АО "РТК".</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Разработать архитектуру и выполнить техническую реализацию информационной системы (модуля) для оценки благонадежности поставщиков на платформе «1С:Предприятие 8.3» с интеграцией Python-сервиса на основе машинного обучения.</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Провести тестирование и опытную эксплуатацию разработанной информационной системы для подтверждения ее работоспособности и стабильности.</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Оценить экономическую эффективность внедрения разработанного проектного решения.</w:t>
      </w:r>
      <w:r>
        <w:br w:type="page"/>
      </w:r>
    </w:p>
    <w:p>
      <w:pPr>
        <w:pStyle w:val="Heading1"/>
        <w:spacing w:before="0" w:after="240"/>
        <w:ind w:hanging="0" w:left="0"/>
        <w:jc w:val="center"/>
        <w:rPr/>
      </w:pPr>
      <w:bookmarkStart w:id="2" w:name="__RefHeading___Toc37927_2829662935"/>
      <w:bookmarkEnd w:id="2"/>
      <w:r>
        <w:rPr/>
        <w:t>1. Теоретическая основа исследования</w:t>
      </w:r>
    </w:p>
    <w:p>
      <w:pPr>
        <w:pStyle w:val="Heading2"/>
        <w:ind w:hanging="0" w:left="0"/>
        <w:rPr/>
      </w:pPr>
      <w:bookmarkStart w:id="3" w:name="__RefHeading___Toc22171_2829662935"/>
      <w:bookmarkEnd w:id="3"/>
      <w:r>
        <w:rPr>
          <w:lang w:val="en-US"/>
        </w:rPr>
        <w:t xml:space="preserve">1.1 </w:t>
      </w:r>
      <w:bookmarkStart w:id="4" w:name="_Hlk515217304"/>
      <w:bookmarkStart w:id="5" w:name="_Toc515886984"/>
      <w:bookmarkStart w:id="6" w:name="_Toc483760664"/>
      <w:r>
        <w:rPr/>
        <w:t>Методы и модели анализа данных</w:t>
      </w:r>
      <w:bookmarkEnd w:id="6"/>
      <w:r>
        <w:rPr/>
        <w:t xml:space="preserve"> для оценки благонадежности поставщика товаров</w:t>
      </w:r>
      <w:bookmarkEnd w:id="4"/>
      <w:bookmarkEnd w:id="5"/>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Оценка благонадежности поставщика (или контрагента) представляет собой многокритериальную задачу, решаемую с применением методов анализа данных. В зависимости от доступной информации используются следующие группы методов:</w:t>
      </w:r>
    </w:p>
    <w:p>
      <w:pPr>
        <w:pStyle w:val="Normal"/>
        <w:numPr>
          <w:ilvl w:val="0"/>
          <w:numId w:val="14"/>
        </w:numPr>
        <w:spacing w:lineRule="auto" w:line="360" w:before="0" w:after="0"/>
        <w:jc w:val="both"/>
        <w:rPr/>
      </w:pPr>
      <w:r>
        <w:rPr>
          <w:rFonts w:eastAsia="Times New Roman" w:cs="Times New Roman"/>
          <w:sz w:val="28"/>
          <w:szCs w:val="28"/>
          <w:lang w:eastAsia="ru-RU"/>
        </w:rPr>
        <w:t>Статистические методы: анализ финансовых коэффициентов (ликвидность, автономия, оборачиваемость), расчет скоринговых баллов на основе весовых коэффициентов. Они просты в реализации, но требуют наличия полной финансовой отчетности и не учитывают качественных факторов.</w:t>
      </w:r>
    </w:p>
    <w:p>
      <w:pPr>
        <w:pStyle w:val="Normal"/>
        <w:numPr>
          <w:ilvl w:val="0"/>
          <w:numId w:val="14"/>
        </w:numPr>
        <w:spacing w:lineRule="auto" w:line="360" w:before="0" w:after="0"/>
        <w:jc w:val="both"/>
        <w:rPr/>
      </w:pPr>
      <w:r>
        <w:rPr>
          <w:rFonts w:eastAsia="Times New Roman" w:cs="Times New Roman"/>
          <w:sz w:val="28"/>
          <w:szCs w:val="28"/>
          <w:lang w:eastAsia="ru-RU"/>
        </w:rPr>
        <w:t>Методы нечеткой логики позволяют оперировать лингвистическими переменными («хорошая репутация», «средний риск») и правилами типа «ЕСЛИ налоговая задолженность высокая И судебных исков много, ТО надежность низкая». Применяются при нечетких или неполных данных.</w:t>
      </w:r>
    </w:p>
    <w:p>
      <w:pPr>
        <w:pStyle w:val="Normal"/>
        <w:numPr>
          <w:ilvl w:val="0"/>
          <w:numId w:val="14"/>
        </w:numPr>
        <w:spacing w:lineRule="auto" w:line="360" w:before="0" w:after="0"/>
        <w:jc w:val="both"/>
        <w:rPr/>
      </w:pPr>
      <w:r>
        <w:rPr>
          <w:rFonts w:eastAsia="Times New Roman" w:cs="Times New Roman"/>
          <w:sz w:val="28"/>
          <w:szCs w:val="28"/>
          <w:lang w:eastAsia="ru-RU"/>
        </w:rPr>
        <w:t>Методы машинного обучения набирают популярность благодаря способности выявлять скрытые закономерности. К ним относятся:</w:t>
      </w:r>
    </w:p>
    <w:p>
      <w:pPr>
        <w:pStyle w:val="Normal"/>
        <w:numPr>
          <w:ilvl w:val="1"/>
          <w:numId w:val="14"/>
        </w:numPr>
        <w:spacing w:lineRule="auto" w:line="360" w:before="0" w:after="0"/>
        <w:jc w:val="both"/>
        <w:rPr/>
      </w:pPr>
      <w:r>
        <w:rPr>
          <w:rFonts w:eastAsia="Times New Roman" w:cs="Times New Roman"/>
          <w:sz w:val="28"/>
          <w:szCs w:val="28"/>
          <w:lang w:eastAsia="ru-RU"/>
        </w:rPr>
        <w:t>Деревья решений и случайный лес – интерпретируемые модели, позволяющие ранжировать факторы риска.</w:t>
      </w:r>
    </w:p>
    <w:p>
      <w:pPr>
        <w:pStyle w:val="Normal"/>
        <w:numPr>
          <w:ilvl w:val="1"/>
          <w:numId w:val="14"/>
        </w:numPr>
        <w:spacing w:lineRule="auto" w:line="360" w:before="0" w:after="0"/>
        <w:jc w:val="both"/>
        <w:rPr/>
      </w:pPr>
      <w:r>
        <w:rPr>
          <w:rFonts w:eastAsia="Times New Roman" w:cs="Times New Roman"/>
          <w:sz w:val="28"/>
          <w:szCs w:val="28"/>
          <w:lang w:eastAsia="ru-RU"/>
        </w:rPr>
        <w:t>Градиентный бустинг (XGBoost, LightGBM) – высокая точность на структурированных данных.</w:t>
      </w:r>
    </w:p>
    <w:p>
      <w:pPr>
        <w:pStyle w:val="Normal"/>
        <w:numPr>
          <w:ilvl w:val="1"/>
          <w:numId w:val="14"/>
        </w:numPr>
        <w:spacing w:lineRule="auto" w:line="360" w:before="0" w:after="0"/>
        <w:jc w:val="both"/>
        <w:rPr/>
      </w:pPr>
      <w:r>
        <w:rPr>
          <w:rFonts w:eastAsia="Times New Roman" w:cs="Times New Roman"/>
          <w:sz w:val="28"/>
          <w:szCs w:val="28"/>
          <w:lang w:eastAsia="ru-RU"/>
        </w:rPr>
        <w:t>Логистическая регрессия – базовая модель для бинарной классификации (надежен / не надежен).</w:t>
      </w:r>
    </w:p>
    <w:p>
      <w:pPr>
        <w:pStyle w:val="Normal"/>
        <w:numPr>
          <w:ilvl w:val="1"/>
          <w:numId w:val="14"/>
        </w:numPr>
        <w:spacing w:lineRule="auto" w:line="360" w:before="0" w:after="0"/>
        <w:jc w:val="both"/>
        <w:rPr/>
      </w:pPr>
      <w:r>
        <w:rPr>
          <w:rFonts w:eastAsia="Times New Roman" w:cs="Times New Roman"/>
          <w:sz w:val="28"/>
          <w:szCs w:val="28"/>
          <w:lang w:eastAsia="ru-RU"/>
        </w:rPr>
        <w:t>Нейронные сети – эффективны при большом количестве признаков и сложных нелинейных зависимостях.</w:t>
      </w:r>
    </w:p>
    <w:p>
      <w:pPr>
        <w:pStyle w:val="Normal"/>
        <w:numPr>
          <w:ilvl w:val="0"/>
          <w:numId w:val="14"/>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Методы анализа графов и связей используются для выявления аффилированности, пересечения учредителей и бенефициаров с неблагонадежными компаниями.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 xml:space="preserve">В рамках данной работы для анализа данных, полученных из API «Репутация» (которое предоставляет структурированные показатели: финансовое состояние, арбитражные дела, налоговые нарушения, возраст компании, наличие лицензий и т.д.), </w:t>
      </w:r>
      <w:r>
        <w:rPr>
          <w:rFonts w:eastAsia="Times New Roman" w:cs="Times New Roman"/>
          <w:sz w:val="28"/>
          <w:szCs w:val="28"/>
          <w:shd w:fill="auto" w:val="clear"/>
          <w:lang w:eastAsia="ru-RU"/>
        </w:rPr>
        <w:t>предлагается использовать модель машинного обучения типа Ансамблевый классификатор (StackingClassifier).</w:t>
      </w:r>
      <w:r>
        <w:rPr>
          <w:rFonts w:eastAsia="Times New Roman" w:cs="Times New Roman"/>
          <w:sz w:val="28"/>
          <w:szCs w:val="28"/>
          <w:lang w:eastAsia="ru-RU"/>
        </w:rPr>
        <w:t xml:space="preserve"> Данный выбор обусловлен хорошей устойчивостью к выбросам, возможностью оценки важности признаков и относительно невысокими требованиями к вычислительным ресурсам.</w:t>
      </w:r>
      <w:r>
        <w:br w:type="page"/>
      </w:r>
    </w:p>
    <w:p>
      <w:pPr>
        <w:pStyle w:val="Heading2"/>
        <w:spacing w:before="0" w:after="0"/>
        <w:ind w:hanging="0" w:left="0"/>
        <w:rPr/>
      </w:pPr>
      <w:bookmarkStart w:id="7" w:name="__RefHeading___Toc22173_2829662935"/>
      <w:bookmarkEnd w:id="7"/>
      <w:r>
        <w:rPr>
          <w:lang w:val="en-US"/>
        </w:rPr>
        <w:t xml:space="preserve">1.2 </w:t>
      </w:r>
      <w:bookmarkStart w:id="8" w:name="_Toc515886985"/>
      <w:r>
        <w:rPr/>
        <w:t>Характеристика деятельности АО "РТК"</w:t>
      </w:r>
      <w:bookmarkEnd w:id="8"/>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Основная деятельность АО «РТК» — розничная продажа телекоммуникационного оборудования, мобильных телефонов и сопутствующих аксессуаров через сеть специализированных магазинов.</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Организация зарегистрирована 7 сентября 2001 г. регистратором ИФНС России № 9 по г.Москве.</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Ключевые показатели деятельности на 2025 г.: выручка – более 2,5 млрд руб., штат – около 800 сотрудников, количество активных договоров с поставщиками – более 500. Компания имеет статус юридического лица, зарегистрирована в налоговых органах, регулярно участвует в тендерах как в качестве заказчика, так и исполнителя.</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Для обеспечения непрерывности основной деятельности АО «РТК» ежемесячно осуществляет закупки следующих категорий товаров: мобильные телефоны и сопутствующие аксессуары, офисная техника, канцелярские товары, а также услуги сторонних подрядчиков (строительно-монтажные работы, логистика). Совокупный годовой объем закупок превышает 1 млрд рублей, что делает выбор добросовестного поставщика критически важной задачей.</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Heading2"/>
        <w:ind w:hanging="0" w:left="0"/>
        <w:rPr>
          <w:lang w:val="en-US"/>
        </w:rPr>
      </w:pPr>
      <w:r>
        <w:rPr>
          <w:lang w:val="en-US"/>
        </w:rPr>
      </w:r>
      <w:r>
        <w:br w:type="page"/>
      </w:r>
    </w:p>
    <w:p>
      <w:pPr>
        <w:pStyle w:val="Heading2"/>
        <w:spacing w:before="0" w:after="0"/>
        <w:ind w:hanging="0" w:left="0"/>
        <w:rPr/>
      </w:pPr>
      <w:bookmarkStart w:id="9" w:name="__RefHeading___Toc22175_2829662935"/>
      <w:bookmarkEnd w:id="9"/>
      <w:r>
        <w:rPr>
          <w:lang w:val="en-US"/>
        </w:rPr>
        <w:t xml:space="preserve">1.3 </w:t>
      </w:r>
      <w:bookmarkStart w:id="10" w:name="_Toc515886986"/>
      <w:r>
        <w:rPr/>
        <w:t>Организационная структура управления АО "РТК"</w:t>
      </w:r>
      <w:bookmarkEnd w:id="10"/>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Организационная структура АО «РТК» – линейно-функциональная. Высшим органом управления является Общее собрание акционеров, в период между собраниями – Совет директоров. Исполнительным органом выступает Генеральный директор, которому подчиняются:</w:t>
      </w:r>
    </w:p>
    <w:p>
      <w:pPr>
        <w:pStyle w:val="Normal"/>
        <w:numPr>
          <w:ilvl w:val="0"/>
          <w:numId w:val="15"/>
        </w:numPr>
        <w:spacing w:lineRule="auto" w:line="360" w:before="0" w:after="0"/>
        <w:jc w:val="both"/>
        <w:rPr/>
      </w:pPr>
      <w:r>
        <w:rPr>
          <w:rFonts w:eastAsia="Times New Roman" w:cs="Times New Roman"/>
          <w:sz w:val="28"/>
          <w:szCs w:val="28"/>
          <w:lang w:eastAsia="ru-RU"/>
        </w:rPr>
        <w:t>Департамент закупок и логистики (отвечает за поиск, проверку и выбор поставщиков, заключение договоров).</w:t>
      </w:r>
    </w:p>
    <w:p>
      <w:pPr>
        <w:pStyle w:val="Normal"/>
        <w:numPr>
          <w:ilvl w:val="0"/>
          <w:numId w:val="15"/>
        </w:numPr>
        <w:spacing w:lineRule="auto" w:line="360" w:before="0" w:after="0"/>
        <w:jc w:val="both"/>
        <w:rPr/>
      </w:pPr>
      <w:r>
        <w:rPr>
          <w:rFonts w:eastAsia="Times New Roman" w:cs="Times New Roman"/>
          <w:sz w:val="28"/>
          <w:szCs w:val="28"/>
          <w:lang w:eastAsia="ru-RU"/>
        </w:rPr>
        <w:t>Департамент финансов и экономики (контроль бюджета, согласование цен).</w:t>
      </w:r>
    </w:p>
    <w:p>
      <w:pPr>
        <w:pStyle w:val="Normal"/>
        <w:numPr>
          <w:ilvl w:val="0"/>
          <w:numId w:val="15"/>
        </w:numPr>
        <w:spacing w:lineRule="auto" w:line="360" w:before="0" w:after="0"/>
        <w:jc w:val="both"/>
        <w:rPr/>
      </w:pPr>
      <w:r>
        <w:rPr>
          <w:rFonts w:eastAsia="Times New Roman" w:cs="Times New Roman"/>
          <w:sz w:val="28"/>
          <w:szCs w:val="28"/>
          <w:lang w:eastAsia="ru-RU"/>
        </w:rPr>
        <w:t>Юридический департамент (правовая экспертиза договоров, претензионная работа).</w:t>
      </w:r>
    </w:p>
    <w:p>
      <w:pPr>
        <w:pStyle w:val="Normal"/>
        <w:numPr>
          <w:ilvl w:val="0"/>
          <w:numId w:val="15"/>
        </w:numPr>
        <w:spacing w:lineRule="auto" w:line="360" w:before="0" w:after="0"/>
        <w:jc w:val="both"/>
        <w:rPr/>
      </w:pPr>
      <w:r>
        <w:rPr>
          <w:rFonts w:eastAsia="Times New Roman" w:cs="Times New Roman"/>
          <w:sz w:val="28"/>
          <w:szCs w:val="28"/>
          <w:lang w:eastAsia="ru-RU"/>
        </w:rPr>
        <w:t>Департамент информационных технологий (поддержка ИТ-инфраструктуры, в том числе системы 1С).</w:t>
      </w:r>
    </w:p>
    <w:p>
      <w:pPr>
        <w:pStyle w:val="Normal"/>
        <w:numPr>
          <w:ilvl w:val="0"/>
          <w:numId w:val="15"/>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Департамент по работе с клиентами, технический департамент, отдел безопасности и другие подразделения.</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В департаменте закупок выделено бюро по работе с поставщиками, в котором работают 5 менеджеров. Именно они в настоящее время выполняют ручную проверку контрагентов, используя открытые источники (сайт ФНС, «Картотека арбитражных дел», реестр недобросовестных поставщиков, СПАРК и др.) и внутренние базы данных. Такая структура позволяет централизованно управлять закупками, но создает узкое место по скорости и качеству проверки.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Heading2"/>
        <w:ind w:hanging="0" w:left="0"/>
        <w:rPr>
          <w:rFonts w:ascii="Times New Roman" w:hAnsi="Times New Roman" w:eastAsia="Times New Roman"/>
          <w:b w:val="false"/>
          <w:color w:val="auto"/>
          <w:lang w:eastAsia="ru-RU"/>
        </w:rPr>
      </w:pPr>
      <w:r>
        <w:rPr>
          <w:rFonts w:eastAsia="Times New Roman"/>
          <w:b w:val="false"/>
          <w:color w:val="auto"/>
          <w:lang w:eastAsia="ru-RU"/>
        </w:rPr>
      </w:r>
      <w:r>
        <w:br w:type="page"/>
      </w:r>
    </w:p>
    <w:p>
      <w:pPr>
        <w:pStyle w:val="Heading2"/>
        <w:spacing w:before="0" w:after="0"/>
        <w:ind w:hanging="0" w:left="0"/>
        <w:rPr>
          <w:rFonts w:ascii="Times New Roman" w:hAnsi="Times New Roman" w:eastAsia="Times New Roman"/>
          <w:b w:val="false"/>
          <w:color w:val="auto"/>
          <w:lang w:eastAsia="ru-RU"/>
        </w:rPr>
      </w:pPr>
      <w:bookmarkStart w:id="11" w:name="__RefHeading___Toc22177_2829662935"/>
      <w:bookmarkEnd w:id="11"/>
      <w:r>
        <w:rPr/>
        <w:t xml:space="preserve">1.4 </w:t>
      </w:r>
      <w:bookmarkStart w:id="12" w:name="_Toc515886987"/>
      <w:r>
        <w:rPr/>
        <w:t>Описание и анализ бизнес процесса закупки товаров</w:t>
      </w:r>
      <w:bookmarkEnd w:id="12"/>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Бизнес-процесс «Закупка товаров» в АО «РТК» реализован на платформе 1С:Управление торговлей и включает следующие этапы:</w:t>
      </w:r>
    </w:p>
    <w:p>
      <w:pPr>
        <w:pStyle w:val="Normal"/>
        <w:numPr>
          <w:ilvl w:val="0"/>
          <w:numId w:val="16"/>
        </w:numPr>
        <w:spacing w:lineRule="auto" w:line="360" w:before="0" w:after="0"/>
        <w:jc w:val="both"/>
        <w:rPr/>
      </w:pPr>
      <w:r>
        <w:rPr>
          <w:rFonts w:eastAsia="Times New Roman" w:cs="Times New Roman"/>
          <w:sz w:val="28"/>
          <w:szCs w:val="28"/>
          <w:lang w:eastAsia="ru-RU"/>
        </w:rPr>
        <w:t>Формирование потребности – структурное подразделение (технический департамент, отдел продаж и др.) создает заявку на закупку с указанием номенклатуры, количества и желаемого срока поставки.</w:t>
      </w:r>
    </w:p>
    <w:p>
      <w:pPr>
        <w:pStyle w:val="Normal"/>
        <w:numPr>
          <w:ilvl w:val="0"/>
          <w:numId w:val="16"/>
        </w:numPr>
        <w:spacing w:lineRule="auto" w:line="360" w:before="0" w:after="0"/>
        <w:jc w:val="both"/>
        <w:rPr/>
      </w:pPr>
      <w:r>
        <w:rPr>
          <w:rFonts w:eastAsia="Times New Roman" w:cs="Times New Roman"/>
          <w:sz w:val="28"/>
          <w:szCs w:val="28"/>
          <w:lang w:eastAsia="ru-RU"/>
        </w:rPr>
        <w:t>Согласование заявки – заявка проходит маршрутизацию (руководитель подразделения, финансовый отдел, ген. директор при сумме свыше лимита).</w:t>
      </w:r>
    </w:p>
    <w:p>
      <w:pPr>
        <w:pStyle w:val="Normal"/>
        <w:numPr>
          <w:ilvl w:val="0"/>
          <w:numId w:val="16"/>
        </w:numPr>
        <w:spacing w:lineRule="auto" w:line="360" w:before="0" w:after="0"/>
        <w:jc w:val="both"/>
        <w:rPr/>
      </w:pPr>
      <w:r>
        <w:rPr>
          <w:rFonts w:eastAsia="Times New Roman" w:cs="Times New Roman"/>
          <w:sz w:val="28"/>
          <w:szCs w:val="28"/>
          <w:lang w:eastAsia="ru-RU"/>
        </w:rPr>
        <w:t>Поиск поставщиков – менеджер по закупкам ищет потенциальных поставщиков через открытые торги, коммерческие предложения, собственные контакты.</w:t>
      </w:r>
    </w:p>
    <w:p>
      <w:pPr>
        <w:pStyle w:val="Normal"/>
        <w:numPr>
          <w:ilvl w:val="0"/>
          <w:numId w:val="16"/>
        </w:numPr>
        <w:spacing w:lineRule="auto" w:line="360" w:before="0" w:after="0"/>
        <w:jc w:val="both"/>
        <w:rPr/>
      </w:pPr>
      <w:r>
        <w:rPr>
          <w:rFonts w:eastAsia="Times New Roman" w:cs="Times New Roman"/>
          <w:sz w:val="28"/>
          <w:szCs w:val="28"/>
          <w:lang w:eastAsia="ru-RU"/>
        </w:rPr>
        <w:t>Предварительная проверка контрагента – сбор и анализ информации о поставщике (данные из реестров, запрос документов).</w:t>
      </w:r>
    </w:p>
    <w:p>
      <w:pPr>
        <w:pStyle w:val="Normal"/>
        <w:numPr>
          <w:ilvl w:val="0"/>
          <w:numId w:val="16"/>
        </w:numPr>
        <w:spacing w:lineRule="auto" w:line="360" w:before="0" w:after="0"/>
        <w:jc w:val="both"/>
        <w:rPr/>
      </w:pPr>
      <w:r>
        <w:rPr>
          <w:rFonts w:eastAsia="Times New Roman" w:cs="Times New Roman"/>
          <w:sz w:val="28"/>
          <w:szCs w:val="28"/>
          <w:lang w:eastAsia="ru-RU"/>
        </w:rPr>
        <w:t>Выбор поставщика и согласование условий – сравнение цен, условий доставки, отсрочек платежа.</w:t>
      </w:r>
    </w:p>
    <w:p>
      <w:pPr>
        <w:pStyle w:val="Normal"/>
        <w:numPr>
          <w:ilvl w:val="0"/>
          <w:numId w:val="16"/>
        </w:numPr>
        <w:spacing w:lineRule="auto" w:line="360" w:before="0" w:after="0"/>
        <w:jc w:val="both"/>
        <w:rPr/>
      </w:pPr>
      <w:r>
        <w:rPr>
          <w:rFonts w:eastAsia="Times New Roman" w:cs="Times New Roman"/>
          <w:sz w:val="28"/>
          <w:szCs w:val="28"/>
          <w:lang w:eastAsia="ru-RU"/>
        </w:rPr>
        <w:t>Заключение договора – юридическая проверка, подписание.</w:t>
      </w:r>
    </w:p>
    <w:p>
      <w:pPr>
        <w:pStyle w:val="Normal"/>
        <w:numPr>
          <w:ilvl w:val="0"/>
          <w:numId w:val="16"/>
        </w:numPr>
        <w:spacing w:lineRule="auto" w:line="360" w:before="0" w:after="0"/>
        <w:jc w:val="both"/>
        <w:rPr/>
      </w:pPr>
      <w:r>
        <w:rPr>
          <w:rFonts w:eastAsia="Times New Roman" w:cs="Times New Roman"/>
          <w:sz w:val="28"/>
          <w:szCs w:val="28"/>
          <w:lang w:eastAsia="ru-RU"/>
        </w:rPr>
        <w:t>Оформление заказа – создание заказа поставщику в 1С, контроль оплаты.</w:t>
      </w:r>
    </w:p>
    <w:p>
      <w:pPr>
        <w:pStyle w:val="Normal"/>
        <w:numPr>
          <w:ilvl w:val="0"/>
          <w:numId w:val="16"/>
        </w:numPr>
        <w:spacing w:lineRule="auto" w:line="360" w:before="0" w:after="0"/>
        <w:jc w:val="both"/>
        <w:rPr/>
      </w:pPr>
      <w:r>
        <w:rPr>
          <w:rFonts w:eastAsia="Times New Roman" w:cs="Times New Roman"/>
          <w:sz w:val="28"/>
          <w:szCs w:val="28"/>
          <w:lang w:eastAsia="ru-RU"/>
        </w:rPr>
        <w:t>Приемка товара – складской учет, проверка количества и качества.</w:t>
      </w:r>
    </w:p>
    <w:p>
      <w:pPr>
        <w:pStyle w:val="Normal"/>
        <w:numPr>
          <w:ilvl w:val="0"/>
          <w:numId w:val="16"/>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Закрытие сделки – сверка взаиморасчетов, оплата, закрытие заказа.</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Анализ процесса показывает, что наиболее трудоемким и ответственным, но слабо автоматизированным является этап 4 – проверка контрагента. На него тратится до 40% времени от общего цикла закупки (в среднем 1-2 дня на одного поставщика). При этом ввиду человеческого фактора возможны пропуски негативных сигналов о контрагенте.</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Heading2"/>
        <w:ind w:hanging="0" w:left="0"/>
        <w:rPr/>
      </w:pPr>
      <w:bookmarkStart w:id="13" w:name="__RefHeading___Toc22179_2829662935"/>
      <w:bookmarkEnd w:id="13"/>
      <w:r>
        <w:rPr>
          <w:lang w:val="en-US"/>
        </w:rPr>
        <w:t xml:space="preserve">1.5 </w:t>
      </w:r>
      <w:bookmarkStart w:id="14" w:name="_Toc515886988"/>
      <w:r>
        <w:rPr/>
        <w:t>Анализ процесса оценки благонадёжности и выбора поставщика</w:t>
      </w:r>
      <w:bookmarkEnd w:id="14"/>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В текущей версии процесса оценки благонадежности поставщика в АО «РТК» используются следующие действия:</w:t>
      </w:r>
    </w:p>
    <w:p>
      <w:pPr>
        <w:pStyle w:val="Normal"/>
        <w:numPr>
          <w:ilvl w:val="0"/>
          <w:numId w:val="18"/>
        </w:numPr>
        <w:spacing w:lineRule="auto" w:line="360" w:before="0" w:after="0"/>
        <w:jc w:val="both"/>
        <w:rPr/>
      </w:pPr>
      <w:r>
        <w:rPr>
          <w:rFonts w:cs="Times New Roman"/>
          <w:sz w:val="28"/>
          <w:szCs w:val="28"/>
        </w:rPr>
        <w:t>Запрос ИНН/ОГРН поставщика у менеджера по продажам или из коммерческого предложения.</w:t>
      </w:r>
    </w:p>
    <w:p>
      <w:pPr>
        <w:pStyle w:val="Normal"/>
        <w:numPr>
          <w:ilvl w:val="0"/>
          <w:numId w:val="18"/>
        </w:numPr>
        <w:spacing w:lineRule="auto" w:line="360" w:before="0" w:after="0"/>
        <w:jc w:val="both"/>
        <w:rPr/>
      </w:pPr>
      <w:r>
        <w:rPr>
          <w:rFonts w:cs="Times New Roman"/>
          <w:sz w:val="28"/>
          <w:szCs w:val="28"/>
        </w:rPr>
        <w:t>Проверка по открытым базам ФНС (реестр юрлиц, дисквалифицированные лица, факты ликвидации).</w:t>
      </w:r>
    </w:p>
    <w:p>
      <w:pPr>
        <w:pStyle w:val="Normal"/>
        <w:numPr>
          <w:ilvl w:val="0"/>
          <w:numId w:val="18"/>
        </w:numPr>
        <w:spacing w:lineRule="auto" w:line="360" w:before="0" w:after="0"/>
        <w:jc w:val="both"/>
        <w:rPr/>
      </w:pPr>
      <w:r>
        <w:rPr>
          <w:rFonts w:cs="Times New Roman"/>
          <w:sz w:val="28"/>
          <w:szCs w:val="28"/>
        </w:rPr>
        <w:t>Поиск в арбитражных делах (kad.arbitr.ru) – количество исков, роль ответчика, сумма.</w:t>
      </w:r>
    </w:p>
    <w:p>
      <w:pPr>
        <w:pStyle w:val="Normal"/>
        <w:numPr>
          <w:ilvl w:val="0"/>
          <w:numId w:val="18"/>
        </w:numPr>
        <w:spacing w:lineRule="auto" w:line="360" w:before="0" w:after="0"/>
        <w:jc w:val="both"/>
        <w:rPr/>
      </w:pPr>
      <w:r>
        <w:rPr>
          <w:rFonts w:cs="Times New Roman"/>
          <w:sz w:val="28"/>
          <w:szCs w:val="28"/>
        </w:rPr>
        <w:t>Поиск в реестре недобросовестных поставщиков (ЕИС).</w:t>
      </w:r>
    </w:p>
    <w:p>
      <w:pPr>
        <w:pStyle w:val="Normal"/>
        <w:numPr>
          <w:ilvl w:val="0"/>
          <w:numId w:val="18"/>
        </w:numPr>
        <w:spacing w:lineRule="auto" w:line="360" w:before="0" w:after="0"/>
        <w:jc w:val="both"/>
        <w:rPr/>
      </w:pPr>
      <w:r>
        <w:rPr>
          <w:rFonts w:cs="Times New Roman"/>
          <w:sz w:val="28"/>
          <w:szCs w:val="28"/>
        </w:rPr>
        <w:t>Просмотр финансовых показателей через сервис «Контур.Фокус» или СПАРК (при наличии платного доступа).</w:t>
      </w:r>
    </w:p>
    <w:p>
      <w:pPr>
        <w:pStyle w:val="Normal"/>
        <w:numPr>
          <w:ilvl w:val="0"/>
          <w:numId w:val="18"/>
        </w:numPr>
        <w:spacing w:lineRule="auto" w:line="360" w:before="0" w:after="0"/>
        <w:jc w:val="both"/>
        <w:rPr>
          <w:rFonts w:ascii="Times New Roman" w:hAnsi="Times New Roman" w:cs="Times New Roman"/>
          <w:sz w:val="28"/>
          <w:szCs w:val="28"/>
        </w:rPr>
      </w:pPr>
      <w:r>
        <w:rPr>
          <w:rFonts w:cs="Times New Roman"/>
          <w:sz w:val="28"/>
          <w:szCs w:val="28"/>
        </w:rPr>
        <w:t>Оценка по внутренней «красной картотеке» – накопленный в компании опыт работы с данным поставщиком.</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После сбора информации менеджер принимает решение: рекомендовать поставщика к заключению договора или отказать. Критерии решения не формализованы и субъективны. В случае сомнений созывается «комитет по закупкам» с участием юриста и финансиста.</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Данный процесс обладает следующими особенностями:</w:t>
      </w:r>
    </w:p>
    <w:p>
      <w:pPr>
        <w:pStyle w:val="Normal"/>
        <w:numPr>
          <w:ilvl w:val="0"/>
          <w:numId w:val="17"/>
        </w:numPr>
        <w:spacing w:lineRule="auto" w:line="360" w:before="0" w:after="0"/>
        <w:jc w:val="both"/>
        <w:rPr/>
      </w:pPr>
      <w:r>
        <w:rPr>
          <w:rFonts w:cs="Times New Roman"/>
          <w:sz w:val="28"/>
          <w:szCs w:val="28"/>
        </w:rPr>
        <w:t>используется только часть доступных открытых данных (нет API-интеграций);</w:t>
      </w:r>
    </w:p>
    <w:p>
      <w:pPr>
        <w:pStyle w:val="Normal"/>
        <w:numPr>
          <w:ilvl w:val="0"/>
          <w:numId w:val="17"/>
        </w:numPr>
        <w:spacing w:lineRule="auto" w:line="360" w:before="0" w:after="0"/>
        <w:jc w:val="both"/>
        <w:rPr/>
      </w:pPr>
      <w:r>
        <w:rPr>
          <w:rFonts w:cs="Times New Roman"/>
          <w:sz w:val="28"/>
          <w:szCs w:val="28"/>
        </w:rPr>
        <w:t>отсутствует единая методика расчета интегральной оценки риска;</w:t>
      </w:r>
    </w:p>
    <w:p>
      <w:pPr>
        <w:pStyle w:val="Normal"/>
        <w:numPr>
          <w:ilvl w:val="0"/>
          <w:numId w:val="17"/>
        </w:numPr>
        <w:spacing w:lineRule="auto" w:line="360" w:before="0" w:after="0"/>
        <w:jc w:val="both"/>
        <w:rPr/>
      </w:pPr>
      <w:r>
        <w:rPr>
          <w:rFonts w:cs="Times New Roman"/>
          <w:sz w:val="28"/>
          <w:szCs w:val="28"/>
        </w:rPr>
        <w:t>решения часто запаздывают из-за ручного сбора данных;</w:t>
      </w:r>
    </w:p>
    <w:p>
      <w:pPr>
        <w:pStyle w:val="Normal"/>
        <w:numPr>
          <w:ilvl w:val="0"/>
          <w:numId w:val="17"/>
        </w:numPr>
        <w:spacing w:lineRule="auto" w:line="360" w:before="0" w:after="0"/>
        <w:jc w:val="both"/>
        <w:rPr>
          <w:rFonts w:ascii="Times New Roman" w:hAnsi="Times New Roman" w:cs="Times New Roman"/>
          <w:sz w:val="28"/>
          <w:szCs w:val="28"/>
        </w:rPr>
      </w:pPr>
      <w:r>
        <w:rPr>
          <w:rFonts w:cs="Times New Roman"/>
          <w:sz w:val="28"/>
          <w:szCs w:val="28"/>
        </w:rPr>
        <w:t>нет автоматического отслеживания изменения статуса контрагента в период после заключения договора.</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Heading2"/>
        <w:ind w:hanging="0" w:left="0"/>
        <w:rPr/>
      </w:pPr>
      <w:bookmarkStart w:id="15" w:name="__RefHeading___Toc22181_2829662935"/>
      <w:bookmarkEnd w:id="15"/>
      <w:r>
        <w:rPr>
          <w:lang w:val="en-US"/>
        </w:rPr>
        <w:t xml:space="preserve">1.6 </w:t>
      </w:r>
      <w:bookmarkStart w:id="16" w:name="_Toc515886989"/>
      <w:r>
        <w:rPr/>
        <w:t>Анализ недостатков и формирование предложений по автоматизации бизнес-процесса</w:t>
      </w:r>
      <w:bookmarkEnd w:id="16"/>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На основе анализа текущего процесса выявлены следующие недостатки:</w:t>
      </w:r>
    </w:p>
    <w:p>
      <w:pPr>
        <w:pStyle w:val="Normal"/>
        <w:numPr>
          <w:ilvl w:val="0"/>
          <w:numId w:val="19"/>
        </w:numPr>
        <w:spacing w:lineRule="auto" w:line="360" w:before="0" w:after="0"/>
        <w:jc w:val="both"/>
        <w:rPr/>
      </w:pPr>
      <w:r>
        <w:rPr>
          <w:rFonts w:eastAsia="Times New Roman" w:cs="Times New Roman"/>
          <w:sz w:val="28"/>
          <w:szCs w:val="28"/>
          <w:lang w:eastAsia="ru-RU"/>
        </w:rPr>
        <w:t>Высокая трудоемкость – на проверку одного контрагента в среднем уходит 2–3 часа рабочего времени менеджера.</w:t>
      </w:r>
    </w:p>
    <w:p>
      <w:pPr>
        <w:pStyle w:val="Normal"/>
        <w:numPr>
          <w:ilvl w:val="0"/>
          <w:numId w:val="19"/>
        </w:numPr>
        <w:spacing w:lineRule="auto" w:line="360" w:before="0" w:after="0"/>
        <w:jc w:val="both"/>
        <w:rPr/>
      </w:pPr>
      <w:r>
        <w:rPr>
          <w:rFonts w:eastAsia="Times New Roman" w:cs="Times New Roman"/>
          <w:sz w:val="28"/>
          <w:szCs w:val="28"/>
          <w:lang w:eastAsia="ru-RU"/>
        </w:rPr>
        <w:t>Низкая оперативность – при большом количестве заявок (более 10 в день) возникает очередь, что затягивает процесс закупки на 1–2 дня.</w:t>
      </w:r>
    </w:p>
    <w:p>
      <w:pPr>
        <w:pStyle w:val="Normal"/>
        <w:numPr>
          <w:ilvl w:val="0"/>
          <w:numId w:val="19"/>
        </w:numPr>
        <w:spacing w:lineRule="auto" w:line="360" w:before="0" w:after="0"/>
        <w:jc w:val="both"/>
        <w:rPr/>
      </w:pPr>
      <w:r>
        <w:rPr>
          <w:rFonts w:eastAsia="Times New Roman" w:cs="Times New Roman"/>
          <w:sz w:val="28"/>
          <w:szCs w:val="28"/>
          <w:lang w:eastAsia="ru-RU"/>
        </w:rPr>
        <w:t>Субъективность – разные менеджеры могут по-разному интерпретировать одни и те же данные, отсутствуют единые весовые коэффициенты.</w:t>
      </w:r>
    </w:p>
    <w:p>
      <w:pPr>
        <w:pStyle w:val="Normal"/>
        <w:numPr>
          <w:ilvl w:val="0"/>
          <w:numId w:val="19"/>
        </w:numPr>
        <w:spacing w:lineRule="auto" w:line="360" w:before="0" w:after="0"/>
        <w:jc w:val="both"/>
        <w:rPr/>
      </w:pPr>
      <w:r>
        <w:rPr>
          <w:rFonts w:eastAsia="Times New Roman" w:cs="Times New Roman"/>
          <w:sz w:val="28"/>
          <w:szCs w:val="28"/>
          <w:lang w:eastAsia="ru-RU"/>
        </w:rPr>
        <w:t>Риск человеческой ошибки – забыли проверить один из реестров, неверно истолковали арбитражное дело.</w:t>
      </w:r>
    </w:p>
    <w:p>
      <w:pPr>
        <w:pStyle w:val="Normal"/>
        <w:numPr>
          <w:ilvl w:val="0"/>
          <w:numId w:val="19"/>
        </w:numPr>
        <w:spacing w:lineRule="auto" w:line="360" w:before="0" w:after="0"/>
        <w:jc w:val="both"/>
        <w:rPr/>
      </w:pPr>
      <w:r>
        <w:rPr>
          <w:rFonts w:eastAsia="Times New Roman" w:cs="Times New Roman"/>
          <w:sz w:val="28"/>
          <w:szCs w:val="28"/>
          <w:lang w:eastAsia="ru-RU"/>
        </w:rPr>
        <w:t>Отсутствие истории и аналитики – накопленные проверки не используются для машинного обучения и выявления системных рисков.</w:t>
      </w:r>
    </w:p>
    <w:p>
      <w:pPr>
        <w:pStyle w:val="Normal"/>
        <w:numPr>
          <w:ilvl w:val="0"/>
          <w:numId w:val="19"/>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Нет мониторинга изменений – после заключения договора компания не отслеживает ухудшение состояния контрагента (например, банкротство, массовая задолженность).</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Предложения по автоматизации:</w:t>
      </w:r>
    </w:p>
    <w:p>
      <w:pPr>
        <w:pStyle w:val="Normal"/>
        <w:numPr>
          <w:ilvl w:val="0"/>
          <w:numId w:val="20"/>
        </w:numPr>
        <w:spacing w:lineRule="auto" w:line="360" w:before="0" w:after="0"/>
        <w:jc w:val="both"/>
        <w:rPr/>
      </w:pPr>
      <w:r>
        <w:rPr>
          <w:rFonts w:eastAsia="Times New Roman" w:cs="Times New Roman"/>
          <w:sz w:val="28"/>
          <w:szCs w:val="28"/>
          <w:lang w:eastAsia="ru-RU"/>
        </w:rPr>
        <w:t>Внедрить автоматизированный сбор данных из внешних API.</w:t>
      </w:r>
    </w:p>
    <w:p>
      <w:pPr>
        <w:pStyle w:val="Normal"/>
        <w:numPr>
          <w:ilvl w:val="0"/>
          <w:numId w:val="20"/>
        </w:numPr>
        <w:spacing w:lineRule="auto" w:line="360" w:before="0" w:after="0"/>
        <w:jc w:val="both"/>
        <w:rPr/>
      </w:pPr>
      <w:r>
        <w:rPr>
          <w:rFonts w:eastAsia="Times New Roman" w:cs="Times New Roman"/>
          <w:sz w:val="28"/>
          <w:szCs w:val="28"/>
          <w:lang w:eastAsia="ru-RU"/>
        </w:rPr>
        <w:t>Разработать модель машинного обучения, которая на основе исторических данных (успешные и неудачные сделки) будет вычислять интегральный балл надежности для каждого нового контрагента.</w:t>
      </w:r>
    </w:p>
    <w:p>
      <w:pPr>
        <w:pStyle w:val="Normal"/>
        <w:numPr>
          <w:ilvl w:val="0"/>
          <w:numId w:val="20"/>
        </w:numPr>
        <w:spacing w:lineRule="auto" w:line="360" w:before="0" w:after="0"/>
        <w:jc w:val="both"/>
        <w:rPr/>
      </w:pPr>
      <w:r>
        <w:rPr>
          <w:rFonts w:eastAsia="Times New Roman" w:cs="Times New Roman"/>
          <w:sz w:val="28"/>
          <w:szCs w:val="28"/>
          <w:lang w:eastAsia="ru-RU"/>
        </w:rPr>
        <w:t>Создать сервис-посредник (на Python + FastAPI), который будет получать запрос из 1С, обращаться к API, передавать данные в ML-модель и возвращать в 1С структурированное заключение (рекомендация, факторы риска, пороговые предупреждения).</w:t>
      </w:r>
    </w:p>
    <w:p>
      <w:pPr>
        <w:pStyle w:val="Normal"/>
        <w:numPr>
          <w:ilvl w:val="0"/>
          <w:numId w:val="20"/>
        </w:numPr>
        <w:spacing w:lineRule="auto" w:line="360" w:before="0" w:after="0"/>
        <w:jc w:val="both"/>
        <w:rPr/>
      </w:pPr>
      <w:r>
        <w:rPr>
          <w:rFonts w:eastAsia="Times New Roman" w:cs="Times New Roman"/>
          <w:sz w:val="28"/>
          <w:szCs w:val="28"/>
          <w:lang w:eastAsia="ru-RU"/>
        </w:rPr>
        <w:t>Организовать в 1С форму для быстрой проверки контрагента по ИНН с выводом результата в виде цветового индикатора (зеленый – надежен, желтый – средний риск, красный – высокий риск) и детализированным отчетом.</w:t>
      </w:r>
    </w:p>
    <w:p>
      <w:pPr>
        <w:pStyle w:val="Normal"/>
        <w:numPr>
          <w:ilvl w:val="0"/>
          <w:numId w:val="20"/>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Настроить автоматический ежемесячный пересчет рейтинга уже работающих поставщиков и уведомление менеджеров об изменениях.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Heading2"/>
        <w:ind w:hanging="0" w:left="0"/>
        <w:rPr/>
      </w:pPr>
      <w:bookmarkStart w:id="17" w:name="__RefHeading___Toc22183_2829662935"/>
      <w:bookmarkEnd w:id="17"/>
      <w:r>
        <w:rPr>
          <w:lang w:val="en-US"/>
        </w:rPr>
        <w:t xml:space="preserve">1.7 </w:t>
      </w:r>
      <w:bookmarkStart w:id="18" w:name="_Toc515886990"/>
      <w:bookmarkStart w:id="19" w:name="_Toc253151518"/>
      <w:r>
        <w:rPr/>
        <w:t xml:space="preserve">Обзор существующих решений для автоматизации </w:t>
      </w:r>
      <w:bookmarkEnd w:id="19"/>
      <w:r>
        <w:rPr/>
        <w:t>бизнес-процесса</w:t>
      </w:r>
      <w:bookmarkEnd w:id="18"/>
    </w:p>
    <w:p>
      <w:pPr>
        <w:pStyle w:val="Normal"/>
        <w:spacing w:lineRule="auto" w:line="360" w:before="0" w:after="0"/>
        <w:ind w:firstLine="992"/>
        <w:jc w:val="both"/>
        <w:rPr>
          <w:rFonts w:ascii="Times New Roman" w:hAnsi="Times New Roman" w:cs="Times New Roman"/>
          <w:sz w:val="28"/>
          <w:szCs w:val="28"/>
        </w:rPr>
      </w:pPr>
      <w:r>
        <w:rPr>
          <w:rFonts w:cs="Times New Roman"/>
          <w:sz w:val="28"/>
          <w:szCs w:val="28"/>
          <w:lang w:val="en-US"/>
        </w:rPr>
        <w:t>На</w:t>
      </w:r>
      <w:r>
        <w:rPr>
          <w:rFonts w:cs="Times New Roman"/>
          <w:sz w:val="28"/>
          <w:szCs w:val="28"/>
        </w:rPr>
        <w:t xml:space="preserve"> рынке представлено несколько типов решений для проверки </w:t>
      </w:r>
      <w:r>
        <w:rPr>
          <w:rFonts w:cs="Times New Roman"/>
          <w:sz w:val="28"/>
          <w:szCs w:val="28"/>
          <w:lang w:val="en-US"/>
        </w:rPr>
        <w:t>контрагентов (таблиц</w:t>
      </w:r>
      <w:r>
        <w:rPr>
          <w:rFonts w:cs="Times New Roman"/>
          <w:sz w:val="28"/>
          <w:szCs w:val="28"/>
          <w:lang w:val="ru-RU"/>
        </w:rPr>
        <w:t>а</w:t>
      </w:r>
      <w:r>
        <w:rPr>
          <w:rFonts w:cs="Times New Roman"/>
          <w:sz w:val="28"/>
          <w:szCs w:val="28"/>
        </w:rPr>
        <w:t xml:space="preserve"> 1.1)</w:t>
      </w:r>
    </w:p>
    <w:p>
      <w:pPr>
        <w:pStyle w:val="3"/>
        <w:keepNext w:val="false"/>
        <w:tabs>
          <w:tab w:val="clear" w:pos="708"/>
          <w:tab w:val="left" w:pos="993" w:leader="none"/>
        </w:tabs>
        <w:spacing w:lineRule="auto" w:line="360"/>
        <w:ind w:firstLine="709"/>
        <w:jc w:val="right"/>
        <w:rPr>
          <w:b w:val="false"/>
          <w:bCs w:val="false"/>
        </w:rPr>
      </w:pPr>
      <w:r>
        <w:rPr>
          <w:b w:val="false"/>
          <w:bCs w:val="false"/>
        </w:rPr>
        <w:t>Таблица 1.1</w:t>
      </w:r>
    </w:p>
    <w:p>
      <w:pPr>
        <w:pStyle w:val="3"/>
        <w:keepNext w:val="false"/>
        <w:tabs>
          <w:tab w:val="clear" w:pos="708"/>
          <w:tab w:val="left" w:pos="993" w:leader="none"/>
        </w:tabs>
        <w:spacing w:lineRule="auto" w:line="360"/>
        <w:ind w:firstLine="709"/>
        <w:rPr>
          <w:b w:val="false"/>
        </w:rPr>
      </w:pPr>
      <w:r>
        <w:rPr>
          <w:b w:val="false"/>
        </w:rPr>
        <w:t>Сравнение существующих программных продуктов</w:t>
      </w:r>
    </w:p>
    <w:tbl>
      <w:tblPr>
        <w:tblW w:w="9505" w:type="dxa"/>
        <w:jc w:val="left"/>
        <w:tblInd w:w="-113" w:type="dxa"/>
        <w:tblLayout w:type="fixed"/>
        <w:tblCellMar>
          <w:top w:w="0" w:type="dxa"/>
          <w:left w:w="108" w:type="dxa"/>
          <w:bottom w:w="0" w:type="dxa"/>
          <w:right w:w="108" w:type="dxa"/>
        </w:tblCellMar>
      </w:tblPr>
      <w:tblGrid>
        <w:gridCol w:w="1958"/>
        <w:gridCol w:w="1959"/>
        <w:gridCol w:w="1957"/>
        <w:gridCol w:w="1685"/>
        <w:gridCol w:w="1946"/>
      </w:tblGrid>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Название системы \</w:t>
            </w:r>
          </w:p>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Критерии</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sz w:val="24"/>
                <w:szCs w:val="24"/>
              </w:rPr>
            </w:pPr>
            <w:r>
              <w:rPr>
                <w:rFonts w:eastAsia="Times New Roman" w:cs="Times New Roman"/>
                <w:kern w:val="0"/>
                <w:sz w:val="24"/>
                <w:szCs w:val="24"/>
                <w:lang w:val="ru-RU" w:eastAsia="ru-RU" w:bidi="ar-SA"/>
              </w:rPr>
              <w:t>PLUSSELL</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sz w:val="24"/>
                <w:szCs w:val="24"/>
              </w:rPr>
            </w:pPr>
            <w:r>
              <w:rPr>
                <w:rFonts w:eastAsia="Times New Roman" w:cs="Times New Roman"/>
                <w:kern w:val="0"/>
                <w:sz w:val="24"/>
                <w:szCs w:val="24"/>
                <w:lang w:val="ru-RU" w:eastAsia="ru-RU" w:bidi="ar-SA"/>
              </w:rPr>
              <w:t>SAP Ariba</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Calibri" w:hAnsi="Calibri"/>
                <w:sz w:val="24"/>
                <w:szCs w:val="24"/>
              </w:rPr>
            </w:pPr>
            <w:r>
              <w:rPr>
                <w:rFonts w:eastAsia="Times New Roman" w:cs="Times New Roman"/>
                <w:kern w:val="0"/>
                <w:sz w:val="24"/>
                <w:szCs w:val="24"/>
                <w:lang w:val="ru-RU" w:eastAsia="ru-RU" w:bidi="ar-SA"/>
              </w:rPr>
              <w:t>iTender SRM</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Разработка собственной информационной системы</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1</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2</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3</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4</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5</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Стоимость поставки ПО, руб</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62 100.00</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128 800.00</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17 260.00</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Не требуется</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Масштабность внедрения</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Крупные оптовые компании и розничные магазины</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Оптовые компании и розничные магазины</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Мелкие розничные магазины</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Мелкие розничные магазины</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Решение поставленных задач</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Среднее</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Полное</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Низкое</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Полное</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Возможность оценки поставщиков</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r>
    </w:tbl>
    <w:p>
      <w:pPr>
        <w:pStyle w:val="Normal"/>
        <w:widowControl w:val="false"/>
        <w:tabs>
          <w:tab w:val="clear" w:pos="708"/>
          <w:tab w:val="left" w:pos="993" w:leader="none"/>
        </w:tabs>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hd w:val="clear" w:fill="FFFFFF"/>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Как видно из таблицы, создание собственной информационной системы потребует существенно меньших затрат по сравнению с покупкой готового продукта, не вызовет необходимости в масштабном обучении персонала, обеспечит полную наглядность и в полной мере закроет все поставленные задачи. Совокупность этих факторов делает вариант самостоятельной разработки наиболее предпочтительным для автоматизации данного бизнес-процесса.</w:t>
      </w:r>
    </w:p>
    <w:p>
      <w:pPr>
        <w:pStyle w:val="Normal"/>
        <w:shd w:val="clear" w:fill="FFFFFF"/>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Такой программный продукт позволит повысить производительность труда сотрудников, снизить трудоёмкость при формировании отчётности и осуществлении контроля, а также сократить время доступа к необходимым данным. В связи с этим принято решение о разработке собственной информационной системы, способной устранить выявленные недостатки и повысить эффективность работы персонала предприятия.</w:t>
      </w:r>
    </w:p>
    <w:p>
      <w:pPr>
        <w:pStyle w:val="Normal"/>
        <w:rPr>
          <w:rFonts w:ascii="Times New Roman" w:hAnsi="Times New Roman" w:cs="Times New Roman"/>
          <w:sz w:val="28"/>
          <w:szCs w:val="28"/>
        </w:rPr>
      </w:pPr>
      <w:r>
        <w:rPr>
          <w:rFonts w:cs="Times New Roman"/>
          <w:sz w:val="28"/>
          <w:szCs w:val="28"/>
        </w:rPr>
      </w:r>
    </w:p>
    <w:p>
      <w:pPr>
        <w:pStyle w:val="Heading2"/>
        <w:ind w:hanging="0" w:left="0"/>
        <w:rPr/>
      </w:pPr>
      <w:bookmarkStart w:id="20" w:name="__RefHeading___Toc22185_2829662935"/>
      <w:bookmarkEnd w:id="20"/>
      <w:r>
        <w:rPr>
          <w:lang w:val="en-US"/>
        </w:rPr>
        <w:t xml:space="preserve">1.8 </w:t>
      </w:r>
      <w:bookmarkStart w:id="21" w:name="_Toc509663655"/>
      <w:bookmarkStart w:id="22" w:name="_Toc515886991"/>
      <w:bookmarkStart w:id="23" w:name="_Toc510113486"/>
      <w:bookmarkStart w:id="24" w:name="_Toc484799749"/>
      <w:bookmarkStart w:id="25" w:name="_Toc509264823"/>
      <w:bookmarkStart w:id="26" w:name="_Toc509339939"/>
      <w:r>
        <w:rPr/>
        <w:t>Обоснование выбора среды для разработки информационной системы</w:t>
      </w:r>
      <w:bookmarkEnd w:id="21"/>
      <w:bookmarkEnd w:id="22"/>
      <w:bookmarkEnd w:id="23"/>
      <w:bookmarkEnd w:id="24"/>
      <w:bookmarkEnd w:id="25"/>
      <w:bookmarkEnd w:id="26"/>
    </w:p>
    <w:p>
      <w:pPr>
        <w:pStyle w:val="Normal"/>
        <w:spacing w:lineRule="auto" w:line="360" w:before="0" w:after="0"/>
        <w:ind w:firstLine="709" w:left="0"/>
        <w:jc w:val="both"/>
        <w:rPr>
          <w:rFonts w:ascii="Times New Roman" w:hAnsi="Times New Roman"/>
        </w:rPr>
      </w:pPr>
      <w:bookmarkStart w:id="27" w:name="__RefHeading___Toc2880_4046097046"/>
      <w:bookmarkEnd w:id="27"/>
      <w:r>
        <w:rPr>
          <w:rFonts w:cs="Times New Roman"/>
          <w:color w:val="000000"/>
          <w:sz w:val="28"/>
          <w:szCs w:val="28"/>
          <w:shd w:fill="FFFFFF" w:val="clear"/>
        </w:rPr>
        <w:t>Создаваемая информационная система должна соответствовать уровню современных веб-приложений, обладать интуитивным и понятным интерфейсом, при этом обеспечивать высокую производительность при обработке данных и работе с моделями машинного обучения. Система должна быть масштабируемой, легко интегрируемой с внешними сервисами и поддерживать возможность дальнейшего расширения функционала без значительных переработок архитектуры.</w:t>
      </w:r>
    </w:p>
    <w:p>
      <w:pPr>
        <w:pStyle w:val="Normal"/>
        <w:spacing w:lineRule="auto" w:line="360" w:before="0" w:after="0"/>
        <w:ind w:firstLine="709" w:left="0"/>
        <w:jc w:val="both"/>
        <w:rPr>
          <w:rFonts w:ascii="Times New Roman" w:hAnsi="Times New Roman"/>
        </w:rPr>
      </w:pPr>
      <w:bookmarkStart w:id="28" w:name="__RefHeading___Toc2882_4046097046"/>
      <w:bookmarkEnd w:id="28"/>
      <w:r>
        <w:rPr>
          <w:rFonts w:cs="Times New Roman"/>
          <w:color w:val="000000"/>
          <w:sz w:val="28"/>
          <w:szCs w:val="28"/>
          <w:shd w:fill="FFFFFF" w:val="clear"/>
        </w:rPr>
        <w:t>При выборе технологического стека для разработки были рассмотрены следующие варианты: классические десктоп-решения на базе Borland Delphi, системы управления базами данных (СУБД) с встроенной логикой (MS Access, Firebird SQL), платформы для бизнес-приложений (1С:Предприятие 8.3), а также современные веб-ориентированные стек на Python с использованием нейронных сетей и FastAPI.</w:t>
      </w:r>
    </w:p>
    <w:p>
      <w:pPr>
        <w:pStyle w:val="Normal"/>
        <w:spacing w:lineRule="auto" w:line="360" w:before="0" w:after="0"/>
        <w:ind w:firstLine="709" w:left="0"/>
        <w:jc w:val="both"/>
        <w:rPr>
          <w:rFonts w:ascii="Times New Roman" w:hAnsi="Times New Roman"/>
        </w:rPr>
      </w:pPr>
      <w:bookmarkStart w:id="29" w:name="__RefHeading___Toc2886_4046097046"/>
      <w:bookmarkEnd w:id="29"/>
      <w:r>
        <w:rPr>
          <w:rFonts w:cs="Times New Roman"/>
          <w:color w:val="000000"/>
          <w:sz w:val="28"/>
          <w:szCs w:val="28"/>
          <w:shd w:fill="FFFFFF" w:val="clear"/>
        </w:rPr>
        <w:t>MS Access как СУБД с элементами разработки подходит для небольших систем с ограниченной нагрузкой. Недостатками являются слабая производительность при работе с большими объемами данных, отсутствие встроенной поддержки нейросетевых моделей и ограниченные возможности по веб-интеграции.</w:t>
      </w:r>
    </w:p>
    <w:p>
      <w:pPr>
        <w:pStyle w:val="Normal"/>
        <w:spacing w:lineRule="auto" w:line="360" w:before="0" w:after="0"/>
        <w:ind w:firstLine="709" w:left="0"/>
        <w:jc w:val="both"/>
        <w:rPr>
          <w:rFonts w:ascii="Times New Roman" w:hAnsi="Times New Roman"/>
        </w:rPr>
      </w:pPr>
      <w:bookmarkStart w:id="30" w:name="__RefHeading___Toc2888_4046097046"/>
      <w:bookmarkEnd w:id="30"/>
      <w:r>
        <w:rPr>
          <w:rFonts w:cs="Times New Roman"/>
          <w:color w:val="000000"/>
          <w:sz w:val="28"/>
          <w:szCs w:val="28"/>
          <w:shd w:fill="FFFFFF" w:val="clear"/>
        </w:rPr>
        <w:t>Firebird SQL — свободная СУБД с многоверсионной архитектурой, подходящая для хранения данных. Однако для реализации интеллектуальной системы оценки рисков требуется не только хранение, но и сложная обработка данных с использованием предобученных моделей, что выходит за рамки возможностей Firebird.</w:t>
      </w:r>
    </w:p>
    <w:p>
      <w:pPr>
        <w:pStyle w:val="Normal"/>
        <w:spacing w:lineRule="auto" w:line="360" w:before="0" w:after="0"/>
        <w:ind w:firstLine="709" w:left="0"/>
        <w:jc w:val="both"/>
        <w:rPr>
          <w:rFonts w:ascii="Times New Roman" w:hAnsi="Times New Roman"/>
        </w:rPr>
      </w:pPr>
      <w:bookmarkStart w:id="31" w:name="__RefHeading___Toc2890_4046097046"/>
      <w:bookmarkEnd w:id="31"/>
      <w:r>
        <w:rPr>
          <w:rFonts w:cs="Times New Roman"/>
          <w:color w:val="000000"/>
          <w:sz w:val="28"/>
          <w:szCs w:val="28"/>
          <w:shd w:fill="FFFFFF" w:val="clear"/>
        </w:rPr>
        <w:t>1С:Предприятие 8.3 — мощная платформа для разработки бизнес-приложений с русскоязычным интерфейсом и встроенным языком программирования. Она обеспечивает удобные средства для учета и отчетности, но обладает ограниченными возможностями для реализации и эксплуатации сложных нейронных сетей и алгоритмов машинного обучения, которые требуют интеграции со специализированными Python-библиотеками (TensorFlow, PyTorch, Scikit-learn).</w:t>
      </w:r>
    </w:p>
    <w:p>
      <w:pPr>
        <w:pStyle w:val="Normal"/>
        <w:spacing w:lineRule="auto" w:line="360" w:before="0" w:after="0"/>
        <w:ind w:firstLine="709" w:left="0"/>
        <w:jc w:val="both"/>
        <w:rPr>
          <w:rFonts w:ascii="Times New Roman" w:hAnsi="Times New Roman"/>
        </w:rPr>
      </w:pPr>
      <w:bookmarkStart w:id="32" w:name="__RefHeading___Toc2892_4046097046"/>
      <w:bookmarkEnd w:id="32"/>
      <w:r>
        <w:rPr>
          <w:rFonts w:cs="Times New Roman"/>
          <w:color w:val="000000"/>
          <w:sz w:val="28"/>
          <w:szCs w:val="28"/>
          <w:shd w:fill="FFFFFF" w:val="clear"/>
        </w:rPr>
        <w:t>Для реализации нейросетевой модели также были проанализированы различные библиотеки машинного обучения:</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33" w:name="__RefHeading___Toc2894_4046097046"/>
      <w:bookmarkEnd w:id="33"/>
      <w:r>
        <w:rPr>
          <w:rFonts w:cs="Times New Roman"/>
          <w:color w:val="000000"/>
          <w:sz w:val="28"/>
          <w:szCs w:val="28"/>
          <w:shd w:fill="FFFFFF" w:val="clear"/>
        </w:rPr>
        <w:t>TensorFlow/Keras — фреймворк глубокого обучения, предлагающий высокоуровневые API для построения сложных нейронных сетей. Однако для задачи классификации рисков поставщиков, работающей преимущественно с табличными данными, избыточная сложность глубоких нейронных сетей не требуется. Более того, TensorFlow требует значительных вычислительных ресурсов и имеет более сложный процесс развертывания в производственной среде по сравнению с ансамблевыми методами.</w:t>
      </w:r>
    </w:p>
    <w:p>
      <w:pPr>
        <w:pStyle w:val="Normal"/>
        <w:spacing w:lineRule="auto" w:line="360" w:before="0" w:after="0"/>
        <w:ind w:firstLine="709" w:left="0"/>
        <w:jc w:val="both"/>
        <w:rPr>
          <w:rFonts w:ascii="Times New Roman" w:hAnsi="Times New Roman"/>
        </w:rPr>
      </w:pPr>
      <w:bookmarkStart w:id="34" w:name="__RefHeading___Toc2896_4046097046"/>
      <w:bookmarkEnd w:id="34"/>
      <w:r>
        <w:rPr>
          <w:rFonts w:cs="Times New Roman"/>
          <w:color w:val="000000"/>
          <w:sz w:val="28"/>
          <w:szCs w:val="28"/>
          <w:shd w:fill="FFFFFF" w:val="clear"/>
        </w:rPr>
        <w:t>PyTorch — другой популярный фреймворк для глубокого обучения, отличающийся динамическим графом вычислений и удобством отладки. Как и TensorFlow, PyTorch ориентирован на задачи компьютерного зрения и обработки естественного языка, где требуется работа с изображениями и текстами. Для структурированных финансовых данных классические ансамблевые методы часто показывают сравнимую или лучшую производительность при меньших вычислительных затратах.</w:t>
      </w:r>
    </w:p>
    <w:p>
      <w:pPr>
        <w:pStyle w:val="Normal"/>
        <w:spacing w:lineRule="auto" w:line="360" w:before="0" w:after="0"/>
        <w:ind w:firstLine="709" w:left="0"/>
        <w:jc w:val="both"/>
        <w:rPr>
          <w:rFonts w:ascii="Times New Roman" w:hAnsi="Times New Roman"/>
        </w:rPr>
      </w:pPr>
      <w:bookmarkStart w:id="35" w:name="__RefHeading___Toc2898_4046097046"/>
      <w:bookmarkEnd w:id="35"/>
      <w:r>
        <w:rPr>
          <w:rFonts w:cs="Times New Roman"/>
          <w:color w:val="000000"/>
          <w:sz w:val="28"/>
          <w:szCs w:val="28"/>
          <w:shd w:fill="FFFFFF" w:val="clear"/>
        </w:rPr>
        <w:t>CatBoost и LightGBM — современные реализации градиентного бустинга, конкурирующие с XGBoost. В ходе экспериментов XGBoost показал лучшую стабильность и интерпретируемость результатов на нашем наборе данных. Кроме того, XGBoost имеет более зрелую экосистему и лучше интегрируется с ансамблевыми подходами StackingClassifier из scikit-learn.</w:t>
      </w:r>
    </w:p>
    <w:p>
      <w:pPr>
        <w:pStyle w:val="Normal"/>
        <w:spacing w:lineRule="auto" w:line="360" w:before="0" w:after="0"/>
        <w:ind w:firstLine="709" w:left="0"/>
        <w:jc w:val="both"/>
        <w:rPr>
          <w:rFonts w:ascii="Times New Roman" w:hAnsi="Times New Roman"/>
        </w:rPr>
      </w:pPr>
      <w:bookmarkStart w:id="36" w:name="__RefHeading___Toc2900_4046097046"/>
      <w:bookmarkEnd w:id="36"/>
      <w:r>
        <w:rPr>
          <w:rFonts w:cs="Times New Roman"/>
          <w:color w:val="000000"/>
          <w:sz w:val="28"/>
          <w:szCs w:val="28"/>
          <w:shd w:fill="FFFFFF" w:val="clear"/>
        </w:rPr>
        <w:t>FastAPI — современный высокопроизводительный фреймворк для создания API на Python. По сравнению с Flask, FastAPI предлагает встроенную поддержку асинхронных операций, автоматическую генерацию документации OpenAPI (Swagger) на основе аннотаций типов, а также автоматическую валидацию данных через интеграцию с Pydantic.</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37" w:name="__RefHeading___Toc2902_4046097046"/>
      <w:bookmarkEnd w:id="37"/>
      <w:r>
        <w:rPr>
          <w:rFonts w:cs="Times New Roman"/>
          <w:color w:val="000000"/>
          <w:sz w:val="28"/>
          <w:szCs w:val="28"/>
          <w:shd w:fill="FFFFFF" w:val="clear"/>
        </w:rPr>
        <w:t>Flask — минималистичный фреймворк для создания веб-приложений и API. Хотя Flask проще в освоении, он требует ручного конфигурирования многих компонентов, не имеет встроенной поддержки асинхронности и автоматической генерации документации OpenAPI, что усложняет разработку и поддержку промышленного решения.</w:t>
      </w:r>
    </w:p>
    <w:p>
      <w:pPr>
        <w:pStyle w:val="Normal"/>
        <w:spacing w:lineRule="auto" w:line="360" w:before="0" w:after="0"/>
        <w:ind w:firstLine="709" w:left="0"/>
        <w:jc w:val="both"/>
        <w:rPr>
          <w:rFonts w:ascii="Times New Roman" w:hAnsi="Times New Roman"/>
        </w:rPr>
      </w:pPr>
      <w:bookmarkStart w:id="38" w:name="__RefHeading___Toc2904_4046097046"/>
      <w:bookmarkEnd w:id="38"/>
      <w:r>
        <w:rPr>
          <w:rFonts w:cs="Times New Roman"/>
          <w:color w:val="000000"/>
          <w:sz w:val="28"/>
          <w:szCs w:val="28"/>
          <w:shd w:fill="FFFFFF" w:val="clear"/>
        </w:rPr>
        <w:t xml:space="preserve">Django/Django REST Framework (DRF) — полноценный </w:t>
      </w:r>
      <w:r>
        <w:rPr>
          <w:rFonts w:cs="Times New Roman"/>
          <w:color w:val="000000"/>
          <w:sz w:val="28"/>
          <w:szCs w:val="28"/>
          <w:shd w:fill="FFFFFF" w:val="clear"/>
          <w:lang w:val="en-US"/>
        </w:rPr>
        <w:t xml:space="preserve">Python </w:t>
      </w:r>
      <w:r>
        <w:rPr>
          <w:rFonts w:cs="Times New Roman"/>
          <w:color w:val="000000"/>
          <w:sz w:val="28"/>
          <w:szCs w:val="28"/>
          <w:shd w:fill="FFFFFF" w:val="clear"/>
        </w:rPr>
        <w:t xml:space="preserve">фреймворк. DRF предоставляет богатый набор инструментов для создания REST API, но обладает избыточной сложностью для нашей задачи, где требуется только один эндпоинт для предсказаний. Кроме того, Django имеет более высокие накладные расходы по сравнению с остальными </w:t>
      </w:r>
      <w:r>
        <w:rPr>
          <w:rFonts w:cs="Times New Roman"/>
          <w:color w:val="000000"/>
          <w:sz w:val="28"/>
          <w:szCs w:val="28"/>
          <w:shd w:fill="FFFFFF" w:val="clear"/>
          <w:lang w:val="en-US"/>
        </w:rPr>
        <w:t xml:space="preserve">Python </w:t>
      </w:r>
      <w:r>
        <w:rPr>
          <w:rFonts w:cs="Times New Roman"/>
          <w:color w:val="000000"/>
          <w:sz w:val="28"/>
          <w:szCs w:val="28"/>
          <w:shd w:fill="FFFFFF" w:val="clear"/>
          <w:lang w:val="ru-RU"/>
        </w:rPr>
        <w:t>фреймворками</w:t>
      </w:r>
      <w:r>
        <w:rPr>
          <w:rFonts w:cs="Times New Roman"/>
          <w:color w:val="000000"/>
          <w:sz w:val="28"/>
          <w:szCs w:val="28"/>
          <w:shd w:fill="FFFFFF" w:val="clear"/>
        </w:rPr>
        <w:t>.</w:t>
      </w:r>
    </w:p>
    <w:p>
      <w:pPr>
        <w:pStyle w:val="Normal"/>
        <w:spacing w:lineRule="auto" w:line="360" w:before="0" w:after="0"/>
        <w:ind w:hanging="0" w:left="0"/>
        <w:jc w:val="both"/>
        <w:rPr>
          <w:rFonts w:ascii="Times New Roman" w:hAnsi="Times New Roman"/>
        </w:rPr>
      </w:pPr>
      <w:bookmarkStart w:id="39" w:name="__RefHeading___Toc2906_4046097046"/>
      <w:bookmarkEnd w:id="39"/>
      <w:r>
        <w:rPr>
          <w:rFonts w:cs="Times New Roman"/>
          <w:color w:val="000000"/>
          <w:sz w:val="28"/>
          <w:szCs w:val="28"/>
          <w:shd w:fill="FFFFFF" w:val="clear"/>
        </w:rPr>
        <w:tab/>
        <w:t>В контексте разработки интеллектуальной системы оценки рисков поставщиков, где ключевым компонентом является модель машинного обучения, обученная на исторических данных, наиболее целесообразным является выбор Python в качестве основного языка разработки. Python обладает следующими преимуществами:</w:t>
      </w:r>
    </w:p>
    <w:p>
      <w:pPr>
        <w:pStyle w:val="Normal"/>
        <w:numPr>
          <w:ilvl w:val="0"/>
          <w:numId w:val="2"/>
        </w:numPr>
        <w:spacing w:lineRule="auto" w:line="360" w:before="0" w:after="0"/>
        <w:jc w:val="both"/>
        <w:rPr>
          <w:rFonts w:ascii="Times New Roman" w:hAnsi="Times New Roman" w:cs="Times New Roman"/>
          <w:color w:val="000000"/>
          <w:sz w:val="28"/>
          <w:szCs w:val="28"/>
          <w:shd w:fill="FFFFFF" w:val="clear"/>
        </w:rPr>
      </w:pPr>
      <w:bookmarkStart w:id="40" w:name="__RefHeading___Toc2908_4046097046"/>
      <w:bookmarkEnd w:id="40"/>
      <w:r>
        <w:rPr>
          <w:rFonts w:cs="Times New Roman"/>
          <w:color w:val="000000"/>
          <w:sz w:val="28"/>
          <w:szCs w:val="28"/>
          <w:shd w:fill="FFFFFF" w:val="clear"/>
        </w:rPr>
        <w:t>Богатый набор библиотек для машинного обучения (Scikit-learn, XGBoost, TensorFlow, Keras) и обработки данных (Pandas, NumPy).</w:t>
      </w:r>
    </w:p>
    <w:p>
      <w:pPr>
        <w:pStyle w:val="Normal"/>
        <w:numPr>
          <w:ilvl w:val="0"/>
          <w:numId w:val="2"/>
        </w:numPr>
        <w:spacing w:lineRule="auto" w:line="360" w:before="0" w:after="0"/>
        <w:jc w:val="both"/>
        <w:rPr>
          <w:rFonts w:ascii="Times New Roman" w:hAnsi="Times New Roman" w:cs="Times New Roman"/>
          <w:color w:val="000000"/>
          <w:sz w:val="28"/>
          <w:szCs w:val="28"/>
          <w:shd w:fill="FFFFFF" w:val="clear"/>
        </w:rPr>
      </w:pPr>
      <w:bookmarkStart w:id="41" w:name="__RefHeading___Toc2910_4046097046"/>
      <w:bookmarkEnd w:id="41"/>
      <w:r>
        <w:rPr>
          <w:rFonts w:cs="Times New Roman"/>
          <w:color w:val="000000"/>
          <w:sz w:val="28"/>
          <w:szCs w:val="28"/>
          <w:shd w:fill="FFFFFF" w:val="clear"/>
        </w:rPr>
        <w:t>Поддержка создания высокопроизводительных веб-API с помощью FastAPI, что позволяет легко интегрировать модель в информационную систему и предоставлять к ней доступ через HTTP-запросы.</w:t>
      </w:r>
    </w:p>
    <w:p>
      <w:pPr>
        <w:pStyle w:val="Normal"/>
        <w:numPr>
          <w:ilvl w:val="0"/>
          <w:numId w:val="2"/>
        </w:numPr>
        <w:spacing w:lineRule="auto" w:line="360" w:before="0" w:after="0"/>
        <w:jc w:val="both"/>
        <w:rPr>
          <w:rFonts w:ascii="Times New Roman" w:hAnsi="Times New Roman" w:cs="Times New Roman"/>
          <w:color w:val="000000"/>
          <w:sz w:val="28"/>
          <w:szCs w:val="28"/>
          <w:shd w:fill="FFFFFF" w:val="clear"/>
        </w:rPr>
      </w:pPr>
      <w:bookmarkStart w:id="42" w:name="__RefHeading___Toc2912_4046097046"/>
      <w:bookmarkEnd w:id="42"/>
      <w:r>
        <w:rPr>
          <w:rFonts w:cs="Times New Roman"/>
          <w:color w:val="000000"/>
          <w:sz w:val="28"/>
          <w:szCs w:val="28"/>
          <w:shd w:fill="FFFFFF" w:val="clear"/>
        </w:rPr>
        <w:t>Кроссплатформенность и возможность развертывания на различных операционных системах и облачных платформах.</w:t>
      </w:r>
    </w:p>
    <w:p>
      <w:pPr>
        <w:pStyle w:val="Normal"/>
        <w:spacing w:lineRule="auto" w:line="360" w:before="0" w:after="0"/>
        <w:ind w:firstLine="709" w:left="0"/>
        <w:jc w:val="both"/>
        <w:rPr>
          <w:rFonts w:ascii="Times New Roman" w:hAnsi="Times New Roman"/>
        </w:rPr>
      </w:pPr>
      <w:bookmarkStart w:id="43" w:name="__RefHeading___Toc2914_4046097046"/>
      <w:bookmarkEnd w:id="43"/>
      <w:r>
        <w:rPr>
          <w:rFonts w:cs="Times New Roman"/>
          <w:color w:val="000000"/>
          <w:sz w:val="28"/>
          <w:szCs w:val="28"/>
          <w:shd w:fill="FFFFFF" w:val="clear"/>
        </w:rPr>
        <w:t>Окончательное решение: Для реализации нейросетевой модели был использован ансамблевый подход (StackingClassifier) на базе Scikit-learn, сочетающий несколько алгоритмов: RandomForest, GradientBoosting, XGBoost и логистическую регрессию в качестве метамодели. Этот подход позволяет достичь высокой точности классификации (более 90% на тестовых данных) и устойчивости к переобучению, превосходя по эффективности отдельно взятые глубокие нейронные сети для работы с табличными данными.</w:t>
      </w:r>
    </w:p>
    <w:p>
      <w:pPr>
        <w:pStyle w:val="Normal"/>
        <w:spacing w:lineRule="auto" w:line="360" w:before="0" w:after="0"/>
        <w:ind w:firstLine="709" w:left="0"/>
        <w:jc w:val="both"/>
        <w:rPr>
          <w:rFonts w:ascii="Times New Roman" w:hAnsi="Times New Roman"/>
        </w:rPr>
      </w:pPr>
      <w:bookmarkStart w:id="44" w:name="__RefHeading___Toc2916_4046097046"/>
      <w:bookmarkEnd w:id="44"/>
      <w:r>
        <w:rPr>
          <w:rFonts w:cs="Times New Roman"/>
          <w:color w:val="000000"/>
          <w:sz w:val="28"/>
          <w:szCs w:val="28"/>
          <w:shd w:fill="FFFFFF" w:val="clear"/>
        </w:rPr>
        <w:t>Для предоставления доступа к модели выбран FastAPI как оптимальный баланс между производительностью, простотой разработки и функциональностью:</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5" w:name="__RefHeading___Toc2918_4046097046"/>
      <w:bookmarkEnd w:id="45"/>
      <w:r>
        <w:rPr>
          <w:rFonts w:cs="Times New Roman"/>
          <w:color w:val="000000"/>
          <w:sz w:val="28"/>
          <w:szCs w:val="28"/>
          <w:shd w:fill="FFFFFF" w:val="clear"/>
        </w:rPr>
        <w:t>Автоматическая генерация документации OpenAPI/Swagger</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6" w:name="__RefHeading___Toc2920_4046097046"/>
      <w:bookmarkEnd w:id="46"/>
      <w:r>
        <w:rPr>
          <w:rFonts w:cs="Times New Roman"/>
          <w:color w:val="000000"/>
          <w:sz w:val="28"/>
          <w:szCs w:val="28"/>
          <w:shd w:fill="FFFFFF" w:val="clear"/>
        </w:rPr>
        <w:t>Высокая производительность, сравнимая с Node.js и Go</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7" w:name="__RefHeading___Toc2922_4046097046"/>
      <w:bookmarkEnd w:id="47"/>
      <w:r>
        <w:rPr>
          <w:rFonts w:cs="Times New Roman"/>
          <w:color w:val="000000"/>
          <w:sz w:val="28"/>
          <w:szCs w:val="28"/>
          <w:shd w:fill="FFFFFF" w:val="clear"/>
        </w:rPr>
        <w:t>Встроенная поддержка асинхронных операций</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8" w:name="__RefHeading___Toc2924_4046097046"/>
      <w:bookmarkEnd w:id="48"/>
      <w:r>
        <w:rPr>
          <w:rFonts w:cs="Times New Roman"/>
          <w:color w:val="000000"/>
          <w:sz w:val="28"/>
          <w:szCs w:val="28"/>
          <w:shd w:fill="FFFFFF" w:val="clear"/>
        </w:rPr>
        <w:t>Простая интеграция с Python-библиотеками машинного обучения</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9" w:name="__RefHeading___Toc2926_4046097046"/>
      <w:bookmarkEnd w:id="49"/>
      <w:r>
        <w:rPr>
          <w:rFonts w:cs="Times New Roman"/>
          <w:color w:val="000000"/>
          <w:sz w:val="28"/>
          <w:szCs w:val="28"/>
          <w:shd w:fill="FFFFFF" w:val="clear"/>
        </w:rPr>
        <w:t>Автоматическая валидация данных через Pydantic</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50" w:name="__RefHeading___Toc2928_4046097046"/>
      <w:bookmarkEnd w:id="50"/>
      <w:r>
        <w:rPr>
          <w:rFonts w:cs="Times New Roman"/>
          <w:color w:val="000000"/>
          <w:sz w:val="28"/>
          <w:szCs w:val="28"/>
          <w:shd w:fill="FFFFFF" w:val="clear"/>
        </w:rPr>
        <w:t>Простота развертывания и масштабирования</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51" w:name="__RefHeading___Toc2930_4046097046"/>
      <w:bookmarkEnd w:id="51"/>
      <w:r>
        <w:rPr>
          <w:rFonts w:cs="Times New Roman"/>
          <w:color w:val="000000"/>
          <w:sz w:val="28"/>
          <w:szCs w:val="28"/>
          <w:shd w:fill="FFFFFF" w:val="clear"/>
        </w:rPr>
        <w:t>Интерфейс системы реализован как веб-приложение, что обеспечивает:</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52" w:name="__RefHeading___Toc2932_4046097046"/>
      <w:bookmarkEnd w:id="52"/>
      <w:r>
        <w:rPr>
          <w:rFonts w:cs="Times New Roman"/>
          <w:color w:val="000000"/>
          <w:sz w:val="28"/>
          <w:szCs w:val="28"/>
          <w:shd w:fill="FFFFFF" w:val="clear"/>
        </w:rPr>
        <w:t>Доступ с любых устройств через браузер.</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53" w:name="__RefHeading___Toc2934_4046097046"/>
      <w:bookmarkEnd w:id="53"/>
      <w:r>
        <w:rPr>
          <w:rFonts w:cs="Times New Roman"/>
          <w:color w:val="000000"/>
          <w:sz w:val="28"/>
          <w:szCs w:val="28"/>
          <w:shd w:fill="FFFFFF" w:val="clear"/>
        </w:rPr>
        <w:t>Простую интеграцию с внешними системами через REST API.</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54" w:name="__RefHeading___Toc2936_4046097046"/>
      <w:bookmarkEnd w:id="54"/>
      <w:r>
        <w:rPr>
          <w:rFonts w:cs="Times New Roman"/>
          <w:color w:val="000000"/>
          <w:sz w:val="28"/>
          <w:szCs w:val="28"/>
          <w:shd w:fill="FFFFFF" w:val="clear"/>
        </w:rPr>
        <w:t>Важным аспектом разработки системы является выбор источника данных для оценки поставщиков. Были проанализированы три основных API-сервиса:</w:t>
      </w:r>
    </w:p>
    <w:p>
      <w:pPr>
        <w:pStyle w:val="Normal"/>
        <w:spacing w:lineRule="auto" w:line="360" w:before="0" w:after="0"/>
        <w:ind w:firstLine="709" w:left="0"/>
        <w:jc w:val="both"/>
        <w:rPr>
          <w:rFonts w:ascii="Times New Roman" w:hAnsi="Times New Roman"/>
        </w:rPr>
      </w:pPr>
      <w:bookmarkStart w:id="55" w:name="__RefHeading___Toc2938_4046097046"/>
      <w:bookmarkEnd w:id="55"/>
      <w:r>
        <w:rPr>
          <w:rFonts w:cs="Times New Roman"/>
          <w:color w:val="000000"/>
          <w:sz w:val="28"/>
          <w:szCs w:val="28"/>
          <w:shd w:fill="FFFFFF" w:val="clear"/>
        </w:rPr>
        <w:t>API ФНС России (Федеральной налоговой службы) предоставляет официальные данные из государственных реестров, включая ЕГРЮЛ и ЕГРИП. Основные недостатки:</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numPr>
          <w:ilvl w:val="0"/>
          <w:numId w:val="3"/>
        </w:numPr>
        <w:spacing w:lineRule="auto" w:line="360" w:before="0" w:after="0"/>
        <w:jc w:val="both"/>
        <w:rPr>
          <w:rFonts w:ascii="Times New Roman" w:hAnsi="Times New Roman"/>
        </w:rPr>
      </w:pPr>
      <w:bookmarkStart w:id="56" w:name="__RefHeading___Toc2940_4046097046"/>
      <w:bookmarkEnd w:id="56"/>
      <w:r>
        <w:rPr>
          <w:rFonts w:cs="Times New Roman"/>
          <w:color w:val="000000"/>
          <w:sz w:val="28"/>
          <w:szCs w:val="28"/>
          <w:shd w:fill="FFFFFF" w:val="clear"/>
        </w:rPr>
        <w:t>Ограниченное количество организаций в базовых подписках (обычно до 10 000 проверок в год)</w:t>
      </w:r>
    </w:p>
    <w:p>
      <w:pPr>
        <w:pStyle w:val="Normal"/>
        <w:numPr>
          <w:ilvl w:val="0"/>
          <w:numId w:val="3"/>
        </w:numPr>
        <w:spacing w:lineRule="auto" w:line="360" w:before="0" w:after="0"/>
        <w:jc w:val="both"/>
        <w:rPr>
          <w:rFonts w:ascii="Times New Roman" w:hAnsi="Times New Roman"/>
        </w:rPr>
      </w:pPr>
      <w:bookmarkStart w:id="57" w:name="__RefHeading___Toc2942_4046097046"/>
      <w:bookmarkEnd w:id="57"/>
      <w:r>
        <w:rPr>
          <w:rFonts w:cs="Times New Roman"/>
          <w:color w:val="000000"/>
          <w:sz w:val="28"/>
          <w:szCs w:val="28"/>
          <w:shd w:fill="FFFFFF" w:val="clear"/>
        </w:rPr>
        <w:t>Годовая подписка от 10 000 рублей, что неэффективно для малых и средних предприятий</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58" w:name="__RefHeading___Toc2944_4046097046"/>
      <w:bookmarkEnd w:id="58"/>
      <w:r>
        <w:rPr>
          <w:rFonts w:cs="Times New Roman"/>
          <w:color w:val="000000"/>
          <w:sz w:val="28"/>
          <w:szCs w:val="28"/>
          <w:shd w:fill="FFFFFF" w:val="clear"/>
        </w:rPr>
        <w:t>Контур.Фокус — коммерческий сервис проверки контрагентов с расширенной аналитикой. Несмотря на богатый функционал, имеет существенные ограничения:</w:t>
      </w:r>
    </w:p>
    <w:p>
      <w:pPr>
        <w:pStyle w:val="Normal"/>
        <w:numPr>
          <w:ilvl w:val="0"/>
          <w:numId w:val="4"/>
        </w:numPr>
        <w:spacing w:lineRule="auto" w:line="360" w:before="0" w:after="0"/>
        <w:jc w:val="both"/>
        <w:rPr>
          <w:rFonts w:ascii="Times New Roman" w:hAnsi="Times New Roman"/>
        </w:rPr>
      </w:pPr>
      <w:bookmarkStart w:id="59" w:name="__RefHeading___Toc2946_4046097046"/>
      <w:bookmarkEnd w:id="59"/>
      <w:r>
        <w:rPr>
          <w:rFonts w:cs="Times New Roman"/>
          <w:color w:val="000000"/>
          <w:sz w:val="28"/>
          <w:szCs w:val="28"/>
          <w:shd w:fill="FFFFFF" w:val="clear"/>
        </w:rPr>
        <w:t>Ограничение на количество проверяемых организаций (обычно 10 000 в год в базовых тарифах)</w:t>
      </w:r>
    </w:p>
    <w:p>
      <w:pPr>
        <w:pStyle w:val="Normal"/>
        <w:numPr>
          <w:ilvl w:val="0"/>
          <w:numId w:val="4"/>
        </w:numPr>
        <w:spacing w:lineRule="auto" w:line="360" w:before="0" w:after="0"/>
        <w:jc w:val="both"/>
        <w:rPr>
          <w:rFonts w:ascii="Times New Roman" w:hAnsi="Times New Roman"/>
        </w:rPr>
      </w:pPr>
      <w:bookmarkStart w:id="60" w:name="__RefHeading___Toc2948_4046097046"/>
      <w:bookmarkEnd w:id="60"/>
      <w:r>
        <w:rPr>
          <w:rFonts w:cs="Times New Roman"/>
          <w:color w:val="000000"/>
          <w:sz w:val="28"/>
          <w:szCs w:val="28"/>
          <w:shd w:fill="FFFFFF" w:val="clear"/>
        </w:rPr>
        <w:t>Высокая стоимость годовой подписки (от 12 000 рублей)</w:t>
      </w:r>
    </w:p>
    <w:p>
      <w:pPr>
        <w:pStyle w:val="Normal"/>
        <w:numPr>
          <w:ilvl w:val="0"/>
          <w:numId w:val="4"/>
        </w:numPr>
        <w:spacing w:lineRule="auto" w:line="360" w:before="0" w:after="0"/>
        <w:jc w:val="both"/>
        <w:rPr>
          <w:rFonts w:ascii="Times New Roman" w:hAnsi="Times New Roman"/>
        </w:rPr>
      </w:pPr>
      <w:bookmarkStart w:id="61" w:name="__RefHeading___Toc2950_4046097046"/>
      <w:bookmarkEnd w:id="61"/>
      <w:r>
        <w:rPr>
          <w:rFonts w:cs="Times New Roman"/>
          <w:color w:val="000000"/>
          <w:sz w:val="28"/>
          <w:szCs w:val="28"/>
          <w:shd w:fill="FFFFFF" w:val="clear"/>
        </w:rPr>
        <w:t>Невозможность оплаты за отдельные запросы</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62" w:name="__RefHeading___Toc2952_4046097046"/>
      <w:bookmarkEnd w:id="62"/>
      <w:r>
        <w:rPr>
          <w:rFonts w:cs="Times New Roman"/>
          <w:color w:val="000000"/>
          <w:sz w:val="28"/>
          <w:szCs w:val="28"/>
          <w:shd w:fill="FFFFFF" w:val="clear"/>
        </w:rPr>
        <w:t>API Репутация был выбран в качестве основного источника данных благодаря следующим преимуществам:</w:t>
      </w:r>
    </w:p>
    <w:p>
      <w:pPr>
        <w:pStyle w:val="Normal"/>
        <w:numPr>
          <w:ilvl w:val="0"/>
          <w:numId w:val="5"/>
        </w:numPr>
        <w:spacing w:lineRule="auto" w:line="360" w:before="0" w:after="0"/>
        <w:jc w:val="both"/>
        <w:rPr>
          <w:rFonts w:ascii="Times New Roman" w:hAnsi="Times New Roman"/>
        </w:rPr>
      </w:pPr>
      <w:bookmarkStart w:id="63" w:name="__RefHeading___Toc2954_4046097046"/>
      <w:bookmarkEnd w:id="63"/>
      <w:r>
        <w:rPr>
          <w:rFonts w:cs="Times New Roman"/>
          <w:color w:val="000000"/>
          <w:sz w:val="28"/>
          <w:szCs w:val="28"/>
          <w:shd w:fill="FFFFFF" w:val="clear"/>
        </w:rPr>
        <w:t>Гибкая система оплаты — возможность оплаты отдельно за каждый запрос по цене 2,5 рубля, что экономически эффективно для предприятий с нерегулярной потребностью в проверках контрагентов</w:t>
      </w:r>
    </w:p>
    <w:p>
      <w:pPr>
        <w:pStyle w:val="Normal"/>
        <w:numPr>
          <w:ilvl w:val="0"/>
          <w:numId w:val="5"/>
        </w:numPr>
        <w:spacing w:lineRule="auto" w:line="360" w:before="0" w:after="0"/>
        <w:jc w:val="both"/>
        <w:rPr>
          <w:rFonts w:ascii="Times New Roman" w:hAnsi="Times New Roman"/>
        </w:rPr>
      </w:pPr>
      <w:bookmarkStart w:id="64" w:name="__RefHeading___Toc2960_4046097046"/>
      <w:bookmarkEnd w:id="64"/>
      <w:r>
        <w:rPr>
          <w:rFonts w:cs="Times New Roman"/>
          <w:color w:val="000000"/>
          <w:sz w:val="28"/>
          <w:szCs w:val="28"/>
          <w:shd w:fill="FFFFFF" w:val="clear"/>
        </w:rPr>
        <w:t>Экономическая эффективность для малых и средних предприятий, где годовые затраты на проверку контрагентов не превышают 5-10 тысяч рублей</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65" w:name="__RefHeading___Toc2962_4046097046"/>
      <w:bookmarkEnd w:id="65"/>
      <w:r>
        <w:rPr>
          <w:rFonts w:cs="Times New Roman"/>
          <w:color w:val="000000"/>
          <w:sz w:val="28"/>
          <w:szCs w:val="28"/>
          <w:shd w:fill="FFFFFF" w:val="clear"/>
        </w:rPr>
        <w:t>Сравнительный анализ API-сервисов показал, что для разрабатываемой системы наиболее оптимальным является использование API Репутация, так как он позволяет минимизировать операционные затраты при максимальной гибкости использования.</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bookmarkStart w:id="66" w:name="__RefHeading___Toc2964_4046097046"/>
      <w:bookmarkEnd w:id="66"/>
      <w:r>
        <w:rPr>
          <w:rFonts w:cs="Times New Roman"/>
          <w:color w:val="000000"/>
          <w:sz w:val="28"/>
          <w:szCs w:val="28"/>
          <w:shd w:fill="FFFFFF" w:val="clear"/>
        </w:rPr>
        <w:t>Таким образом, для разработки информационной системы оценки благонадёжности поставщиков с использованием машинного обучения был выбран стек технологий на базе Python, Scikit-learn, XGBoost и FastAPI с интеграцией данных через API Репутация, что обеспечивает оптимальное сочетание функциональности, производительности и экономической эффективности.</w:t>
      </w:r>
      <w:r>
        <w:br w:type="page"/>
      </w:r>
    </w:p>
    <w:p>
      <w:pPr>
        <w:pStyle w:val="Heading1"/>
        <w:spacing w:before="0" w:after="0"/>
        <w:ind w:hanging="0" w:left="0"/>
        <w:rPr/>
      </w:pPr>
      <w:bookmarkStart w:id="67" w:name="__RefHeading___Toc22187_2829662935"/>
      <w:bookmarkStart w:id="68" w:name="_Toc515886992"/>
      <w:bookmarkEnd w:id="67"/>
      <w:r>
        <w:rPr/>
        <w:t xml:space="preserve">2. </w:t>
      </w:r>
      <w:bookmarkEnd w:id="68"/>
      <w:r>
        <w:rPr/>
        <w:t>Архитектурное решение</w:t>
      </w:r>
    </w:p>
    <w:p>
      <w:pPr>
        <w:pStyle w:val="Heading2"/>
        <w:ind w:hanging="0" w:left="0"/>
        <w:rPr>
          <w:rFonts w:ascii="Times New Roman" w:hAnsi="Times New Roman"/>
          <w:b w:val="false"/>
          <w:color w:val="auto"/>
          <w:shd w:fill="FFFFFF" w:val="clear"/>
        </w:rPr>
      </w:pPr>
      <w:bookmarkStart w:id="69" w:name="__RefHeading___Toc22189_2829662935"/>
      <w:bookmarkStart w:id="70" w:name="_Toc515886993"/>
      <w:bookmarkEnd w:id="69"/>
      <w:r>
        <w:rPr/>
        <w:t>2.1. Проектирование физической модели базы данных</w:t>
      </w:r>
      <w:bookmarkEnd w:id="70"/>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Для понимания логики построения базы данных, с которой работают сотрудники отдела закупок, обратимся к методам инфологического моделирования. Такой подход применяется на ранних этапах проектирования для детального описания структуры имеющихся данных.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Цель инфологического моделирования — обеспечить максимально естественные для человека способы сбора и представления информации, которую предполагается хранить в базе данных. Поэтому инфологическую модель стремятся строить по аналогии с естественным языком. Основными строительными блоками здесь выступают сущности, связи между ними и их свойства (атрибуты) [18].</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Сущность — это объект, который можно уникально идентифицировать среди других объектов, и информация о котором подлежит хранению в базе данных.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Атрибут — поименованная характеристика сущности, описывающая конкретное свойство этого объекта.</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Связь — это ассоциация между двумя или более сущностями. Такая ассоциация всегда является бинарной и может существовать либо между двумя разными сущностями, либо между сущностью и ею же самой (рекурсивная связь).</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Для инфологического проектирования используется метод «сущность—связь» (ER, Entity-Relationship).</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Проектируемая база данных должна содержать сведения о поставщиках, группах товаров, критериях оценки и результатах анализа.</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Для построения инфологической модели базы данных оценки надёжности поставщиков применялось ПО MS Access — полнофункциональная программа для работы с базами данных любого типа. Инфологическая модель определяет, каким образом данные размещаются в среде хранения и как организуется доступ к ним. В основе MS Access лежит модель динамического обмена. Программа предоставляет инструменты автоматизации обработки любой структурированной информации. Связи, устанавливаемые между базами данных внутри приложения, позволяют точно отслеживать изменения в любой из них и автоматически корректировать параметры в остальных.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Построенная в MS Access инфологическая модель разрабатываемой информационной системы представлена на рисунке 2.1.</w:t>
      </w:r>
    </w:p>
    <w:p>
      <w:pPr>
        <w:pStyle w:val="Normal"/>
        <w:spacing w:lineRule="auto" w:line="360" w:before="0" w:after="0"/>
        <w:jc w:val="center"/>
        <w:rPr>
          <w:rFonts w:ascii="Times New Roman" w:hAnsi="Times New Roman" w:eastAsia="Times New Roman" w:cs="Times New Roman"/>
          <w:sz w:val="24"/>
          <w:szCs w:val="24"/>
          <w:lang w:eastAsia="ru-RU"/>
        </w:rPr>
      </w:pPr>
      <w:r>
        <w:rPr/>
        <w:drawing>
          <wp:inline distT="0" distB="0" distL="0" distR="0">
            <wp:extent cx="5940425" cy="5080635"/>
            <wp:effectExtent l="0" t="0" r="0" b="0"/>
            <wp:docPr id="2"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
                    <pic:cNvPicPr>
                      <a:picLocks noChangeAspect="1" noChangeArrowheads="1"/>
                    </pic:cNvPicPr>
                  </pic:nvPicPr>
                  <pic:blipFill>
                    <a:blip r:embed="rId6"/>
                    <a:stretch>
                      <a:fillRect/>
                    </a:stretch>
                  </pic:blipFill>
                  <pic:spPr bwMode="auto">
                    <a:xfrm>
                      <a:off x="0" y="0"/>
                      <a:ext cx="5940425" cy="5080635"/>
                    </a:xfrm>
                    <a:prstGeom prst="rect">
                      <a:avLst/>
                    </a:prstGeom>
                  </pic:spPr>
                </pic:pic>
              </a:graphicData>
            </a:graphic>
          </wp:inline>
        </w:drawing>
      </w:r>
    </w:p>
    <w:p>
      <w:pPr>
        <w:pStyle w:val="Normal"/>
        <w:spacing w:lineRule="auto" w:line="360" w:before="0" w:after="120"/>
        <w:jc w:val="center"/>
        <w:rPr>
          <w:rFonts w:ascii="Times New Roman" w:hAnsi="Times New Roman" w:eastAsia="Times New Roman" w:cs="Times New Roman"/>
          <w:bCs/>
          <w:sz w:val="28"/>
          <w:szCs w:val="28"/>
          <w:lang w:eastAsia="ru-RU"/>
        </w:rPr>
      </w:pPr>
      <w:r>
        <w:rPr>
          <w:rFonts w:eastAsia="Times New Roman" w:cs="Times New Roman"/>
          <w:bCs/>
          <w:sz w:val="28"/>
          <w:szCs w:val="28"/>
          <w:lang w:eastAsia="ru-RU"/>
        </w:rPr>
        <w:t>Рисунок 2.1 – Инфологическая схема базы данных</w:t>
      </w:r>
      <w:r>
        <w:br w:type="page"/>
      </w:r>
    </w:p>
    <w:p>
      <w:pPr>
        <w:pStyle w:val="Heading2"/>
        <w:spacing w:before="0" w:after="0"/>
        <w:ind w:hanging="0" w:left="0"/>
        <w:rPr/>
      </w:pPr>
      <w:bookmarkStart w:id="71" w:name="__RefHeading___Toc22191_2829662935"/>
      <w:bookmarkStart w:id="72" w:name="_Toc515886994"/>
      <w:bookmarkEnd w:id="71"/>
      <w:r>
        <w:rPr/>
        <w:t>2.2. Данные с точки зрения технологии 1С</w:t>
      </w:r>
      <w:bookmarkEnd w:id="72"/>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Платформа 1С:Предприятие 8.3 в данной архитектуре выполняет роль клиентского приложения и источника исходных данных о контрагентах и сделках.</w:t>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В работе использованы следующие прикладные объекты системы 1С:</w:t>
      </w:r>
    </w:p>
    <w:p>
      <w:pPr>
        <w:pStyle w:val="Normal"/>
        <w:numPr>
          <w:ilvl w:val="0"/>
          <w:numId w:val="21"/>
        </w:numPr>
        <w:shd w:val="clear" w:fill="FFFFFF"/>
        <w:spacing w:lineRule="auto" w:line="360" w:before="0" w:after="0"/>
        <w:contextualSpacing/>
        <w:jc w:val="both"/>
        <w:rPr/>
      </w:pPr>
      <w:r>
        <w:rPr>
          <w:rFonts w:eastAsia="Times New Roman" w:cs="Times New Roman"/>
          <w:sz w:val="28"/>
          <w:szCs w:val="28"/>
          <w:lang w:eastAsia="ru-RU"/>
        </w:rPr>
        <w:t>Справочники</w:t>
      </w:r>
    </w:p>
    <w:p>
      <w:pPr>
        <w:pStyle w:val="Normal"/>
        <w:numPr>
          <w:ilvl w:val="0"/>
          <w:numId w:val="21"/>
        </w:numPr>
        <w:shd w:val="clear" w:fill="FFFFFF"/>
        <w:spacing w:lineRule="auto" w:line="360" w:before="0" w:after="0"/>
        <w:contextualSpacing/>
        <w:jc w:val="both"/>
        <w:rPr/>
      </w:pPr>
      <w:r>
        <w:rPr>
          <w:rFonts w:eastAsia="Times New Roman" w:cs="Times New Roman"/>
          <w:sz w:val="28"/>
          <w:szCs w:val="28"/>
          <w:lang w:eastAsia="ru-RU"/>
        </w:rPr>
        <w:t>Документы</w:t>
      </w:r>
    </w:p>
    <w:p>
      <w:pPr>
        <w:pStyle w:val="Normal"/>
        <w:numPr>
          <w:ilvl w:val="0"/>
          <w:numId w:val="21"/>
        </w:numPr>
        <w:shd w:val="clear" w:fill="FFFFFF"/>
        <w:spacing w:lineRule="auto" w:line="360" w:before="0" w:after="0"/>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Регистры</w:t>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Общая схема вариантов взаимодействия прикладных объектов системы представлена на рисунке 2.2.</w:t>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keepNext w:val="true"/>
        <w:shd w:val="clear" w:fill="FFFFFF"/>
        <w:spacing w:lineRule="auto" w:line="360" w:before="0" w:after="0"/>
        <w:ind w:firstLine="709"/>
        <w:contextualSpacing/>
        <w:jc w:val="center"/>
        <w:rPr>
          <w:rFonts w:ascii="Times New Roman" w:hAnsi="Times New Roman" w:eastAsia="Times New Roman" w:cs="Times New Roman"/>
          <w:sz w:val="24"/>
          <w:szCs w:val="24"/>
          <w:lang w:eastAsia="ru-RU"/>
        </w:rPr>
      </w:pPr>
      <w:r>
        <w:rPr/>
        <w:drawing>
          <wp:inline distT="0" distB="0" distL="0" distR="0">
            <wp:extent cx="3854450" cy="3033395"/>
            <wp:effectExtent l="0" t="0" r="0" b="0"/>
            <wp:docPr id="3" name="Рисунок 2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40" descr=""/>
                    <pic:cNvPicPr>
                      <a:picLocks noChangeAspect="1" noChangeArrowheads="1"/>
                    </pic:cNvPicPr>
                  </pic:nvPicPr>
                  <pic:blipFill>
                    <a:blip r:embed="rId7"/>
                    <a:stretch>
                      <a:fillRect/>
                    </a:stretch>
                  </pic:blipFill>
                  <pic:spPr bwMode="auto">
                    <a:xfrm>
                      <a:off x="0" y="0"/>
                      <a:ext cx="3854450" cy="3033395"/>
                    </a:xfrm>
                    <a:prstGeom prst="rect">
                      <a:avLst/>
                    </a:prstGeom>
                  </pic:spPr>
                </pic:pic>
              </a:graphicData>
            </a:graphic>
          </wp:inline>
        </w:drawing>
      </w:r>
    </w:p>
    <w:p>
      <w:pPr>
        <w:pStyle w:val="Normal"/>
        <w:spacing w:lineRule="auto" w:line="360" w:before="0" w:after="0"/>
        <w:jc w:val="center"/>
        <w:rPr>
          <w:highlight w:val="none"/>
          <w:shd w:fill="auto" w:val="clear"/>
        </w:rPr>
      </w:pPr>
      <w:r>
        <w:rPr>
          <w:rFonts w:eastAsia="Times New Roman" w:cs="Times New Roman"/>
          <w:bCs/>
          <w:sz w:val="28"/>
          <w:szCs w:val="28"/>
          <w:shd w:fill="auto" w:val="clear"/>
          <w:lang w:eastAsia="ru-RU"/>
        </w:rPr>
        <w:t>Рисунок 2.2 – Варианты взаимодействия прикладных объектов</w:t>
      </w:r>
    </w:p>
    <w:p>
      <w:pPr>
        <w:pStyle w:val="Normal"/>
        <w:rPr>
          <w:rFonts w:ascii="Times New Roman" w:hAnsi="Times New Roman"/>
        </w:rPr>
      </w:pPr>
      <w:r>
        <w:rPr/>
      </w:r>
      <w:r>
        <w:br w:type="page"/>
      </w:r>
    </w:p>
    <w:p>
      <w:pPr>
        <w:pStyle w:val="Heading1"/>
        <w:spacing w:before="0" w:after="0"/>
        <w:ind w:hanging="0" w:left="0"/>
        <w:rPr>
          <w:rFonts w:ascii="Times New Roman" w:hAnsi="Times New Roman"/>
          <w:b w:val="false"/>
          <w:color w:val="auto"/>
        </w:rPr>
      </w:pPr>
      <w:bookmarkStart w:id="73" w:name="__RefHeading___Toc37925_2829662935"/>
      <w:bookmarkEnd w:id="73"/>
      <w:r>
        <w:rPr/>
        <w:t>3. Техническая реализация</w:t>
      </w:r>
    </w:p>
    <w:p>
      <w:pPr>
        <w:pStyle w:val="Heading2"/>
        <w:ind w:hanging="0" w:left="0"/>
        <w:rPr/>
      </w:pPr>
      <w:bookmarkStart w:id="74" w:name="__RefHeading___Toc22193_2829662935"/>
      <w:bookmarkEnd w:id="74"/>
      <w:r>
        <w:rPr/>
        <w:t>3</w:t>
      </w:r>
      <w:bookmarkStart w:id="75" w:name="_Toc484799750"/>
      <w:bookmarkStart w:id="76" w:name="_Toc515886995"/>
      <w:bookmarkStart w:id="77" w:name="_Toc514667811"/>
      <w:r>
        <w:rPr/>
        <w:t>.1. Разработка информационной системы</w:t>
      </w:r>
      <w:bookmarkEnd w:id="75"/>
      <w:bookmarkEnd w:id="76"/>
      <w:bookmarkEnd w:id="77"/>
      <w:r>
        <w:rPr/>
        <w:t xml:space="preserve"> 1С</w:t>
      </w:r>
    </w:p>
    <w:p>
      <w:pPr>
        <w:pStyle w:val="Normal"/>
        <w:spacing w:lineRule="auto" w:line="360" w:before="0" w:after="0"/>
        <w:ind w:firstLine="709"/>
        <w:jc w:val="both"/>
        <w:rPr>
          <w:rFonts w:ascii="Times New Roman" w:hAnsi="Times New Roman" w:cs="Times New Roman"/>
          <w:bCs/>
          <w:sz w:val="28"/>
          <w:szCs w:val="28"/>
          <w:lang w:val="en-US" w:eastAsia="ru-RU"/>
        </w:rPr>
      </w:pPr>
      <w:r>
        <w:rPr>
          <w:rFonts w:cs="Times New Roman"/>
          <w:bCs/>
          <w:sz w:val="28"/>
          <w:szCs w:val="28"/>
          <w:lang w:val="ru-RU" w:eastAsia="ru-RU"/>
        </w:rPr>
        <w:t>В ходе работы для компании</w:t>
      </w:r>
      <w:r>
        <w:rPr>
          <w:rFonts w:cs="Times New Roman"/>
          <w:bCs/>
          <w:sz w:val="28"/>
          <w:szCs w:val="28"/>
          <w:lang w:val="en-US" w:eastAsia="ru-RU"/>
        </w:rPr>
        <w:t xml:space="preserve"> АО «РТК» </w:t>
      </w:r>
      <w:r>
        <w:rPr>
          <w:rFonts w:cs="Times New Roman"/>
          <w:bCs/>
          <w:sz w:val="28"/>
          <w:szCs w:val="28"/>
          <w:lang w:val="ru-RU" w:eastAsia="ru-RU"/>
        </w:rPr>
        <w:t>была разработана отдельная конфигурация 1С, которая позволяет быстро и эффективно проверить контрагентов перед заключением договоров</w:t>
      </w:r>
      <w:r>
        <w:rPr>
          <w:rFonts w:cs="Times New Roman"/>
          <w:bCs/>
          <w:sz w:val="28"/>
          <w:szCs w:val="28"/>
          <w:lang w:val="en-US" w:eastAsia="ru-RU"/>
        </w:rPr>
        <w:t>.</w:t>
      </w:r>
    </w:p>
    <w:p>
      <w:pPr>
        <w:pStyle w:val="Normal"/>
        <w:spacing w:lineRule="auto" w:line="360" w:before="0" w:after="0"/>
        <w:ind w:firstLine="709"/>
        <w:jc w:val="both"/>
        <w:rPr>
          <w:rFonts w:ascii="Times New Roman" w:hAnsi="Times New Roman" w:cs="Times New Roman"/>
          <w:bCs/>
          <w:sz w:val="28"/>
          <w:szCs w:val="28"/>
          <w:lang w:val="en-US" w:eastAsia="ru-RU"/>
        </w:rPr>
      </w:pPr>
      <w:r>
        <w:rPr>
          <w:rFonts w:cs="Times New Roman"/>
          <w:bCs/>
          <w:sz w:val="28"/>
          <w:szCs w:val="28"/>
          <w:lang w:val="en-US" w:eastAsia="ru-RU"/>
        </w:rPr>
        <w:t>Структура</w:t>
      </w:r>
      <w:r>
        <w:rPr>
          <w:rFonts w:cs="Times New Roman"/>
          <w:bCs/>
          <w:sz w:val="28"/>
          <w:szCs w:val="28"/>
          <w:lang w:val="ru-RU" w:eastAsia="ru-RU"/>
        </w:rPr>
        <w:t xml:space="preserve"> разработанной </w:t>
      </w:r>
      <w:r>
        <w:rPr>
          <w:rFonts w:cs="Times New Roman"/>
          <w:bCs/>
          <w:sz w:val="28"/>
          <w:szCs w:val="28"/>
          <w:lang w:val="en-US" w:eastAsia="ru-RU"/>
        </w:rPr>
        <w:t>конфигурации показана на рисунке 3.1.</w:t>
      </w:r>
    </w:p>
    <w:p>
      <w:pPr>
        <w:pStyle w:val="Normal"/>
        <w:tabs>
          <w:tab w:val="clear" w:pos="708"/>
          <w:tab w:val="left" w:pos="990" w:leader="none"/>
        </w:tabs>
        <w:spacing w:lineRule="auto" w:line="360" w:before="0" w:after="0"/>
        <w:contextualSpacing/>
        <w:jc w:val="center"/>
        <w:rPr>
          <w:rFonts w:ascii="Times New Roman" w:hAnsi="Times New Roman" w:cs="Times New Roman"/>
          <w:sz w:val="28"/>
          <w:szCs w:val="28"/>
          <w:lang w:eastAsia="ru-RU"/>
        </w:rPr>
      </w:pPr>
      <w:r>
        <w:rPr/>
        <w:drawing>
          <wp:inline distT="0" distB="0" distL="0" distR="0">
            <wp:extent cx="2466975" cy="2696845"/>
            <wp:effectExtent l="0" t="0" r="0" b="0"/>
            <wp:docPr id="4"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1" descr=""/>
                    <pic:cNvPicPr>
                      <a:picLocks noChangeAspect="1" noChangeArrowheads="1"/>
                    </pic:cNvPicPr>
                  </pic:nvPicPr>
                  <pic:blipFill>
                    <a:blip r:embed="rId8"/>
                    <a:srcRect l="0" t="145" r="0" b="0"/>
                    <a:stretch>
                      <a:fillRect/>
                    </a:stretch>
                  </pic:blipFill>
                  <pic:spPr bwMode="auto">
                    <a:xfrm>
                      <a:off x="0" y="0"/>
                      <a:ext cx="2466975" cy="2696845"/>
                    </a:xfrm>
                    <a:prstGeom prst="rect">
                      <a:avLst/>
                    </a:prstGeom>
                  </pic:spPr>
                </pic:pic>
              </a:graphicData>
            </a:graphic>
          </wp:inline>
        </w:drawing>
        <w:drawing>
          <wp:anchor behindDoc="0" distT="0" distB="0" distL="0" distR="0" simplePos="0" locked="0" layoutInCell="0" allowOverlap="1" relativeHeight="6">
            <wp:simplePos x="0" y="0"/>
            <wp:positionH relativeFrom="column">
              <wp:posOffset>2729230</wp:posOffset>
            </wp:positionH>
            <wp:positionV relativeFrom="paragraph">
              <wp:posOffset>104775</wp:posOffset>
            </wp:positionV>
            <wp:extent cx="2954655" cy="2537460"/>
            <wp:effectExtent l="0" t="0" r="0" b="0"/>
            <wp:wrapSquare wrapText="largest"/>
            <wp:docPr id="5"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 descr=""/>
                    <pic:cNvPicPr>
                      <a:picLocks noChangeAspect="1" noChangeArrowheads="1"/>
                    </pic:cNvPicPr>
                  </pic:nvPicPr>
                  <pic:blipFill>
                    <a:blip r:embed="rId9"/>
                    <a:stretch>
                      <a:fillRect/>
                    </a:stretch>
                  </pic:blipFill>
                  <pic:spPr bwMode="auto">
                    <a:xfrm>
                      <a:off x="0" y="0"/>
                      <a:ext cx="2954655" cy="2537460"/>
                    </a:xfrm>
                    <a:prstGeom prst="rect">
                      <a:avLst/>
                    </a:prstGeom>
                  </pic:spPr>
                </pic:pic>
              </a:graphicData>
            </a:graphic>
          </wp:anchor>
        </w:drawing>
      </w:r>
    </w:p>
    <w:p>
      <w:pPr>
        <w:pStyle w:val="Normal"/>
        <w:tabs>
          <w:tab w:val="clear" w:pos="708"/>
          <w:tab w:val="left" w:pos="990" w:leader="none"/>
        </w:tabs>
        <w:spacing w:lineRule="auto" w:line="360" w:before="0" w:after="0"/>
        <w:ind w:firstLine="709"/>
        <w:contextualSpacing/>
        <w:jc w:val="center"/>
        <w:rPr>
          <w:rFonts w:ascii="Times New Roman" w:hAnsi="Times New Roman" w:cs="Times New Roman"/>
          <w:sz w:val="28"/>
          <w:szCs w:val="28"/>
          <w:lang w:eastAsia="ru-RU"/>
        </w:rPr>
      </w:pPr>
      <w:r>
        <w:rPr>
          <w:rFonts w:cs="Times New Roman"/>
          <w:sz w:val="28"/>
          <w:szCs w:val="28"/>
          <w:lang w:eastAsia="ru-RU"/>
        </w:rPr>
        <w:t xml:space="preserve">Рисунок 3.1 – </w:t>
      </w:r>
      <w:r>
        <w:rPr>
          <w:rFonts w:cs="Times New Roman"/>
          <w:bCs/>
          <w:sz w:val="28"/>
          <w:szCs w:val="28"/>
          <w:lang w:val="en-US" w:eastAsia="ru-RU"/>
        </w:rPr>
        <w:t>Структура</w:t>
      </w:r>
      <w:r>
        <w:rPr>
          <w:rFonts w:cs="Times New Roman"/>
          <w:bCs/>
          <w:sz w:val="28"/>
          <w:szCs w:val="28"/>
          <w:lang w:val="ru-RU" w:eastAsia="ru-RU"/>
        </w:rPr>
        <w:t xml:space="preserve"> разработанной </w:t>
      </w:r>
      <w:r>
        <w:rPr>
          <w:rFonts w:cs="Times New Roman"/>
          <w:bCs/>
          <w:sz w:val="28"/>
          <w:szCs w:val="28"/>
          <w:lang w:val="en-US" w:eastAsia="ru-RU"/>
        </w:rPr>
        <w:t>конфигурации</w:t>
      </w:r>
    </w:p>
    <w:p>
      <w:pPr>
        <w:pStyle w:val="Normal"/>
        <w:tabs>
          <w:tab w:val="clear" w:pos="708"/>
          <w:tab w:val="left" w:pos="990" w:leader="none"/>
        </w:tabs>
        <w:spacing w:lineRule="auto" w:line="360" w:before="0" w:after="0"/>
        <w:ind w:firstLine="709"/>
        <w:contextualSpacing/>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Интерфейс для взаимодействия с конфигурацией представлен на рисунке 3.2.</w:t>
      </w:r>
    </w:p>
    <w:p>
      <w:pPr>
        <w:pStyle w:val="Normal"/>
        <w:tabs>
          <w:tab w:val="clear" w:pos="708"/>
          <w:tab w:val="left" w:pos="990" w:leader="none"/>
        </w:tabs>
        <w:spacing w:lineRule="auto" w:line="360" w:before="0" w:after="0"/>
        <w:ind w:hanging="0"/>
        <w:contextualSpacing/>
        <w:jc w:val="center"/>
        <w:rPr>
          <w:rFonts w:ascii="Times New Roman" w:hAnsi="Times New Roman" w:cs="Times New Roman"/>
          <w:sz w:val="28"/>
          <w:szCs w:val="28"/>
          <w:lang w:eastAsia="ru-RU"/>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761865" cy="2980055"/>
            <wp:effectExtent l="0" t="0" r="0" b="0"/>
            <wp:wrapTopAndBottom/>
            <wp:docPr id="6"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5" descr=""/>
                    <pic:cNvPicPr>
                      <a:picLocks noChangeAspect="1" noChangeArrowheads="1"/>
                    </pic:cNvPicPr>
                  </pic:nvPicPr>
                  <pic:blipFill>
                    <a:blip r:embed="rId10"/>
                    <a:stretch>
                      <a:fillRect/>
                    </a:stretch>
                  </pic:blipFill>
                  <pic:spPr bwMode="auto">
                    <a:xfrm>
                      <a:off x="0" y="0"/>
                      <a:ext cx="4761865" cy="2980055"/>
                    </a:xfrm>
                    <a:prstGeom prst="rect">
                      <a:avLst/>
                    </a:prstGeom>
                  </pic:spPr>
                </pic:pic>
              </a:graphicData>
            </a:graphic>
          </wp:anchor>
        </w:drawing>
      </w:r>
      <w:r>
        <w:rPr>
          <w:rFonts w:cs="Times New Roman"/>
          <w:sz w:val="28"/>
          <w:szCs w:val="28"/>
          <w:lang w:eastAsia="ru-RU"/>
        </w:rPr>
        <w:t>Рисунок 3.2. - Интерфейс для взаимодействия с конфигурацией представлен</w:t>
      </w:r>
    </w:p>
    <w:p>
      <w:pPr>
        <w:pStyle w:val="Normal"/>
        <w:tabs>
          <w:tab w:val="clear" w:pos="708"/>
          <w:tab w:val="left" w:pos="990" w:leader="none"/>
        </w:tabs>
        <w:spacing w:lineRule="auto" w:line="360" w:before="0" w:after="0"/>
        <w:ind w:hanging="0"/>
        <w:contextualSpacing/>
        <w:jc w:val="both"/>
        <w:rPr>
          <w:rFonts w:ascii="Times New Roman" w:hAnsi="Times New Roman" w:cs="Times New Roman"/>
          <w:sz w:val="28"/>
          <w:szCs w:val="28"/>
          <w:lang w:eastAsia="ru-RU"/>
        </w:rPr>
      </w:pPr>
      <w:r>
        <w:rPr>
          <w:rFonts w:cs="Times New Roman"/>
          <w:sz w:val="28"/>
          <w:szCs w:val="28"/>
          <w:lang w:eastAsia="ru-RU"/>
        </w:rPr>
        <w:tab/>
        <w:t>Для реализации функционала проверки контрагентов были созданы следующие объекты конфигурации:</w:t>
      </w:r>
    </w:p>
    <w:p>
      <w:pPr>
        <w:pStyle w:val="Normal"/>
        <w:numPr>
          <w:ilvl w:val="0"/>
          <w:numId w:val="22"/>
        </w:numPr>
        <w:tabs>
          <w:tab w:val="clear" w:pos="708"/>
          <w:tab w:val="left" w:pos="990" w:leader="none"/>
        </w:tabs>
        <w:spacing w:lineRule="auto" w:line="360" w:before="0" w:after="0"/>
        <w:contextualSpacing/>
        <w:jc w:val="both"/>
        <w:rPr/>
      </w:pPr>
      <w:r>
        <w:rPr>
          <w:rFonts w:cs="Times New Roman"/>
          <w:sz w:val="28"/>
          <w:szCs w:val="28"/>
          <w:lang w:eastAsia="ru-RU"/>
        </w:rPr>
        <w:t>Справочники (таблица 3.1)</w:t>
      </w:r>
    </w:p>
    <w:p>
      <w:pPr>
        <w:pStyle w:val="Normal"/>
        <w:numPr>
          <w:ilvl w:val="0"/>
          <w:numId w:val="22"/>
        </w:numPr>
        <w:tabs>
          <w:tab w:val="clear" w:pos="708"/>
          <w:tab w:val="left" w:pos="990" w:leader="none"/>
        </w:tabs>
        <w:spacing w:lineRule="auto" w:line="360" w:before="0" w:after="0"/>
        <w:contextualSpacing/>
        <w:jc w:val="both"/>
        <w:rPr/>
      </w:pPr>
      <w:r>
        <w:rPr>
          <w:rFonts w:cs="Times New Roman"/>
          <w:sz w:val="28"/>
          <w:szCs w:val="28"/>
          <w:lang w:eastAsia="ru-RU"/>
        </w:rPr>
        <w:t>Документы (таблица 3.2)</w:t>
      </w:r>
    </w:p>
    <w:p>
      <w:pPr>
        <w:pStyle w:val="Normal"/>
        <w:numPr>
          <w:ilvl w:val="0"/>
          <w:numId w:val="22"/>
        </w:numPr>
        <w:tabs>
          <w:tab w:val="clear" w:pos="708"/>
          <w:tab w:val="left" w:pos="990" w:leader="none"/>
        </w:tabs>
        <w:spacing w:lineRule="auto" w:line="360" w:before="0" w:after="0"/>
        <w:contextualSpacing/>
        <w:jc w:val="both"/>
        <w:rPr>
          <w:rFonts w:ascii="Times New Roman" w:hAnsi="Times New Roman" w:cs="Times New Roman"/>
          <w:sz w:val="28"/>
          <w:szCs w:val="28"/>
          <w:lang w:eastAsia="ru-RU"/>
        </w:rPr>
      </w:pPr>
      <w:r>
        <w:rPr>
          <w:rFonts w:cs="Times New Roman"/>
          <w:sz w:val="28"/>
          <w:szCs w:val="28"/>
          <w:lang w:eastAsia="ru-RU"/>
        </w:rPr>
        <w:t>Регистры сведений (таблица 3.3)</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Таблица 3.1.</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Справочники</w:t>
      </w:r>
    </w:p>
    <w:tbl>
      <w:tblPr>
        <w:tblW w:w="9345" w:type="dxa"/>
        <w:jc w:val="left"/>
        <w:tblInd w:w="-226" w:type="dxa"/>
        <w:tblLayout w:type="fixed"/>
        <w:tblCellMar>
          <w:top w:w="0" w:type="dxa"/>
          <w:left w:w="108" w:type="dxa"/>
          <w:bottom w:w="0" w:type="dxa"/>
          <w:right w:w="108" w:type="dxa"/>
        </w:tblCellMar>
      </w:tblPr>
      <w:tblGrid>
        <w:gridCol w:w="2263"/>
        <w:gridCol w:w="2548"/>
        <w:gridCol w:w="2551"/>
        <w:gridCol w:w="1982"/>
      </w:tblGrid>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78" w:name="__RefHeading___Toc3050_4046097046"/>
            <w:bookmarkEnd w:id="78"/>
            <w:r>
              <w:rPr>
                <w:rFonts w:eastAsia="Times New Roman" w:cs="Times New Roman"/>
                <w:kern w:val="0"/>
                <w:sz w:val="24"/>
                <w:szCs w:val="24"/>
                <w:lang w:val="ru-RU" w:eastAsia="ru-RU" w:bidi="ar-SA"/>
              </w:rPr>
              <w:t>Наименование объекта</w:t>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79" w:name="__RefHeading___Toc3052_4046097046"/>
            <w:bookmarkEnd w:id="79"/>
            <w:r>
              <w:rPr>
                <w:rFonts w:eastAsia="Times New Roman" w:cs="Times New Roman"/>
                <w:kern w:val="0"/>
                <w:sz w:val="24"/>
                <w:szCs w:val="24"/>
                <w:lang w:val="ru-RU" w:eastAsia="ru-RU" w:bidi="ar-SA"/>
              </w:rPr>
              <w:t>Реквизиты</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0" w:name="__RefHeading___Toc3054_4046097046"/>
            <w:bookmarkEnd w:id="80"/>
            <w:r>
              <w:rPr>
                <w:rFonts w:eastAsia="Times New Roman" w:cs="Times New Roman"/>
                <w:kern w:val="0"/>
                <w:sz w:val="24"/>
                <w:szCs w:val="24"/>
                <w:lang w:val="ru-RU" w:eastAsia="ru-RU" w:bidi="ar-SA"/>
              </w:rPr>
              <w:t>Тип</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1" w:name="__RefHeading___Toc3056_4046097046"/>
            <w:bookmarkEnd w:id="81"/>
            <w:r>
              <w:rPr>
                <w:rFonts w:eastAsia="Times New Roman" w:cs="Times New Roman"/>
                <w:kern w:val="0"/>
                <w:sz w:val="24"/>
                <w:szCs w:val="24"/>
                <w:lang w:val="ru-RU" w:eastAsia="ru-RU" w:bidi="ar-SA"/>
              </w:rPr>
              <w:t>Свойства</w:t>
            </w:r>
          </w:p>
        </w:tc>
      </w:tr>
      <w:tr>
        <w:trPr/>
        <w:tc>
          <w:tcPr>
            <w:tcW w:w="2263"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2" w:name="__RefHeading___Toc3058_4046097046"/>
            <w:bookmarkEnd w:id="82"/>
            <w:r>
              <w:rPr>
                <w:rFonts w:eastAsia="Times New Roman" w:cs="Times New Roman"/>
                <w:kern w:val="0"/>
                <w:sz w:val="24"/>
                <w:szCs w:val="24"/>
                <w:lang w:val="ru-RU" w:eastAsia="ru-RU" w:bidi="ar-SA"/>
              </w:rPr>
              <w:t>Справочник «Поставщики»</w:t>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3" w:name="__RefHeading___Toc3060_4046097046"/>
            <w:bookmarkEnd w:id="83"/>
            <w:r>
              <w:rPr>
                <w:rFonts w:eastAsia="Times New Roman" w:cs="Times New Roman"/>
                <w:kern w:val="0"/>
                <w:sz w:val="24"/>
                <w:szCs w:val="24"/>
                <w:lang w:val="ru-RU" w:eastAsia="ru-RU" w:bidi="ar-SA"/>
              </w:rPr>
              <w:t>Код</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4" w:name="__RefHeading___Toc3062_4046097046"/>
            <w:bookmarkEnd w:id="84"/>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5" w:name="__RefHeading___Toc3064_4046097046"/>
            <w:bookmarkEnd w:id="85"/>
            <w:r>
              <w:rPr>
                <w:rFonts w:eastAsia="Times New Roman" w:cs="Times New Roman"/>
                <w:kern w:val="0"/>
                <w:sz w:val="24"/>
                <w:szCs w:val="24"/>
                <w:lang w:val="ru-RU" w:eastAsia="ru-RU" w:bidi="ar-SA"/>
              </w:rPr>
              <w:t>Длина - 9</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6" w:name="__RefHeading___Toc3066_4046097046"/>
            <w:bookmarkEnd w:id="86"/>
            <w:r>
              <w:rPr>
                <w:rFonts w:eastAsia="Times New Roman" w:cs="Times New Roman"/>
                <w:kern w:val="0"/>
                <w:sz w:val="24"/>
                <w:szCs w:val="24"/>
                <w:lang w:val="ru-RU" w:eastAsia="ru-RU" w:bidi="ar-SA"/>
              </w:rPr>
              <w:t>Наименование</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7" w:name="__RefHeading___Toc3068_4046097046"/>
            <w:bookmarkEnd w:id="87"/>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8" w:name="__RefHeading___Toc3070_4046097046"/>
            <w:bookmarkEnd w:id="88"/>
            <w:r>
              <w:rPr>
                <w:rFonts w:eastAsia="Times New Roman" w:cs="Times New Roman"/>
                <w:kern w:val="0"/>
                <w:sz w:val="24"/>
                <w:szCs w:val="24"/>
                <w:lang w:val="ru-RU" w:eastAsia="ru-RU" w:bidi="ar-SA"/>
              </w:rPr>
              <w:t>Длина - 60</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9" w:name="__RefHeading___Toc3072_4046097046"/>
            <w:bookmarkEnd w:id="89"/>
            <w:r>
              <w:rPr>
                <w:rFonts w:eastAsia="Times New Roman" w:cs="Times New Roman"/>
                <w:kern w:val="0"/>
                <w:sz w:val="24"/>
                <w:szCs w:val="24"/>
                <w:lang w:val="ru-RU" w:eastAsia="ru-RU" w:bidi="ar-SA"/>
              </w:rPr>
              <w:t>Группа товаров</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0" w:name="__RefHeading___Toc3074_4046097046"/>
            <w:bookmarkEnd w:id="90"/>
            <w:r>
              <w:rPr>
                <w:rFonts w:eastAsia="Times New Roman" w:cs="Times New Roman"/>
                <w:kern w:val="0"/>
                <w:sz w:val="24"/>
                <w:szCs w:val="24"/>
                <w:lang w:val="ru-RU" w:eastAsia="ru-RU" w:bidi="ar-SA"/>
              </w:rPr>
              <w:t>Справочник Ссылка. Группы Товаров</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1" w:name="__RefHeading___Toc3076_4046097046"/>
            <w:bookmarkEnd w:id="91"/>
            <w:r>
              <w:rPr>
                <w:rFonts w:eastAsia="Times New Roman" w:cs="Times New Roman"/>
                <w:kern w:val="0"/>
                <w:sz w:val="24"/>
                <w:szCs w:val="24"/>
                <w:lang w:val="ru-RU" w:eastAsia="ru-RU" w:bidi="ar-SA"/>
              </w:rPr>
              <w:t>-</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2" w:name="__RefHeading___Toc3078_4046097046"/>
            <w:bookmarkEnd w:id="92"/>
            <w:r>
              <w:rPr>
                <w:rFonts w:eastAsia="Times New Roman" w:cs="Times New Roman"/>
                <w:kern w:val="0"/>
                <w:sz w:val="24"/>
                <w:szCs w:val="24"/>
                <w:lang w:val="ru-RU" w:eastAsia="ru-RU" w:bidi="ar-SA"/>
              </w:rPr>
              <w:t>ИНН</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3" w:name="__RefHeading___Toc3080_4046097046"/>
            <w:bookmarkEnd w:id="93"/>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4" w:name="__RefHeading___Toc3082_4046097046"/>
            <w:bookmarkEnd w:id="94"/>
            <w:r>
              <w:rPr>
                <w:rFonts w:eastAsia="Times New Roman" w:cs="Times New Roman"/>
                <w:kern w:val="0"/>
                <w:sz w:val="24"/>
                <w:szCs w:val="24"/>
                <w:lang w:val="ru-RU" w:eastAsia="ru-RU" w:bidi="ar-SA"/>
              </w:rPr>
              <w:t>12</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5" w:name="__RefHeading___Toc3084_4046097046"/>
            <w:bookmarkEnd w:id="95"/>
            <w:r>
              <w:rPr>
                <w:rFonts w:eastAsia="Times New Roman" w:cs="Times New Roman"/>
                <w:kern w:val="0"/>
                <w:sz w:val="24"/>
                <w:szCs w:val="24"/>
                <w:lang w:val="ru-RU" w:eastAsia="ru-RU" w:bidi="ar-SA"/>
              </w:rPr>
              <w:t>КПП</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6" w:name="__RefHeading___Toc3086_4046097046"/>
            <w:bookmarkEnd w:id="96"/>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7" w:name="__RefHeading___Toc3088_4046097046"/>
            <w:bookmarkEnd w:id="97"/>
            <w:r>
              <w:rPr>
                <w:rFonts w:eastAsia="Times New Roman" w:cs="Times New Roman"/>
                <w:kern w:val="0"/>
                <w:sz w:val="24"/>
                <w:szCs w:val="24"/>
                <w:lang w:val="ru-RU" w:eastAsia="ru-RU" w:bidi="ar-SA"/>
              </w:rPr>
              <w:t>9</w:t>
            </w:r>
          </w:p>
        </w:tc>
      </w:tr>
      <w:tr>
        <w:trPr/>
        <w:tc>
          <w:tcPr>
            <w:tcW w:w="2263"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8" w:name="__RefHeading___Toc3090_4046097046"/>
            <w:bookmarkEnd w:id="98"/>
            <w:r>
              <w:rPr>
                <w:rFonts w:eastAsia="Times New Roman" w:cs="Times New Roman"/>
                <w:kern w:val="0"/>
                <w:sz w:val="24"/>
                <w:szCs w:val="24"/>
                <w:lang w:val="ru-RU" w:eastAsia="ru-RU" w:bidi="ar-SA"/>
              </w:rPr>
              <w:t>Справочник «Группы товаров»</w:t>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9" w:name="__RefHeading___Toc3092_4046097046"/>
            <w:bookmarkEnd w:id="99"/>
            <w:r>
              <w:rPr>
                <w:rFonts w:eastAsia="Times New Roman" w:cs="Times New Roman"/>
                <w:kern w:val="0"/>
                <w:sz w:val="24"/>
                <w:szCs w:val="24"/>
                <w:lang w:val="ru-RU" w:eastAsia="ru-RU" w:bidi="ar-SA"/>
              </w:rPr>
              <w:t>Код</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0" w:name="__RefHeading___Toc3094_4046097046"/>
            <w:bookmarkEnd w:id="100"/>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1" w:name="__RefHeading___Toc3096_4046097046"/>
            <w:bookmarkEnd w:id="101"/>
            <w:r>
              <w:rPr>
                <w:rFonts w:eastAsia="Times New Roman" w:cs="Times New Roman"/>
                <w:kern w:val="0"/>
                <w:sz w:val="24"/>
                <w:szCs w:val="24"/>
                <w:lang w:val="ru-RU" w:eastAsia="ru-RU" w:bidi="ar-SA"/>
              </w:rPr>
              <w:t>Длина - 9</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2" w:name="__RefHeading___Toc3098_4046097046"/>
            <w:bookmarkEnd w:id="102"/>
            <w:r>
              <w:rPr>
                <w:rFonts w:eastAsia="Times New Roman" w:cs="Times New Roman"/>
                <w:kern w:val="0"/>
                <w:sz w:val="24"/>
                <w:szCs w:val="24"/>
                <w:lang w:val="ru-RU" w:eastAsia="ru-RU" w:bidi="ar-SA"/>
              </w:rPr>
              <w:t>Наименование</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3" w:name="__RefHeading___Toc3100_4046097046"/>
            <w:bookmarkEnd w:id="103"/>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4" w:name="__RefHeading___Toc3102_4046097046"/>
            <w:bookmarkEnd w:id="104"/>
            <w:r>
              <w:rPr>
                <w:rFonts w:eastAsia="Times New Roman" w:cs="Times New Roman"/>
                <w:kern w:val="0"/>
                <w:sz w:val="24"/>
                <w:szCs w:val="24"/>
                <w:lang w:val="ru-RU" w:eastAsia="ru-RU" w:bidi="ar-SA"/>
              </w:rPr>
              <w:t>Длина - 60</w:t>
            </w:r>
          </w:p>
        </w:tc>
      </w:tr>
    </w:tbl>
    <w:p>
      <w:pPr>
        <w:pStyle w:val="Normal"/>
        <w:spacing w:lineRule="auto" w:line="360" w:before="0" w:after="0"/>
        <w:ind w:hanging="0"/>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Таблица 3.2</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Документы</w:t>
      </w:r>
    </w:p>
    <w:tbl>
      <w:tblPr>
        <w:tblW w:w="9345" w:type="dxa"/>
        <w:jc w:val="left"/>
        <w:tblInd w:w="-226" w:type="dxa"/>
        <w:tblLayout w:type="fixed"/>
        <w:tblCellMar>
          <w:top w:w="0" w:type="dxa"/>
          <w:left w:w="108" w:type="dxa"/>
          <w:bottom w:w="0" w:type="dxa"/>
          <w:right w:w="108" w:type="dxa"/>
        </w:tblCellMar>
      </w:tblPr>
      <w:tblGrid>
        <w:gridCol w:w="1997"/>
        <w:gridCol w:w="1996"/>
        <w:gridCol w:w="2948"/>
        <w:gridCol w:w="2403"/>
      </w:tblGrid>
      <w:tr>
        <w:trPr/>
        <w:tc>
          <w:tcPr>
            <w:tcW w:w="19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5" w:name="__RefHeading___Toc3124_4046097046"/>
            <w:bookmarkEnd w:id="105"/>
            <w:r>
              <w:rPr>
                <w:rFonts w:eastAsia="Times New Roman" w:cs="Times New Roman"/>
                <w:kern w:val="0"/>
                <w:sz w:val="24"/>
                <w:szCs w:val="24"/>
                <w:lang w:val="ru-RU" w:eastAsia="ru-RU" w:bidi="ar-SA"/>
              </w:rPr>
              <w:t>Наименование объекта</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6" w:name="__RefHeading___Toc3126_4046097046"/>
            <w:bookmarkEnd w:id="106"/>
            <w:r>
              <w:rPr>
                <w:rFonts w:eastAsia="Times New Roman" w:cs="Times New Roman"/>
                <w:kern w:val="0"/>
                <w:sz w:val="24"/>
                <w:szCs w:val="24"/>
                <w:lang w:val="ru-RU" w:eastAsia="ru-RU" w:bidi="ar-SA"/>
              </w:rPr>
              <w:t>Реквизиты</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7" w:name="__RefHeading___Toc3128_4046097046"/>
            <w:bookmarkEnd w:id="107"/>
            <w:r>
              <w:rPr>
                <w:rFonts w:eastAsia="Times New Roman" w:cs="Times New Roman"/>
                <w:kern w:val="0"/>
                <w:sz w:val="24"/>
                <w:szCs w:val="24"/>
                <w:lang w:val="ru-RU" w:eastAsia="ru-RU" w:bidi="ar-SA"/>
              </w:rPr>
              <w:t>Тип</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8" w:name="__RefHeading___Toc3130_4046097046"/>
            <w:bookmarkEnd w:id="108"/>
            <w:r>
              <w:rPr>
                <w:rFonts w:eastAsia="Times New Roman" w:cs="Times New Roman"/>
                <w:kern w:val="0"/>
                <w:sz w:val="24"/>
                <w:szCs w:val="24"/>
                <w:lang w:val="ru-RU" w:eastAsia="ru-RU" w:bidi="ar-SA"/>
              </w:rPr>
              <w:t>Свойства</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9" w:name="__RefHeading___Toc3132_4046097046"/>
            <w:bookmarkEnd w:id="109"/>
            <w:r>
              <w:rPr>
                <w:rFonts w:eastAsia="Times New Roman" w:cs="Times New Roman"/>
                <w:kern w:val="0"/>
                <w:sz w:val="24"/>
                <w:szCs w:val="24"/>
                <w:lang w:val="ru-RU" w:eastAsia="ru-RU" w:bidi="ar-SA"/>
              </w:rPr>
              <w:t>Документ «Формирование выборки поставщиков»</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0" w:name="__RefHeading___Toc3134_4046097046"/>
            <w:bookmarkEnd w:id="110"/>
            <w:r>
              <w:rPr>
                <w:rFonts w:eastAsia="Times New Roman" w:cs="Times New Roman"/>
                <w:kern w:val="0"/>
                <w:sz w:val="24"/>
                <w:szCs w:val="24"/>
                <w:lang w:val="ru-RU" w:eastAsia="ru-RU" w:bidi="ar-SA"/>
              </w:rPr>
              <w:t>Номер</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1" w:name="__RefHeading___Toc3136_4046097046"/>
            <w:bookmarkEnd w:id="111"/>
            <w:r>
              <w:rPr>
                <w:rFonts w:eastAsia="Times New Roman" w:cs="Times New Roman"/>
                <w:kern w:val="0"/>
                <w:sz w:val="24"/>
                <w:szCs w:val="24"/>
                <w:lang w:val="ru-RU" w:eastAsia="ru-RU" w:bidi="ar-SA"/>
              </w:rPr>
              <w:t>Строка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2" w:name="__RefHeading___Toc3138_4046097046"/>
            <w:bookmarkEnd w:id="112"/>
            <w:r>
              <w:rPr>
                <w:rFonts w:eastAsia="Times New Roman" w:cs="Times New Roman"/>
                <w:kern w:val="0"/>
                <w:sz w:val="24"/>
                <w:szCs w:val="24"/>
                <w:lang w:val="ru-RU" w:eastAsia="ru-RU" w:bidi="ar-SA"/>
              </w:rPr>
              <w:t>Длина - 9</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3" w:name="__RefHeading___Toc3140_4046097046"/>
            <w:bookmarkEnd w:id="113"/>
            <w:r>
              <w:rPr>
                <w:rFonts w:eastAsia="Times New Roman" w:cs="Times New Roman"/>
                <w:kern w:val="0"/>
                <w:sz w:val="24"/>
                <w:szCs w:val="24"/>
                <w:lang w:val="ru-RU" w:eastAsia="ru-RU" w:bidi="ar-SA"/>
              </w:rPr>
              <w:t>Дата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4" w:name="__RefHeading___Toc3142_4046097046"/>
            <w:bookmarkEnd w:id="114"/>
            <w:r>
              <w:rPr>
                <w:rFonts w:eastAsia="Times New Roman" w:cs="Times New Roman"/>
                <w:kern w:val="0"/>
                <w:sz w:val="24"/>
                <w:szCs w:val="24"/>
                <w:lang w:val="ru-RU" w:eastAsia="ru-RU" w:bidi="ar-SA"/>
              </w:rPr>
              <w:t>Дата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5" w:name="__RefHeading___Toc3144_4046097046"/>
            <w:bookmarkEnd w:id="115"/>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6" w:name="__RefHeading___Toc3146_4046097046"/>
            <w:bookmarkEnd w:id="116"/>
            <w:r>
              <w:rPr>
                <w:rFonts w:eastAsia="Times New Roman" w:cs="Times New Roman"/>
                <w:kern w:val="0"/>
                <w:sz w:val="24"/>
                <w:szCs w:val="24"/>
                <w:lang w:val="ru-RU" w:eastAsia="ru-RU" w:bidi="ar-SA"/>
              </w:rPr>
              <w:t>Группа Товара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7" w:name="__RefHeading___Toc3148_4046097046"/>
            <w:bookmarkEnd w:id="117"/>
            <w:r>
              <w:rPr>
                <w:rFonts w:eastAsia="Times New Roman" w:cs="Times New Roman"/>
                <w:kern w:val="0"/>
                <w:sz w:val="24"/>
                <w:szCs w:val="24"/>
                <w:lang w:val="ru-RU" w:eastAsia="ru-RU" w:bidi="ar-SA"/>
              </w:rPr>
              <w:t>Справочник Ссылка. Группы товара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8" w:name="__RefHeading___Toc3150_4046097046"/>
            <w:bookmarkEnd w:id="118"/>
            <w:r>
              <w:rPr>
                <w:rFonts w:eastAsia="Times New Roman" w:cs="Times New Roman"/>
                <w:kern w:val="0"/>
                <w:sz w:val="24"/>
                <w:szCs w:val="24"/>
                <w:lang w:val="ru-RU" w:eastAsia="ru-RU" w:bidi="ar-SA"/>
              </w:rPr>
              <w:t>-</w:t>
            </w:r>
          </w:p>
        </w:tc>
      </w:tr>
      <w:tr>
        <w:trPr/>
        <w:tc>
          <w:tcPr>
            <w:tcW w:w="19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9" w:name="__RefHeading___Toc3152_4046097046"/>
            <w:bookmarkEnd w:id="119"/>
            <w:r>
              <w:rPr>
                <w:rFonts w:eastAsia="Times New Roman" w:cs="Times New Roman"/>
                <w:kern w:val="0"/>
                <w:sz w:val="24"/>
                <w:szCs w:val="24"/>
                <w:lang w:val="ru-RU" w:eastAsia="ru-RU" w:bidi="ar-SA"/>
              </w:rPr>
              <w:t>Табличная часть «Список поставщиков»</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0" w:name="__RefHeading___Toc3154_4046097046"/>
            <w:bookmarkEnd w:id="120"/>
            <w:r>
              <w:rPr>
                <w:rFonts w:eastAsia="Times New Roman" w:cs="Times New Roman"/>
                <w:kern w:val="0"/>
                <w:sz w:val="24"/>
                <w:szCs w:val="24"/>
                <w:lang w:val="ru-RU" w:eastAsia="ru-RU" w:bidi="ar-SA"/>
              </w:rPr>
              <w:t>Наименование</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1" w:name="__RefHeading___Toc3156_4046097046"/>
            <w:bookmarkEnd w:id="121"/>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2" w:name="__RefHeading___Toc3158_4046097046"/>
            <w:bookmarkEnd w:id="122"/>
            <w:r>
              <w:rPr>
                <w:rFonts w:eastAsia="Times New Roman" w:cs="Times New Roman"/>
                <w:kern w:val="0"/>
                <w:sz w:val="24"/>
                <w:szCs w:val="24"/>
                <w:lang w:val="ru-RU" w:eastAsia="ru-RU" w:bidi="ar-SA"/>
              </w:rPr>
              <w:t>-</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3" w:name="__RefHeading___Toc3160_4046097046"/>
            <w:bookmarkEnd w:id="123"/>
            <w:r>
              <w:rPr>
                <w:rFonts w:eastAsia="Times New Roman" w:cs="Times New Roman"/>
                <w:kern w:val="0"/>
                <w:sz w:val="24"/>
                <w:szCs w:val="24"/>
                <w:lang w:val="ru-RU" w:eastAsia="ru-RU" w:bidi="ar-SA"/>
              </w:rPr>
              <w:t>Документ «Анализ Выборка»</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4" w:name="__RefHeading___Toc3162_4046097046"/>
            <w:bookmarkEnd w:id="124"/>
            <w:r>
              <w:rPr>
                <w:rFonts w:eastAsia="Times New Roman" w:cs="Times New Roman"/>
                <w:kern w:val="0"/>
                <w:sz w:val="24"/>
                <w:szCs w:val="24"/>
                <w:lang w:val="ru-RU" w:eastAsia="ru-RU" w:bidi="ar-SA"/>
              </w:rPr>
              <w:t>Номер</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5" w:name="__RefHeading___Toc3164_4046097046"/>
            <w:bookmarkEnd w:id="125"/>
            <w:r>
              <w:rPr>
                <w:rFonts w:eastAsia="Times New Roman" w:cs="Times New Roman"/>
                <w:kern w:val="0"/>
                <w:sz w:val="24"/>
                <w:szCs w:val="24"/>
                <w:lang w:val="ru-RU" w:eastAsia="ru-RU" w:bidi="ar-SA"/>
              </w:rPr>
              <w:t>Строка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6" w:name="__RefHeading___Toc3166_4046097046"/>
            <w:bookmarkEnd w:id="126"/>
            <w:r>
              <w:rPr>
                <w:rFonts w:eastAsia="Times New Roman" w:cs="Times New Roman"/>
                <w:kern w:val="0"/>
                <w:sz w:val="24"/>
                <w:szCs w:val="24"/>
                <w:lang w:val="ru-RU" w:eastAsia="ru-RU" w:bidi="ar-SA"/>
              </w:rPr>
              <w:t>Длина - 9</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7" w:name="__RefHeading___Toc3168_4046097046"/>
            <w:bookmarkEnd w:id="127"/>
            <w:r>
              <w:rPr>
                <w:rFonts w:eastAsia="Times New Roman" w:cs="Times New Roman"/>
                <w:kern w:val="0"/>
                <w:sz w:val="24"/>
                <w:szCs w:val="24"/>
                <w:lang w:val="ru-RU" w:eastAsia="ru-RU" w:bidi="ar-SA"/>
              </w:rPr>
              <w:t>Дата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8" w:name="__RefHeading___Toc3170_4046097046"/>
            <w:bookmarkEnd w:id="128"/>
            <w:r>
              <w:rPr>
                <w:rFonts w:eastAsia="Times New Roman" w:cs="Times New Roman"/>
                <w:kern w:val="0"/>
                <w:sz w:val="24"/>
                <w:szCs w:val="24"/>
                <w:lang w:val="ru-RU" w:eastAsia="ru-RU" w:bidi="ar-SA"/>
              </w:rPr>
              <w:t>Дата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9" w:name="__RefHeading___Toc3172_4046097046"/>
            <w:bookmarkEnd w:id="129"/>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0" w:name="__RefHeading___Toc3174_4046097046"/>
            <w:bookmarkEnd w:id="130"/>
            <w:r>
              <w:rPr>
                <w:rFonts w:eastAsia="Times New Roman" w:cs="Times New Roman"/>
                <w:kern w:val="0"/>
                <w:sz w:val="24"/>
                <w:szCs w:val="24"/>
                <w:lang w:val="ru-RU" w:eastAsia="ru-RU" w:bidi="ar-SA"/>
              </w:rPr>
              <w:t>Выборка поставщиков</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1" w:name="__RefHeading___Toc3176_4046097046"/>
            <w:bookmarkEnd w:id="131"/>
            <w:r>
              <w:rPr>
                <w:rFonts w:eastAsia="Times New Roman" w:cs="Times New Roman"/>
                <w:kern w:val="0"/>
                <w:sz w:val="24"/>
                <w:szCs w:val="24"/>
                <w:lang w:val="ru-RU" w:eastAsia="ru-RU" w:bidi="ar-SA"/>
              </w:rPr>
              <w:t>Документ Ссылка. Формирование выборки поставщиков</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2" w:name="__RefHeading___Toc3178_4046097046"/>
            <w:bookmarkEnd w:id="132"/>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3" w:name="__RefHeading___Toc3180_4046097046"/>
            <w:bookmarkEnd w:id="133"/>
            <w:r>
              <w:rPr>
                <w:rFonts w:eastAsia="Times New Roman" w:cs="Times New Roman"/>
                <w:kern w:val="0"/>
                <w:sz w:val="24"/>
                <w:szCs w:val="24"/>
                <w:lang w:val="ru-RU" w:eastAsia="ru-RU" w:bidi="ar-SA"/>
              </w:rPr>
              <w:t>Рекомендуемый поставщик</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4" w:name="__RefHeading___Toc3182_4046097046"/>
            <w:bookmarkEnd w:id="134"/>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5" w:name="__RefHeading___Toc3184_4046097046"/>
            <w:bookmarkEnd w:id="135"/>
            <w:r>
              <w:rPr>
                <w:rFonts w:eastAsia="Times New Roman" w:cs="Times New Roman"/>
                <w:kern w:val="0"/>
                <w:sz w:val="24"/>
                <w:szCs w:val="24"/>
                <w:lang w:val="ru-RU" w:eastAsia="ru-RU" w:bidi="ar-SA"/>
              </w:rPr>
              <w:t>-</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6" w:name="__RefHeading___Toc3186_4046097046"/>
            <w:bookmarkEnd w:id="136"/>
            <w:r>
              <w:rPr>
                <w:rFonts w:eastAsia="Times New Roman" w:cs="Times New Roman"/>
                <w:kern w:val="0"/>
                <w:sz w:val="24"/>
                <w:szCs w:val="24"/>
                <w:lang w:val="ru-RU" w:eastAsia="ru-RU" w:bidi="ar-SA"/>
              </w:rPr>
              <w:t>Табличная часть «Результаты оценки»</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7" w:name="__RefHeading___Toc3188_4046097046"/>
            <w:bookmarkEnd w:id="137"/>
            <w:r>
              <w:rPr>
                <w:rFonts w:eastAsia="Times New Roman" w:cs="Times New Roman"/>
                <w:kern w:val="0"/>
                <w:sz w:val="24"/>
                <w:szCs w:val="24"/>
                <w:lang w:val="ru-RU" w:eastAsia="ru-RU" w:bidi="ar-SA"/>
              </w:rPr>
              <w:t>Поставщик</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8" w:name="__RefHeading___Toc3190_4046097046"/>
            <w:bookmarkEnd w:id="138"/>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9" w:name="__RefHeading___Toc3192_4046097046"/>
            <w:bookmarkEnd w:id="139"/>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0" w:name="__RefHeading___Toc3194_4046097046"/>
            <w:bookmarkEnd w:id="140"/>
            <w:r>
              <w:rPr>
                <w:rFonts w:eastAsia="Times New Roman" w:cs="Times New Roman"/>
                <w:kern w:val="0"/>
                <w:sz w:val="24"/>
                <w:szCs w:val="24"/>
                <w:lang w:val="ru-RU" w:eastAsia="ru-RU" w:bidi="ar-SA"/>
              </w:rPr>
              <w:t>Оценка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1" w:name="__RefHeading___Toc3196_4046097046"/>
            <w:bookmarkEnd w:id="141"/>
            <w:r>
              <w:rPr>
                <w:rFonts w:eastAsia="Times New Roman" w:cs="Times New Roman"/>
                <w:kern w:val="0"/>
                <w:sz w:val="24"/>
                <w:szCs w:val="24"/>
                <w:lang w:val="ru-RU" w:eastAsia="ru-RU" w:bidi="ar-SA"/>
              </w:rPr>
              <w:t>Число</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2" w:name="__RefHeading___Toc3198_4046097046"/>
            <w:bookmarkEnd w:id="142"/>
            <w:r>
              <w:rPr>
                <w:rFonts w:eastAsia="Times New Roman" w:cs="Times New Roman"/>
                <w:kern w:val="0"/>
                <w:sz w:val="24"/>
                <w:szCs w:val="24"/>
                <w:lang w:val="ru-RU" w:eastAsia="ru-RU" w:bidi="ar-SA"/>
              </w:rPr>
              <w:t>Длина – 6,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3" w:name="__RefHeading___Toc3200_4046097046"/>
            <w:bookmarkEnd w:id="143"/>
            <w:r>
              <w:rPr>
                <w:rFonts w:eastAsia="Times New Roman" w:cs="Times New Roman"/>
                <w:kern w:val="0"/>
                <w:sz w:val="24"/>
                <w:szCs w:val="24"/>
                <w:lang w:val="ru-RU" w:eastAsia="ru-RU" w:bidi="ar-SA"/>
              </w:rPr>
              <w:t>Уровень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4" w:name="__RefHeading___Toc3202_4046097046"/>
            <w:bookmarkEnd w:id="144"/>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5" w:name="__RefHeading___Toc3204_4046097046"/>
            <w:bookmarkEnd w:id="145"/>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6" w:name="__RefHeading___Toc3206_4046097046"/>
            <w:bookmarkEnd w:id="146"/>
            <w:r>
              <w:rPr>
                <w:rFonts w:eastAsia="Times New Roman" w:cs="Times New Roman"/>
                <w:kern w:val="0"/>
                <w:sz w:val="24"/>
                <w:szCs w:val="24"/>
                <w:lang w:val="ru-RU" w:eastAsia="ru-RU" w:bidi="ar-SA"/>
              </w:rPr>
              <w:t>Факторы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7" w:name="__RefHeading___Toc3208_4046097046"/>
            <w:bookmarkEnd w:id="147"/>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8" w:name="__RefHeading___Toc3210_4046097046"/>
            <w:bookmarkEnd w:id="148"/>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9" w:name="__RefHeading___Toc3212_4046097046"/>
            <w:bookmarkEnd w:id="149"/>
            <w:r>
              <w:rPr>
                <w:rFonts w:eastAsia="Times New Roman" w:cs="Times New Roman"/>
                <w:kern w:val="0"/>
                <w:sz w:val="24"/>
                <w:szCs w:val="24"/>
                <w:lang w:val="ru-RU" w:eastAsia="ru-RU" w:bidi="ar-SA"/>
              </w:rPr>
              <w:t>Финансовый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0" w:name="__RefHeading___Toc3214_4046097046"/>
            <w:bookmarkEnd w:id="150"/>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1" w:name="__RefHeading___Toc3216_4046097046"/>
            <w:bookmarkEnd w:id="151"/>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2" w:name="__RefHeading___Toc3218_4046097046"/>
            <w:bookmarkEnd w:id="152"/>
            <w:r>
              <w:rPr>
                <w:rFonts w:eastAsia="Times New Roman" w:cs="Times New Roman"/>
                <w:kern w:val="0"/>
                <w:sz w:val="24"/>
                <w:szCs w:val="24"/>
                <w:lang w:val="ru-RU" w:eastAsia="ru-RU" w:bidi="ar-SA"/>
              </w:rPr>
              <w:t>Юридический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3" w:name="__RefHeading___Toc3220_4046097046"/>
            <w:bookmarkEnd w:id="153"/>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4" w:name="__RefHeading___Toc3222_4046097046"/>
            <w:bookmarkEnd w:id="154"/>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5" w:name="__RefHeading___Toc3224_4046097046"/>
            <w:bookmarkEnd w:id="155"/>
            <w:r>
              <w:rPr>
                <w:rFonts w:eastAsia="Times New Roman" w:cs="Times New Roman"/>
                <w:kern w:val="0"/>
                <w:sz w:val="24"/>
                <w:szCs w:val="24"/>
                <w:lang w:val="ru-RU" w:eastAsia="ru-RU" w:bidi="ar-SA"/>
              </w:rPr>
              <w:t>Репутационный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6" w:name="__RefHeading___Toc3226_4046097046"/>
            <w:bookmarkEnd w:id="156"/>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7" w:name="__RefHeading___Toc3228_4046097046"/>
            <w:bookmarkEnd w:id="157"/>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8" w:name="__RefHeading___Toc3230_4046097046"/>
            <w:bookmarkEnd w:id="158"/>
            <w:r>
              <w:rPr>
                <w:rFonts w:eastAsia="Times New Roman" w:cs="Times New Roman"/>
                <w:kern w:val="0"/>
                <w:sz w:val="24"/>
                <w:szCs w:val="24"/>
                <w:lang w:val="ru-RU" w:eastAsia="ru-RU" w:bidi="ar-SA"/>
              </w:rPr>
              <w:t>Операционный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9" w:name="__RefHeading___Toc3232_4046097046"/>
            <w:bookmarkEnd w:id="159"/>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0" w:name="__RefHeading___Toc3234_4046097046"/>
            <w:bookmarkEnd w:id="160"/>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1" w:name="__RefHeading___Toc3236_4046097046"/>
            <w:bookmarkEnd w:id="161"/>
            <w:r>
              <w:rPr>
                <w:rFonts w:eastAsia="Times New Roman" w:cs="Times New Roman"/>
                <w:kern w:val="0"/>
                <w:sz w:val="24"/>
                <w:szCs w:val="24"/>
                <w:lang w:val="ru-RU" w:eastAsia="ru-RU" w:bidi="ar-SA"/>
              </w:rPr>
              <w:t>Оценка стабильности</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2" w:name="__RefHeading___Toc3238_4046097046"/>
            <w:bookmarkEnd w:id="162"/>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3" w:name="__RefHeading___Toc3240_4046097046"/>
            <w:bookmarkEnd w:id="163"/>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4" w:name="__RefHeading___Toc3242_4046097046"/>
            <w:bookmarkEnd w:id="164"/>
            <w:r>
              <w:rPr>
                <w:rFonts w:eastAsia="Times New Roman" w:cs="Times New Roman"/>
                <w:kern w:val="0"/>
                <w:sz w:val="24"/>
                <w:szCs w:val="24"/>
                <w:lang w:val="ru-RU" w:eastAsia="ru-RU" w:bidi="ar-SA"/>
              </w:rPr>
              <w:t>Вероятность высокого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5" w:name="__RefHeading___Toc3244_4046097046"/>
            <w:bookmarkEnd w:id="165"/>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6" w:name="__RefHeading___Toc3246_4046097046"/>
            <w:bookmarkEnd w:id="166"/>
            <w:r>
              <w:rPr>
                <w:rFonts w:eastAsia="Times New Roman" w:cs="Times New Roman"/>
                <w:kern w:val="0"/>
                <w:sz w:val="24"/>
                <w:szCs w:val="24"/>
                <w:lang w:val="ru-RU" w:eastAsia="ru-RU" w:bidi="ar-SA"/>
              </w:rPr>
              <w:t>Длина – 5, точн. - 2</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7" w:name="__RefHeading___Toc3248_4046097046"/>
            <w:bookmarkEnd w:id="167"/>
            <w:r>
              <w:rPr>
                <w:rFonts w:eastAsia="Times New Roman" w:cs="Times New Roman"/>
                <w:kern w:val="0"/>
                <w:sz w:val="24"/>
                <w:szCs w:val="24"/>
                <w:lang w:val="ru-RU" w:eastAsia="ru-RU" w:bidi="ar-SA"/>
              </w:rPr>
              <w:t>Расчетный балл</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8" w:name="__RefHeading___Toc3250_4046097046"/>
            <w:bookmarkEnd w:id="168"/>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9" w:name="__RefHeading___Toc3252_4046097046"/>
            <w:bookmarkEnd w:id="169"/>
            <w:r>
              <w:rPr>
                <w:rFonts w:eastAsia="Times New Roman" w:cs="Times New Roman"/>
                <w:kern w:val="0"/>
                <w:sz w:val="24"/>
                <w:szCs w:val="24"/>
                <w:lang w:val="ru-RU" w:eastAsia="ru-RU" w:bidi="ar-SA"/>
              </w:rPr>
              <w:t>Длина – 10, точн. - 2</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0" w:name="__RefHeading___Toc3254_4046097046"/>
            <w:bookmarkEnd w:id="170"/>
            <w:r>
              <w:rPr>
                <w:rFonts w:eastAsia="Times New Roman" w:cs="Times New Roman"/>
                <w:kern w:val="0"/>
                <w:sz w:val="24"/>
                <w:szCs w:val="24"/>
                <w:lang w:val="ru-RU" w:eastAsia="ru-RU" w:bidi="ar-SA"/>
              </w:rPr>
              <w:t>Табличная часть «Рейтинг поставщиков»</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1" w:name="__RefHeading___Toc3256_4046097046"/>
            <w:bookmarkEnd w:id="171"/>
            <w:r>
              <w:rPr>
                <w:rFonts w:eastAsia="Times New Roman" w:cs="Times New Roman"/>
                <w:kern w:val="0"/>
                <w:sz w:val="24"/>
                <w:szCs w:val="24"/>
                <w:lang w:val="ru-RU" w:eastAsia="ru-RU" w:bidi="ar-SA"/>
              </w:rPr>
              <w:t>Поставщик</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2" w:name="__RefHeading___Toc3258_4046097046"/>
            <w:bookmarkEnd w:id="172"/>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3" w:name="__RefHeading___Toc3260_4046097046"/>
            <w:bookmarkEnd w:id="173"/>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4" w:name="__RefHeading___Toc3262_4046097046"/>
            <w:bookmarkEnd w:id="174"/>
            <w:r>
              <w:rPr>
                <w:rFonts w:eastAsia="Times New Roman" w:cs="Times New Roman"/>
                <w:kern w:val="0"/>
                <w:sz w:val="24"/>
                <w:szCs w:val="24"/>
                <w:lang w:val="ru-RU" w:eastAsia="ru-RU" w:bidi="ar-SA"/>
              </w:rPr>
              <w:t>Итоговая оценка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5" w:name="__RefHeading___Toc3264_4046097046"/>
            <w:bookmarkEnd w:id="175"/>
            <w:r>
              <w:rPr>
                <w:rFonts w:eastAsia="Times New Roman" w:cs="Times New Roman"/>
                <w:kern w:val="0"/>
                <w:sz w:val="24"/>
                <w:szCs w:val="24"/>
                <w:lang w:val="ru-RU" w:eastAsia="ru-RU" w:bidi="ar-SA"/>
              </w:rPr>
              <w:t>Число</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6" w:name="__RefHeading___Toc3266_4046097046"/>
            <w:bookmarkEnd w:id="176"/>
            <w:r>
              <w:rPr>
                <w:rFonts w:eastAsia="Times New Roman" w:cs="Times New Roman"/>
                <w:kern w:val="0"/>
                <w:sz w:val="24"/>
                <w:szCs w:val="24"/>
                <w:lang w:val="ru-RU" w:eastAsia="ru-RU" w:bidi="ar-SA"/>
              </w:rPr>
              <w:t>Длина – 6,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7" w:name="__RefHeading___Toc3268_4046097046"/>
            <w:bookmarkEnd w:id="177"/>
            <w:r>
              <w:rPr>
                <w:rFonts w:eastAsia="Times New Roman" w:cs="Times New Roman"/>
                <w:kern w:val="0"/>
                <w:sz w:val="24"/>
                <w:szCs w:val="24"/>
                <w:lang w:val="ru-RU" w:eastAsia="ru-RU" w:bidi="ar-SA"/>
              </w:rPr>
              <w:t>Уровень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8" w:name="__RefHeading___Toc3270_4046097046"/>
            <w:bookmarkEnd w:id="178"/>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9" w:name="__RefHeading___Toc3272_4046097046"/>
            <w:bookmarkEnd w:id="179"/>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0" w:name="__RefHeading___Toc3274_4046097046"/>
            <w:bookmarkEnd w:id="180"/>
            <w:r>
              <w:rPr>
                <w:rFonts w:eastAsia="Times New Roman" w:cs="Times New Roman"/>
                <w:kern w:val="0"/>
                <w:sz w:val="24"/>
                <w:szCs w:val="24"/>
                <w:lang w:val="ru-RU" w:eastAsia="ru-RU" w:bidi="ar-SA"/>
              </w:rPr>
              <w:t>Факторы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1" w:name="__RefHeading___Toc3276_4046097046"/>
            <w:bookmarkEnd w:id="181"/>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2" w:name="__RefHeading___Toc3278_4046097046"/>
            <w:bookmarkEnd w:id="182"/>
            <w:r>
              <w:rPr>
                <w:rFonts w:eastAsia="Times New Roman" w:cs="Times New Roman"/>
                <w:kern w:val="0"/>
                <w:sz w:val="24"/>
                <w:szCs w:val="24"/>
                <w:lang w:val="ru-RU" w:eastAsia="ru-RU" w:bidi="ar-SA"/>
              </w:rPr>
              <w:t>-</w:t>
            </w:r>
          </w:p>
        </w:tc>
      </w:tr>
      <w:tr>
        <w:trPr/>
        <w:tc>
          <w:tcPr>
            <w:tcW w:w="1997"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3" w:name="__RefHeading___Toc3280_4046097046"/>
            <w:bookmarkEnd w:id="183"/>
            <w:r>
              <w:rPr>
                <w:rFonts w:eastAsia="Times New Roman" w:cs="Times New Roman"/>
                <w:kern w:val="0"/>
                <w:sz w:val="24"/>
                <w:szCs w:val="24"/>
                <w:lang w:val="ru-RU" w:eastAsia="ru-RU" w:bidi="ar-SA"/>
              </w:rPr>
              <w:t>Табличная часть «Список поставщиков»</w:t>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4" w:name="__RefHeading___Toc3282_4046097046"/>
            <w:bookmarkEnd w:id="184"/>
            <w:r>
              <w:rPr>
                <w:rFonts w:eastAsia="Times New Roman" w:cs="Times New Roman"/>
                <w:kern w:val="0"/>
                <w:sz w:val="24"/>
                <w:szCs w:val="24"/>
                <w:lang w:val="ru-RU" w:eastAsia="ru-RU" w:bidi="ar-SA"/>
              </w:rPr>
              <w:t>Наименование</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5" w:name="__RefHeading___Toc3284_4046097046"/>
            <w:bookmarkEnd w:id="185"/>
            <w:r>
              <w:rPr>
                <w:rFonts w:eastAsia="Times New Roman" w:cs="Times New Roman"/>
                <w:kern w:val="0"/>
                <w:sz w:val="24"/>
                <w:szCs w:val="24"/>
                <w:lang w:val="ru-RU" w:eastAsia="ru-RU" w:bidi="ar-SA"/>
              </w:rPr>
              <w:t>Справочник Ссылка. Поставщики</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6" w:name="__RefHeading___Toc3286_4046097046"/>
            <w:bookmarkEnd w:id="186"/>
            <w:r>
              <w:rPr>
                <w:rFonts w:eastAsia="Times New Roman" w:cs="Times New Roman"/>
                <w:kern w:val="0"/>
                <w:sz w:val="24"/>
                <w:szCs w:val="24"/>
                <w:lang w:val="ru-RU" w:eastAsia="ru-RU" w:bidi="ar-SA"/>
              </w:rPr>
              <w:t>-</w:t>
            </w:r>
          </w:p>
        </w:tc>
      </w:tr>
    </w:tbl>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r>
    </w:p>
    <w:p>
      <w:pPr>
        <w:pStyle w:val="ListParagraph"/>
        <w:spacing w:lineRule="auto" w:line="360" w:before="0" w:after="0"/>
        <w:ind w:firstLine="709" w:left="0"/>
        <w:contextualSpacing/>
        <w:jc w:val="right"/>
        <w:rPr>
          <w:rFonts w:ascii="Times New Roman" w:hAnsi="Times New Roman"/>
          <w:sz w:val="28"/>
          <w:szCs w:val="28"/>
        </w:rPr>
      </w:pPr>
      <w:r>
        <w:rPr>
          <w:rFonts w:eastAsia="Times New Roman"/>
          <w:sz w:val="28"/>
          <w:szCs w:val="28"/>
        </w:rPr>
        <w:t>Таблица 3.3</w:t>
      </w:r>
    </w:p>
    <w:p>
      <w:pPr>
        <w:pStyle w:val="ListParagraph"/>
        <w:spacing w:lineRule="auto" w:line="360" w:before="0" w:after="0"/>
        <w:ind w:firstLine="709" w:left="0"/>
        <w:contextualSpacing/>
        <w:jc w:val="center"/>
        <w:rPr>
          <w:rFonts w:ascii="Times New Roman" w:hAnsi="Times New Roman"/>
        </w:rPr>
      </w:pPr>
      <w:bookmarkStart w:id="187" w:name="__RefHeading___Toc3334_4046097046_Копия_"/>
      <w:bookmarkEnd w:id="187"/>
      <w:r>
        <w:rPr>
          <w:rFonts w:eastAsia="Times New Roman"/>
          <w:sz w:val="28"/>
          <w:szCs w:val="28"/>
          <w:lang w:val="ru-RU"/>
        </w:rPr>
        <w:t>Р</w:t>
      </w:r>
      <w:r>
        <w:rPr>
          <w:rFonts w:eastAsia="Times New Roman"/>
          <w:sz w:val="28"/>
          <w:szCs w:val="28"/>
        </w:rPr>
        <w:t>егистры сведений</w:t>
      </w:r>
    </w:p>
    <w:tbl>
      <w:tblPr>
        <w:tblW w:w="9345" w:type="dxa"/>
        <w:jc w:val="left"/>
        <w:tblInd w:w="-226" w:type="dxa"/>
        <w:tblLayout w:type="fixed"/>
        <w:tblCellMar>
          <w:top w:w="0" w:type="dxa"/>
          <w:left w:w="108" w:type="dxa"/>
          <w:bottom w:w="0" w:type="dxa"/>
          <w:right w:w="108" w:type="dxa"/>
        </w:tblCellMar>
      </w:tblPr>
      <w:tblGrid>
        <w:gridCol w:w="2282"/>
        <w:gridCol w:w="2868"/>
        <w:gridCol w:w="4195"/>
      </w:tblGrid>
      <w:tr>
        <w:trPr/>
        <w:tc>
          <w:tcPr>
            <w:tcW w:w="22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88" w:name="__RefHeading___Toc3336_4046097046_Копия_"/>
            <w:bookmarkEnd w:id="188"/>
            <w:r>
              <w:rPr>
                <w:rFonts w:eastAsia="Times New Roman" w:cs="Times New Roman"/>
                <w:kern w:val="0"/>
                <w:sz w:val="24"/>
                <w:szCs w:val="24"/>
                <w:lang w:val="ru-RU" w:eastAsia="ru-RU" w:bidi="ar-SA"/>
              </w:rPr>
              <w:t>Наименование объекта</w:t>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89" w:name="__RefHeading___Toc3338_4046097046_Копия_"/>
            <w:bookmarkEnd w:id="189"/>
            <w:r>
              <w:rPr>
                <w:rFonts w:eastAsia="Times New Roman" w:cs="Times New Roman"/>
                <w:kern w:val="0"/>
                <w:sz w:val="24"/>
                <w:szCs w:val="24"/>
                <w:lang w:val="ru-RU" w:eastAsia="ru-RU" w:bidi="ar-SA"/>
              </w:rPr>
              <w:t>Наименование реквизита</w:t>
            </w:r>
          </w:p>
        </w:tc>
        <w:tc>
          <w:tcPr>
            <w:tcW w:w="41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90" w:name="__RefHeading___Toc3340_4046097046_Копия_"/>
            <w:bookmarkEnd w:id="190"/>
            <w:r>
              <w:rPr>
                <w:rFonts w:eastAsia="Times New Roman" w:cs="Times New Roman"/>
                <w:kern w:val="0"/>
                <w:sz w:val="24"/>
                <w:szCs w:val="24"/>
                <w:lang w:val="ru-RU" w:eastAsia="ru-RU" w:bidi="ar-SA"/>
              </w:rPr>
              <w:t>Тип данных и свойства</w:t>
            </w:r>
          </w:p>
        </w:tc>
      </w:tr>
      <w:tr>
        <w:trPr/>
        <w:tc>
          <w:tcPr>
            <w:tcW w:w="2282"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1" w:name="__RefHeading___Toc3342_4046097046_Копия_"/>
            <w:bookmarkEnd w:id="191"/>
            <w:r>
              <w:rPr>
                <w:rFonts w:eastAsia="Times New Roman" w:cs="Times New Roman"/>
                <w:kern w:val="0"/>
                <w:sz w:val="24"/>
                <w:szCs w:val="24"/>
                <w:lang w:val="ru-RU" w:eastAsia="ru-RU" w:bidi="ar-SA"/>
              </w:rPr>
              <w:t>Результаты оценки</w:t>
            </w:r>
          </w:p>
        </w:tc>
        <w:tc>
          <w:tcPr>
            <w:tcW w:w="7063"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92" w:name="__RefHeading___Toc3344_4046097046_Копия_"/>
            <w:bookmarkEnd w:id="192"/>
            <w:r>
              <w:rPr>
                <w:rFonts w:eastAsia="Times New Roman" w:cs="Times New Roman"/>
                <w:kern w:val="0"/>
                <w:sz w:val="24"/>
                <w:szCs w:val="24"/>
                <w:lang w:val="ru-RU" w:eastAsia="ru-RU" w:bidi="ar-SA"/>
              </w:rPr>
              <w:t>Измерения</w:t>
            </w:r>
          </w:p>
        </w:tc>
      </w:tr>
      <w:tr>
        <w:trPr/>
        <w:tc>
          <w:tcPr>
            <w:tcW w:w="2282"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tabs>
                <w:tab w:val="clear" w:pos="708"/>
                <w:tab w:val="center" w:pos="1325" w:leader="none"/>
              </w:tabs>
              <w:suppressAutoHyphens w:val="true"/>
              <w:spacing w:lineRule="auto" w:line="240" w:before="0" w:after="0"/>
              <w:ind w:hanging="0" w:left="0"/>
              <w:jc w:val="both"/>
              <w:rPr>
                <w:sz w:val="24"/>
                <w:szCs w:val="24"/>
              </w:rPr>
            </w:pPr>
            <w:bookmarkStart w:id="193" w:name="__RefHeading___Toc3346_4046097046_Копия_"/>
            <w:bookmarkEnd w:id="193"/>
            <w:r>
              <w:rPr>
                <w:rFonts w:eastAsia="Times New Roman" w:cs="Times New Roman"/>
                <w:kern w:val="0"/>
                <w:sz w:val="24"/>
                <w:szCs w:val="24"/>
                <w:lang w:val="ru-RU" w:eastAsia="ru-RU" w:bidi="ar-SA"/>
              </w:rPr>
              <w:t>Поставщик</w:t>
            </w:r>
          </w:p>
        </w:tc>
        <w:tc>
          <w:tcPr>
            <w:tcW w:w="41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both"/>
              <w:rPr>
                <w:sz w:val="24"/>
                <w:szCs w:val="24"/>
              </w:rPr>
            </w:pPr>
            <w:bookmarkStart w:id="194" w:name="__RefHeading___Toc3348_4046097046_Копия_"/>
            <w:bookmarkEnd w:id="194"/>
            <w:r>
              <w:rPr>
                <w:rFonts w:eastAsia="Times New Roman" w:cs="Times New Roman"/>
                <w:kern w:val="0"/>
                <w:sz w:val="24"/>
                <w:szCs w:val="24"/>
                <w:lang w:val="ru-RU" w:eastAsia="ru-RU" w:bidi="ar-SA"/>
              </w:rPr>
              <w:t>Справочник. Поставщики</w:t>
            </w:r>
          </w:p>
        </w:tc>
      </w:tr>
      <w:tr>
        <w:trPr/>
        <w:tc>
          <w:tcPr>
            <w:tcW w:w="2282"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7063"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95" w:name="__RefHeading___Toc3350_4046097046_Копия_"/>
            <w:bookmarkEnd w:id="195"/>
            <w:r>
              <w:rPr>
                <w:rFonts w:eastAsia="Times New Roman" w:cs="Times New Roman"/>
                <w:kern w:val="0"/>
                <w:sz w:val="24"/>
                <w:szCs w:val="24"/>
                <w:lang w:val="ru-RU" w:eastAsia="ru-RU" w:bidi="ar-SA"/>
              </w:rPr>
              <w:t>Ресурсы</w:t>
            </w:r>
          </w:p>
        </w:tc>
      </w:tr>
      <w:tr>
        <w:trPr/>
        <w:tc>
          <w:tcPr>
            <w:tcW w:w="2282"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both"/>
              <w:rPr>
                <w:sz w:val="24"/>
                <w:szCs w:val="24"/>
              </w:rPr>
            </w:pPr>
            <w:bookmarkStart w:id="196" w:name="__RefHeading___Toc3352_4046097046_Копия_"/>
            <w:bookmarkEnd w:id="196"/>
            <w:r>
              <w:rPr>
                <w:rFonts w:eastAsia="Times New Roman" w:cs="Times New Roman"/>
                <w:kern w:val="0"/>
                <w:sz w:val="24"/>
                <w:szCs w:val="24"/>
                <w:lang w:val="ru-RU" w:eastAsia="ru-RU" w:bidi="ar-SA"/>
              </w:rPr>
              <w:t>Оценка</w:t>
            </w:r>
          </w:p>
        </w:tc>
        <w:tc>
          <w:tcPr>
            <w:tcW w:w="41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both"/>
              <w:rPr>
                <w:sz w:val="24"/>
                <w:szCs w:val="24"/>
              </w:rPr>
            </w:pPr>
            <w:bookmarkStart w:id="197" w:name="__RefHeading___Toc3354_4046097046_Копия_"/>
            <w:bookmarkEnd w:id="197"/>
            <w:r>
              <w:rPr>
                <w:rFonts w:eastAsia="Times New Roman" w:cs="Times New Roman"/>
                <w:kern w:val="0"/>
                <w:sz w:val="24"/>
                <w:szCs w:val="24"/>
                <w:lang w:val="ru-RU" w:eastAsia="ru-RU" w:bidi="ar-SA"/>
              </w:rPr>
              <w:t xml:space="preserve">Число, длина - </w:t>
            </w:r>
            <w:r>
              <w:rPr>
                <w:rFonts w:eastAsia="Times New Roman" w:cs="Times New Roman"/>
                <w:kern w:val="0"/>
                <w:sz w:val="24"/>
                <w:szCs w:val="24"/>
                <w:lang w:val="en-US" w:eastAsia="ru-RU" w:bidi="ar-SA"/>
              </w:rPr>
              <w:t>7</w:t>
            </w:r>
            <w:r>
              <w:rPr>
                <w:rFonts w:eastAsia="Times New Roman" w:cs="Times New Roman"/>
                <w:kern w:val="0"/>
                <w:sz w:val="24"/>
                <w:szCs w:val="24"/>
                <w:lang w:val="ru-RU" w:eastAsia="ru-RU" w:bidi="ar-SA"/>
              </w:rPr>
              <w:t xml:space="preserve">, точность - </w:t>
            </w:r>
            <w:r>
              <w:rPr>
                <w:rFonts w:eastAsia="Times New Roman" w:cs="Times New Roman"/>
                <w:kern w:val="0"/>
                <w:sz w:val="24"/>
                <w:szCs w:val="24"/>
                <w:lang w:val="en-US" w:eastAsia="ru-RU" w:bidi="ar-SA"/>
              </w:rPr>
              <w:t>2</w:t>
            </w:r>
          </w:p>
        </w:tc>
      </w:tr>
    </w:tbl>
    <w:p>
      <w:pPr>
        <w:pStyle w:val="Normal"/>
        <w:spacing w:lineRule="auto" w:line="360" w:before="0" w:after="0"/>
        <w:ind w:hanging="0"/>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hanging="0"/>
        <w:jc w:val="both"/>
        <w:rPr>
          <w:rFonts w:ascii="Times New Roman" w:hAnsi="Times New Roman" w:cs="Times New Roman"/>
          <w:bCs/>
          <w:sz w:val="28"/>
          <w:szCs w:val="28"/>
        </w:rPr>
      </w:pPr>
      <w:r>
        <w:rPr>
          <w:rFonts w:cs="Times New Roman"/>
          <w:sz w:val="28"/>
          <w:szCs w:val="28"/>
          <w:lang w:eastAsia="ru-RU"/>
        </w:rPr>
        <w:tab/>
        <w:t>Для заполнения списка поставщиков определенной группы товаров применяется процедура, которая формирует запрос к регистру сведений с учётом заданных параметров (рисунок 3.3).</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center"/>
        <w:rPr>
          <w:rFonts w:ascii="Times New Roman" w:hAnsi="Times New Roman" w:cs="Times New Roman"/>
          <w:bCs/>
          <w:sz w:val="28"/>
          <w:szCs w:val="28"/>
        </w:rPr>
      </w:pPr>
      <w:r>
        <w:rPr/>
        <w:drawing>
          <wp:inline distT="0" distB="0" distL="0" distR="0">
            <wp:extent cx="5210175" cy="3335020"/>
            <wp:effectExtent l="0" t="0" r="0" b="0"/>
            <wp:docPr id="7"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2" descr=""/>
                    <pic:cNvPicPr>
                      <a:picLocks noChangeAspect="1" noChangeArrowheads="1"/>
                    </pic:cNvPicPr>
                  </pic:nvPicPr>
                  <pic:blipFill>
                    <a:blip r:embed="rId11"/>
                    <a:stretch>
                      <a:fillRect/>
                    </a:stretch>
                  </pic:blipFill>
                  <pic:spPr bwMode="auto">
                    <a:xfrm>
                      <a:off x="0" y="0"/>
                      <a:ext cx="5210175" cy="3335020"/>
                    </a:xfrm>
                    <a:prstGeom prst="rect">
                      <a:avLst/>
                    </a:prstGeom>
                  </pic:spPr>
                </pic:pic>
              </a:graphicData>
            </a:graphic>
          </wp:inline>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3.3 – Алгоритм заполнения перечня контрагентов</w:t>
      </w:r>
    </w:p>
    <w:p>
      <w:pPr>
        <w:pStyle w:val="Normal"/>
        <w:spacing w:lineRule="auto" w:line="360" w:before="0" w:after="0"/>
        <w:ind w:firstLine="709"/>
        <w:jc w:val="both"/>
        <w:rPr>
          <w:rFonts w:ascii="Times New Roman" w:hAnsi="Times New Roman"/>
        </w:rPr>
      </w:pPr>
      <w:r>
        <w:rPr/>
      </w:r>
    </w:p>
    <w:p>
      <w:pPr>
        <w:pStyle w:val="Normal"/>
        <w:spacing w:lineRule="auto" w:line="360" w:before="0" w:after="0"/>
        <w:ind w:firstLine="709" w:left="0"/>
        <w:jc w:val="both"/>
        <w:rPr>
          <w:rFonts w:ascii="Times New Roman" w:hAnsi="Times New Roman"/>
        </w:rPr>
      </w:pPr>
      <w:r>
        <w:rPr>
          <w:rFonts w:cs="Times New Roman"/>
          <w:bCs/>
          <w:sz w:val="28"/>
          <w:szCs w:val="28"/>
          <w:shd w:fill="auto" w:val="clear"/>
        </w:rPr>
        <w:t>Для проведения оценки надежности поставщиков необходимо вызвать процедуру «Провести анализ на сервере» с помощью кнопки «Провести анализ». Данная процедура, представленная на рисунке 3.4, формирует HTTP-запрос с ИНН и КПП поставщиков в формате JSON и отправляет его на FastAPI-сервер по адресу localhost:8001/api/v1/check. FastAPI-сервер, в свою очередь, выполняет асинхронный запрос к внешнему сервису api.reputation.ru для получения расширенных данных о компаниях, обрабатывает эти данные с помощью предобученной модели машинного обучения, выполняет расчет рейтинга и возвращает структурированные результаты обратно в систему 1С, где они отображаются в пользовательском интерфейсе и сохраняются в табличных частях для дальнейшего анализа.</w:t>
      </w:r>
      <w:r>
        <w:rPr>
          <w:rFonts w:cs="Times New Roman"/>
          <w:bCs/>
          <w:sz w:val="28"/>
          <w:szCs w:val="28"/>
          <w:shd w:fill="auto" w:val="clear"/>
          <w:lang w:eastAsia="ru-RU"/>
        </w:rPr>
        <w:t xml:space="preserve"> </w:t>
      </w:r>
      <w:r>
        <w:rPr>
          <w:rFonts w:cs="Times New Roman"/>
          <w:sz w:val="28"/>
          <w:szCs w:val="28"/>
          <w:lang w:eastAsia="ru-RU"/>
        </w:rPr>
        <w:t>(Рисунок 3.4).</w:t>
      </w:r>
    </w:p>
    <w:p>
      <w:pPr>
        <w:pStyle w:val="Normal"/>
        <w:spacing w:lineRule="auto" w:line="360" w:before="0" w:after="0"/>
        <w:ind w:hanging="0"/>
        <w:jc w:val="center"/>
        <w:rPr>
          <w:rFonts w:ascii="Times New Roman" w:hAnsi="Times New Roman" w:cs="Times New Roman"/>
          <w:sz w:val="28"/>
          <w:szCs w:val="28"/>
          <w:lang w:eastAsia="ru-RU"/>
        </w:rPr>
      </w:pPr>
      <w:r>
        <w:drawing>
          <wp:anchor behindDoc="0" distT="0" distB="0" distL="0" distR="0" simplePos="0" locked="0" layoutInCell="0" allowOverlap="1" relativeHeight="10">
            <wp:simplePos x="0" y="0"/>
            <wp:positionH relativeFrom="column">
              <wp:posOffset>45085</wp:posOffset>
            </wp:positionH>
            <wp:positionV relativeFrom="paragraph">
              <wp:posOffset>31115</wp:posOffset>
            </wp:positionV>
            <wp:extent cx="5798185" cy="2562860"/>
            <wp:effectExtent l="0" t="0" r="0" b="0"/>
            <wp:wrapTopAndBottom/>
            <wp:docPr id="8"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descr=""/>
                    <pic:cNvPicPr>
                      <a:picLocks noChangeAspect="1" noChangeArrowheads="1"/>
                    </pic:cNvPicPr>
                  </pic:nvPicPr>
                  <pic:blipFill>
                    <a:blip r:embed="rId12"/>
                    <a:stretch>
                      <a:fillRect/>
                    </a:stretch>
                  </pic:blipFill>
                  <pic:spPr bwMode="auto">
                    <a:xfrm>
                      <a:off x="0" y="0"/>
                      <a:ext cx="5798185" cy="2562860"/>
                    </a:xfrm>
                    <a:prstGeom prst="rect">
                      <a:avLst/>
                    </a:prstGeom>
                  </pic:spPr>
                </pic:pic>
              </a:graphicData>
            </a:graphic>
          </wp:anchor>
        </w:drawing>
      </w:r>
      <w:r>
        <w:rPr>
          <w:rFonts w:cs="Times New Roman"/>
          <w:sz w:val="28"/>
          <w:szCs w:val="28"/>
          <w:lang w:eastAsia="ru-RU"/>
        </w:rPr>
        <w:t>Рисунок 3.4 – Алгоритм выполнения оценки контрагентов</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 xml:space="preserve">Результаты оценки фиксируются в соответствующей табличной части </w:t>
      </w:r>
      <w:r>
        <w:rPr>
          <w:rFonts w:cs="Times New Roman"/>
          <w:sz w:val="28"/>
          <w:szCs w:val="28"/>
          <w:lang w:eastAsia="ru-RU"/>
        </w:rPr>
        <w:t>(Рисунок 3.5).</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hanging="0"/>
        <w:jc w:val="center"/>
        <w:rPr>
          <w:rFonts w:ascii="Times New Roman" w:hAnsi="Times New Roman" w:cs="Times New Roman"/>
          <w:sz w:val="28"/>
          <w:szCs w:val="28"/>
          <w:lang w:eastAsia="ru-RU"/>
        </w:rPr>
      </w:pPr>
      <w:r>
        <w:drawing>
          <wp:anchor behindDoc="0" distT="0" distB="0" distL="0" distR="0" simplePos="0" locked="0" layoutInCell="0" allowOverlap="1" relativeHeight="7">
            <wp:simplePos x="0" y="0"/>
            <wp:positionH relativeFrom="column">
              <wp:posOffset>42545</wp:posOffset>
            </wp:positionH>
            <wp:positionV relativeFrom="paragraph">
              <wp:posOffset>42545</wp:posOffset>
            </wp:positionV>
            <wp:extent cx="5940425" cy="2131695"/>
            <wp:effectExtent l="0" t="0" r="0" b="0"/>
            <wp:wrapTopAndBottom/>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3"/>
                    <a:stretch>
                      <a:fillRect/>
                    </a:stretch>
                  </pic:blipFill>
                  <pic:spPr bwMode="auto">
                    <a:xfrm>
                      <a:off x="0" y="0"/>
                      <a:ext cx="5940425" cy="2131695"/>
                    </a:xfrm>
                    <a:prstGeom prst="rect">
                      <a:avLst/>
                    </a:prstGeom>
                  </pic:spPr>
                </pic:pic>
              </a:graphicData>
            </a:graphic>
          </wp:anchor>
        </w:drawing>
      </w:r>
      <w:r>
        <w:rPr>
          <w:rFonts w:cs="Times New Roman"/>
          <w:sz w:val="28"/>
          <w:szCs w:val="28"/>
          <w:lang w:eastAsia="ru-RU"/>
        </w:rPr>
        <w:t xml:space="preserve">Рисунок 3.5 – </w:t>
      </w:r>
      <w:r>
        <w:rPr>
          <w:rFonts w:cs="Times New Roman"/>
          <w:bCs/>
          <w:sz w:val="28"/>
          <w:szCs w:val="28"/>
          <w:lang w:eastAsia="ru-RU"/>
        </w:rPr>
        <w:t>Итоговые показатели оценки контрагентов</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 xml:space="preserve">После чего таблица с результатами оценки группируется по поставщикам, поле оценка суммируется и сортируется по убыванию, полученный результат фиксируется в таблице «Рейтинг поставщиков». Первый поставщик в данном списке предполагается самым благонадёжным для сотрудничества и фиксируется в поле «Рекомендуемый поставщик» </w:t>
      </w:r>
      <w:r>
        <w:rPr>
          <w:rFonts w:cs="Times New Roman"/>
          <w:sz w:val="28"/>
          <w:szCs w:val="28"/>
          <w:lang w:eastAsia="ru-RU"/>
        </w:rPr>
        <w:t>(Рисунок 3.6).</w:t>
      </w:r>
    </w:p>
    <w:p>
      <w:pPr>
        <w:pStyle w:val="Normal"/>
        <w:spacing w:lineRule="auto" w:line="360" w:before="0" w:after="0"/>
        <w:ind w:hanging="0"/>
        <w:jc w:val="center"/>
        <w:rPr>
          <w:rFonts w:ascii="Times New Roman" w:hAnsi="Times New Roman" w:cs="Times New Roman"/>
          <w:sz w:val="28"/>
          <w:szCs w:val="28"/>
          <w:lang w:eastAsia="ru-RU"/>
        </w:rPr>
      </w:pPr>
      <w:r>
        <w:drawing>
          <wp:anchor behindDoc="0" distT="0" distB="0" distL="0" distR="0" simplePos="0" locked="0" layoutInCell="0" allowOverlap="1" relativeHeight="8">
            <wp:simplePos x="0" y="0"/>
            <wp:positionH relativeFrom="column">
              <wp:posOffset>0</wp:posOffset>
            </wp:positionH>
            <wp:positionV relativeFrom="paragraph">
              <wp:posOffset>201295</wp:posOffset>
            </wp:positionV>
            <wp:extent cx="5940425" cy="2141220"/>
            <wp:effectExtent l="0" t="0" r="0" b="0"/>
            <wp:wrapTopAndBottom/>
            <wp:docPr id="1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pic:cNvPicPr>
                      <a:picLocks noChangeAspect="1" noChangeArrowheads="1"/>
                    </pic:cNvPicPr>
                  </pic:nvPicPr>
                  <pic:blipFill>
                    <a:blip r:embed="rId14"/>
                    <a:stretch>
                      <a:fillRect/>
                    </a:stretch>
                  </pic:blipFill>
                  <pic:spPr bwMode="auto">
                    <a:xfrm>
                      <a:off x="0" y="0"/>
                      <a:ext cx="5940425" cy="2141220"/>
                    </a:xfrm>
                    <a:prstGeom prst="rect">
                      <a:avLst/>
                    </a:prstGeom>
                  </pic:spPr>
                </pic:pic>
              </a:graphicData>
            </a:graphic>
          </wp:anchor>
        </w:drawing>
      </w:r>
      <w:r>
        <w:rPr>
          <w:rFonts w:cs="Times New Roman"/>
          <w:sz w:val="28"/>
          <w:szCs w:val="28"/>
          <w:lang w:eastAsia="ru-RU"/>
        </w:rPr>
        <w:t>Рисунок 3.6 – Ранжирование контрагентов по надёжности</w:t>
      </w:r>
    </w:p>
    <w:p>
      <w:pPr>
        <w:pStyle w:val="Normal"/>
        <w:spacing w:lineRule="auto" w:line="360" w:before="0" w:after="0"/>
        <w:ind w:hanging="0"/>
        <w:jc w:val="center"/>
        <w:rPr>
          <w:rFonts w:ascii="Times New Roman" w:hAnsi="Times New Roman" w:cs="Times New Roman"/>
          <w:sz w:val="28"/>
          <w:szCs w:val="28"/>
          <w:lang w:eastAsia="ru-RU"/>
        </w:rPr>
      </w:pPr>
      <w:r>
        <w:rPr>
          <w:rFonts w:cs="Times New Roman"/>
          <w:sz w:val="28"/>
          <w:szCs w:val="28"/>
          <w:lang w:eastAsia="ru-RU"/>
        </w:rPr>
      </w:r>
    </w:p>
    <w:p>
      <w:pPr>
        <w:pStyle w:val="ListParagraph"/>
        <w:widowControl/>
        <w:suppressAutoHyphens w:val="true"/>
        <w:overflowPunct w:val="false"/>
        <w:bidi w:val="0"/>
        <w:spacing w:lineRule="auto" w:line="360" w:before="0" w:after="0"/>
        <w:ind w:firstLine="737" w:left="0" w:right="0"/>
        <w:contextualSpacing/>
        <w:jc w:val="both"/>
        <w:rPr>
          <w:rFonts w:ascii="Times New Roman" w:hAnsi="Times New Roman"/>
          <w:sz w:val="28"/>
          <w:szCs w:val="28"/>
        </w:rPr>
      </w:pPr>
      <w:r>
        <w:rPr>
          <w:sz w:val="28"/>
          <w:szCs w:val="28"/>
        </w:rPr>
        <w:t>В рамках технической реализации отдельной конфигурации 1С для АО «РТК» был создан законченный программный комплекс, обеспечивающий автоматизированный сбор, анализ и ранжирование поставщиков на основе внешних данных и методов машинного обучения. Ключевым элементом клиентской части является процедура «Провести анализ на сервере», инициируемая пользователем через одноименную кнопку в интерфейсе 1С. Данная процедура формирует HTTP-запрос, содержащий идентификационные данные поставщиков (ИНН и КПП), упакованные в формат JSON, и направляет его на FastAPI-сервер, развернутый по адресу localhost:8001/api/v1/check.</w:t>
      </w:r>
    </w:p>
    <w:p>
      <w:pPr>
        <w:pStyle w:val="ListParagraph"/>
        <w:widowControl/>
        <w:suppressAutoHyphens w:val="true"/>
        <w:overflowPunct w:val="false"/>
        <w:bidi w:val="0"/>
        <w:spacing w:lineRule="auto" w:line="360" w:before="0" w:after="0"/>
        <w:ind w:firstLine="737" w:left="0" w:right="0"/>
        <w:contextualSpacing/>
        <w:jc w:val="both"/>
        <w:rPr>
          <w:rFonts w:ascii="Times New Roman" w:hAnsi="Times New Roman"/>
          <w:sz w:val="28"/>
          <w:szCs w:val="28"/>
        </w:rPr>
      </w:pPr>
      <w:r>
        <w:rPr>
          <w:sz w:val="28"/>
          <w:szCs w:val="28"/>
        </w:rPr>
        <w:t>FastAPI-сервер, выступающий в роли интеграционной шины и вычислительного ядра, выполняет асинхронный запрос к внешнему сервису api.reputation.ru. Этот сервис предоставляет агрегированные сведения о компаниях: финансовое состояние, участие в арбитражных процессах, налоговые нарушения, возраст организации, признаки массовости руководства и другие параметры. Полученные данные передаются в предобученную модель машинного обучения (случайный лес), которая на основе исторических сделок АО «РТК» вычисляет интегральный балл надежности (от 0 до 100), уровень риска (низкий, средний, высокий) и формирует текстовую рекомендацию. Результаты в структурированном виде возвращаются в систему 1С.</w:t>
      </w:r>
    </w:p>
    <w:p>
      <w:pPr>
        <w:pStyle w:val="ListParagraph"/>
        <w:widowControl/>
        <w:suppressAutoHyphens w:val="true"/>
        <w:overflowPunct w:val="false"/>
        <w:bidi w:val="0"/>
        <w:spacing w:lineRule="auto" w:line="360" w:before="0" w:after="0"/>
        <w:ind w:firstLine="737" w:left="0" w:right="0"/>
        <w:contextualSpacing/>
        <w:jc w:val="both"/>
        <w:rPr>
          <w:rFonts w:ascii="Times New Roman" w:hAnsi="Times New Roman"/>
          <w:sz w:val="28"/>
          <w:szCs w:val="28"/>
        </w:rPr>
      </w:pPr>
      <w:r>
        <w:rPr>
          <w:sz w:val="28"/>
          <w:szCs w:val="28"/>
        </w:rPr>
        <w:t>В пользовательском интерфейсе 1С результаты оценки отображаются в виде табличной части с детализацией по каждому фактору риска (рисунок 3.5). Система автоматически группирует полученные данные по поставщикам, суммирует (или усредняет) оценочные баллы и сортирует список по убыванию надежности. Итоговый ранжированный перечень фиксируется в таблице «Рейтинг поставщиков», а контрагент, занявший первую позицию, автоматически назначается в поле «Рекомендуемый поставщик» (рисунок 3.6). Такой подход исключает субъективизм при выборе партнера и позволяет менеджерам по закупкам принимать обоснованные решения в сжатые сроки.</w:t>
      </w:r>
      <w:r>
        <w:br w:type="page"/>
      </w:r>
    </w:p>
    <w:p>
      <w:pPr>
        <w:pStyle w:val="Heading2"/>
        <w:spacing w:before="0" w:after="0"/>
        <w:ind w:hanging="0" w:left="0"/>
        <w:rPr/>
      </w:pPr>
      <w:bookmarkStart w:id="198" w:name="__RefHeading___Toc3368_4046097046"/>
      <w:bookmarkEnd w:id="198"/>
      <w:r>
        <w:rPr>
          <w:color w:val="auto"/>
        </w:rPr>
        <w:t xml:space="preserve">3.2. Проектирование информационной системы </w:t>
      </w:r>
      <w:r>
        <w:rPr>
          <w:color w:val="auto"/>
          <w:lang w:val="en-US"/>
        </w:rPr>
        <w:t>Python</w:t>
      </w:r>
    </w:p>
    <w:p>
      <w:pPr>
        <w:pStyle w:val="Normal"/>
        <w:jc w:val="center"/>
        <w:rPr>
          <w:b/>
          <w:bCs/>
        </w:rPr>
      </w:pPr>
      <w:bookmarkStart w:id="199" w:name="__RefHeading___Toc3370_4046097046"/>
      <w:bookmarkEnd w:id="199"/>
      <w:r>
        <w:rPr>
          <w:b/>
          <w:bCs/>
          <w:sz w:val="28"/>
          <w:szCs w:val="28"/>
        </w:rPr>
        <w:t xml:space="preserve">3.2.1 </w:t>
      </w:r>
      <w:r>
        <w:rPr>
          <w:b/>
          <w:bCs/>
          <w:sz w:val="28"/>
          <w:szCs w:val="28"/>
          <w:lang w:val="ru-RU"/>
        </w:rPr>
        <w:t>Разработка модели искусственного интеллекта</w:t>
      </w:r>
    </w:p>
    <w:p>
      <w:pPr>
        <w:pStyle w:val="Normal"/>
        <w:rPr/>
      </w:pPr>
      <w:bookmarkStart w:id="200" w:name="__RefHeading___Toc3372_4046097046"/>
      <w:bookmarkEnd w:id="200"/>
      <w:r>
        <w:rPr/>
        <w:tab/>
        <w:t>Основным инструментом при разработке систем машинного обучения является модель данных, которая представляет собой формализованное описание процессов обучения и прогнозирования на основе исторических или синтетических данных. В рамках данной работы была разработана модель оценки рисков поставщиков на основе ансамбля алгоритмов классификации. Модель реализована на языке Python с использованием библиотек scikit-learn, imbalanced-learn, xgboost и других.</w:t>
      </w:r>
    </w:p>
    <w:p>
      <w:pPr>
        <w:pStyle w:val="Normal"/>
        <w:rPr/>
      </w:pPr>
      <w:bookmarkStart w:id="201" w:name="__RefHeading___Toc3374_4046097046"/>
      <w:bookmarkEnd w:id="201"/>
      <w:r>
        <w:rPr/>
        <w:tab/>
        <w:t>Современный подход к разработке ML-моделей предполагает использование объектно-ориентированного программирования, что позволяет инкапсулировать логику обработки данных, обучения и прогнозирования в единый класс. Это обеспечивает удобство использования, возможность повторного обучения и интеграции модели в производственные системы.</w:t>
      </w:r>
    </w:p>
    <w:p>
      <w:pPr>
        <w:pStyle w:val="Normal"/>
        <w:rPr/>
      </w:pPr>
      <w:bookmarkStart w:id="202" w:name="__RefHeading___Toc3376_4046097046"/>
      <w:bookmarkEnd w:id="202"/>
      <w:r>
        <w:rPr/>
        <w:tab/>
        <w:t>Разработанная модель включает следующие ключевые компоненты:</w:t>
      </w:r>
    </w:p>
    <w:p>
      <w:pPr>
        <w:pStyle w:val="Normal"/>
        <w:numPr>
          <w:ilvl w:val="0"/>
          <w:numId w:val="7"/>
        </w:numPr>
        <w:rPr/>
      </w:pPr>
      <w:bookmarkStart w:id="203" w:name="__RefHeading___Toc3378_4046097046"/>
      <w:bookmarkEnd w:id="203"/>
      <w:r>
        <w:rPr/>
        <w:t>Расчёт интегрального показателя риска на основе бизнес-правил.</w:t>
      </w:r>
    </w:p>
    <w:p>
      <w:pPr>
        <w:pStyle w:val="Normal"/>
        <w:numPr>
          <w:ilvl w:val="0"/>
          <w:numId w:val="7"/>
        </w:numPr>
        <w:rPr/>
      </w:pPr>
      <w:bookmarkStart w:id="204" w:name="__RefHeading___Toc3380_4046097046"/>
      <w:bookmarkEnd w:id="204"/>
      <w:r>
        <w:rPr/>
        <w:t>Генерация синтетического обучающего набора данных.</w:t>
      </w:r>
    </w:p>
    <w:p>
      <w:pPr>
        <w:pStyle w:val="Normal"/>
        <w:numPr>
          <w:ilvl w:val="0"/>
          <w:numId w:val="7"/>
        </w:numPr>
        <w:rPr/>
      </w:pPr>
      <w:bookmarkStart w:id="205" w:name="__RefHeading___Toc3382_4046097046"/>
      <w:bookmarkEnd w:id="205"/>
      <w:r>
        <w:rPr/>
        <w:t>Расширение признакового пространства за счёт производных метрик.</w:t>
      </w:r>
    </w:p>
    <w:p>
      <w:pPr>
        <w:pStyle w:val="Normal"/>
        <w:numPr>
          <w:ilvl w:val="0"/>
          <w:numId w:val="7"/>
        </w:numPr>
        <w:rPr/>
      </w:pPr>
      <w:bookmarkStart w:id="206" w:name="__RefHeading___Toc3384_4046097046"/>
      <w:bookmarkEnd w:id="206"/>
      <w:r>
        <w:rPr/>
        <w:t>Применение техник балансировки данных (SMOTE).</w:t>
      </w:r>
    </w:p>
    <w:p>
      <w:pPr>
        <w:pStyle w:val="Normal"/>
        <w:numPr>
          <w:ilvl w:val="0"/>
          <w:numId w:val="7"/>
        </w:numPr>
        <w:rPr/>
      </w:pPr>
      <w:bookmarkStart w:id="207" w:name="__RefHeading___Toc3386_4046097046"/>
      <w:bookmarkEnd w:id="207"/>
      <w:r>
        <w:rPr/>
        <w:t>Использование ансамбля моделей (StackingClassifier) для повышения точности прогнозирования.</w:t>
      </w:r>
    </w:p>
    <w:p>
      <w:pPr>
        <w:pStyle w:val="Normal"/>
        <w:rPr/>
      </w:pPr>
      <w:bookmarkStart w:id="208" w:name="__RefHeading___Toc3388_4046097046"/>
      <w:bookmarkEnd w:id="208"/>
      <w:r>
        <w:rPr/>
        <w:tab/>
        <w:t>Интерфейс взаимодействия с моделью представлен в виде класса SupplierRiskModel, который предоставляет методы для обучения, прогнозирования, оценки и сохранения модели.</w:t>
      </w:r>
    </w:p>
    <w:p>
      <w:pPr>
        <w:pStyle w:val="Normal"/>
        <w:rPr/>
      </w:pPr>
      <w:r>
        <w:rPr/>
      </w:r>
    </w:p>
    <w:p>
      <w:pPr>
        <w:pStyle w:val="Normal"/>
        <w:rPr/>
      </w:pPr>
      <w:bookmarkStart w:id="209" w:name="__RefHeading___Toc3390_4046097046"/>
      <w:bookmarkEnd w:id="209"/>
      <w:r>
        <w:rPr/>
        <w:tab/>
        <w:t>Разработка модели машинного обучения в среде Python предполагает создание и настройку объектов-классификаторов, определение пайплайнов предобработки данных, а также реализацию методов валидации и интерпретации результатов. Все созданные объекты и методы инкапсулированы в единый класс, что обеспечивает целостность и сопровождаемость решения.</w:t>
      </w:r>
    </w:p>
    <w:p>
      <w:pPr>
        <w:pStyle w:val="Normal"/>
        <w:rPr/>
      </w:pPr>
      <w:bookmarkStart w:id="210" w:name="__RefHeading___Toc3392_4046097046"/>
      <w:bookmarkEnd w:id="210"/>
      <w:r>
        <w:rPr/>
        <w:tab/>
        <w:t>Рассмотрим подробнее ключевые методы разработанного класса SupplierRiskModel.</w:t>
      </w:r>
    </w:p>
    <w:p>
      <w:pPr>
        <w:pStyle w:val="Normal"/>
        <w:rPr/>
      </w:pPr>
      <w:bookmarkStart w:id="211" w:name="__RefHeading___Toc3394_4046097046"/>
      <w:bookmarkEnd w:id="211"/>
      <w:r>
        <w:rPr/>
        <w:tab/>
        <w:t>Метод calculate_risk_score:</w:t>
      </w:r>
    </w:p>
    <w:p>
      <w:pPr>
        <w:pStyle w:val="Normal"/>
        <w:rPr/>
      </w:pPr>
      <w:bookmarkStart w:id="212" w:name="__RefHeading___Toc3396_4046097046"/>
      <w:bookmarkEnd w:id="212"/>
      <w:r>
        <w:rPr/>
        <w:tab/>
        <w:t>Предназначен для расчёта интегрального показателя риска поставщика на основе взвешенной суммы факторов риска. Формула расчёта включает такие параметры, как наличие убытков, нулевая выручка, налоговая задолженность, арбитражные дела и другие. Весовые коэффициенты определены на основе экспертной оценки значимости каждого фактора. Результирующее значение нормализуется в диапазон от 0 до 10.</w:t>
      </w:r>
    </w:p>
    <w:p>
      <w:pPr>
        <w:pStyle w:val="Normal"/>
        <w:rPr/>
      </w:pPr>
      <w:bookmarkStart w:id="213" w:name="__RefHeading___Toc3398_4046097046"/>
      <w:bookmarkEnd w:id="213"/>
      <w:r>
        <w:rPr/>
        <w:tab/>
        <w:t>Метод prepare_advanced_features:</w:t>
      </w:r>
    </w:p>
    <w:p>
      <w:pPr>
        <w:pStyle w:val="Normal"/>
        <w:rPr/>
      </w:pPr>
      <w:bookmarkStart w:id="214" w:name="__RefHeading___Toc3400_4046097046"/>
      <w:bookmarkEnd w:id="214"/>
      <w:r>
        <w:rPr/>
        <w:tab/>
        <w:t>Выполняет расширение исходного признакового пространства за счёт создания производных признаков, таких как:</w:t>
      </w:r>
    </w:p>
    <w:p>
      <w:pPr>
        <w:pStyle w:val="Normal"/>
        <w:numPr>
          <w:ilvl w:val="0"/>
          <w:numId w:val="8"/>
        </w:numPr>
        <w:rPr/>
      </w:pPr>
      <w:bookmarkStart w:id="215" w:name="__RefHeading___Toc3402_4046097046"/>
      <w:bookmarkEnd w:id="215"/>
      <w:r>
        <w:rPr/>
        <w:t>Общее количество негативных факторов.</w:t>
      </w:r>
    </w:p>
    <w:p>
      <w:pPr>
        <w:pStyle w:val="Normal"/>
        <w:numPr>
          <w:ilvl w:val="0"/>
          <w:numId w:val="8"/>
        </w:numPr>
        <w:rPr/>
      </w:pPr>
      <w:bookmarkStart w:id="216" w:name="__RefHeading___Toc3404_4046097046"/>
      <w:bookmarkEnd w:id="216"/>
      <w:r>
        <w:rPr/>
        <w:t>Индекс стабильности поставщика.</w:t>
      </w:r>
    </w:p>
    <w:p>
      <w:pPr>
        <w:pStyle w:val="Normal"/>
        <w:numPr>
          <w:ilvl w:val="0"/>
          <w:numId w:val="8"/>
        </w:numPr>
        <w:rPr/>
      </w:pPr>
      <w:bookmarkStart w:id="217" w:name="__RefHeading___Toc3406_4046097046"/>
      <w:bookmarkEnd w:id="217"/>
      <w:r>
        <w:rPr/>
        <w:t>Взаимодействия между ключевыми рисковыми факторами.</w:t>
      </w:r>
    </w:p>
    <w:p>
      <w:pPr>
        <w:pStyle w:val="Normal"/>
        <w:numPr>
          <w:ilvl w:val="0"/>
          <w:numId w:val="8"/>
        </w:numPr>
        <w:rPr/>
      </w:pPr>
      <w:bookmarkStart w:id="218" w:name="__RefHeading___Toc3408_4046097046"/>
      <w:bookmarkEnd w:id="218"/>
      <w:r>
        <w:rPr/>
        <w:t>Относительные показатели (например, риск на год работы компании).</w:t>
      </w:r>
    </w:p>
    <w:p>
      <w:pPr>
        <w:pStyle w:val="Normal"/>
        <w:rPr/>
      </w:pPr>
      <w:bookmarkStart w:id="219" w:name="__RefHeading___Toc3410_4046097046"/>
      <w:bookmarkEnd w:id="219"/>
      <w:r>
        <w:rPr/>
        <w:tab/>
        <w:t>Это позволяет модели учитывать не только исходные данные, но и сложные зависимости между ними.</w:t>
      </w:r>
    </w:p>
    <w:p>
      <w:pPr>
        <w:pStyle w:val="Normal"/>
        <w:rPr/>
      </w:pPr>
      <w:r>
        <w:rPr/>
        <w:tab/>
        <w:t xml:space="preserve">Метод create_super_ensemble реализует ансамблевую модель на основе стекинга (StackingClassifier). </w:t>
        <w:tab/>
      </w:r>
    </w:p>
    <w:p>
      <w:pPr>
        <w:pStyle w:val="Normal"/>
        <w:rPr/>
      </w:pPr>
      <w:r>
        <w:rPr/>
        <w:tab/>
        <w:t>В качестве базовых моделей используются:</w:t>
      </w:r>
    </w:p>
    <w:p>
      <w:pPr>
        <w:pStyle w:val="Normal"/>
        <w:numPr>
          <w:ilvl w:val="0"/>
          <w:numId w:val="9"/>
        </w:numPr>
        <w:rPr/>
      </w:pPr>
      <w:bookmarkStart w:id="220" w:name="__RefHeading___Toc3416_4046097046"/>
      <w:bookmarkEnd w:id="220"/>
      <w:r>
        <w:rPr/>
        <w:t>RandomForestClassifier с балансировкой классов.</w:t>
      </w:r>
    </w:p>
    <w:p>
      <w:pPr>
        <w:pStyle w:val="Normal"/>
        <w:numPr>
          <w:ilvl w:val="0"/>
          <w:numId w:val="9"/>
        </w:numPr>
        <w:rPr/>
      </w:pPr>
      <w:bookmarkStart w:id="221" w:name="__RefHeading___Toc3418_4046097046"/>
      <w:bookmarkEnd w:id="221"/>
      <w:r>
        <w:rPr/>
        <w:t>BalancedRandomForestClassifier.</w:t>
      </w:r>
    </w:p>
    <w:p>
      <w:pPr>
        <w:pStyle w:val="Normal"/>
        <w:numPr>
          <w:ilvl w:val="0"/>
          <w:numId w:val="9"/>
        </w:numPr>
        <w:rPr/>
      </w:pPr>
      <w:bookmarkStart w:id="222" w:name="__RefHeading___Toc3420_4046097046"/>
      <w:bookmarkEnd w:id="222"/>
      <w:r>
        <w:rPr/>
        <w:t>XGBoost.</w:t>
      </w:r>
    </w:p>
    <w:p>
      <w:pPr>
        <w:pStyle w:val="Normal"/>
        <w:numPr>
          <w:ilvl w:val="0"/>
          <w:numId w:val="9"/>
        </w:numPr>
        <w:rPr/>
      </w:pPr>
      <w:bookmarkStart w:id="223" w:name="__RefHeading___Toc3422_4046097046"/>
      <w:bookmarkEnd w:id="223"/>
      <w:r>
        <w:rPr/>
        <w:t>GradientBoostingClassifier.</w:t>
      </w:r>
    </w:p>
    <w:p>
      <w:pPr>
        <w:pStyle w:val="Normal"/>
        <w:rPr/>
      </w:pPr>
      <w:r>
        <w:rPr/>
        <w:tab/>
        <w:t>Метод train_high_accuracy_model осуществляет полный цикл обучения модели, начиная с генерации синтетического набора данных и расширения признакового пространства, после чего выполняется балансировка классов с помощью SMOTE. Далее производится разделение данных на обучающую и тестовую выборки, масштабирование и преобразование признаков, а затем непосредственно обучение ансамблевой модели с последующей оценкой ее качества на тестовых данных.</w:t>
      </w:r>
    </w:p>
    <w:p>
      <w:pPr>
        <w:pStyle w:val="Normal"/>
        <w:rPr/>
      </w:pPr>
      <w:bookmarkStart w:id="224" w:name="__RefHeading___Toc3444_4046097046"/>
      <w:bookmarkEnd w:id="224"/>
      <w:r>
        <w:rPr/>
        <w:tab/>
        <w:t>Метод predict_risk:</w:t>
      </w:r>
    </w:p>
    <w:p>
      <w:pPr>
        <w:pStyle w:val="Normal"/>
        <w:rPr/>
      </w:pPr>
      <w:bookmarkStart w:id="225" w:name="__RefHeading___Toc3446_4046097046"/>
      <w:bookmarkEnd w:id="225"/>
      <w:r>
        <w:rPr/>
        <w:tab/>
        <w:t>Выполняет прогнозирование уровня риска для новых данных. Он включает валидацию входных данных, расчёт дополнительных признаков, преобразование данных и получение прогноза с вероятностными оценками для каждого класса. Результат возвращается в структурированном формате, включая предсказанный класс, уверенность модели, распределение вероятностей и детальный анализ факторов риска.</w:t>
      </w:r>
    </w:p>
    <w:p>
      <w:pPr>
        <w:pStyle w:val="Normal"/>
        <w:rPr/>
      </w:pPr>
      <w:bookmarkStart w:id="226" w:name="__RefHeading___Toc3448_4046097046"/>
      <w:bookmarkEnd w:id="226"/>
      <w:r>
        <w:rPr/>
        <w:tab/>
        <w:t>Таким образом, разработанная модель представляет собой комплексное решение для автоматической оценки рисков поставщиков, сочетающее в себе бизнес-логику расчёта рисков, методы машинного обучения и техники обработки данных. Модель демонстрирует высокую точность (accuracy: 0.8577) и может быть интегрирована в существующие системы управления поставщиками.</w:t>
      </w:r>
      <w:r>
        <w:br w:type="page"/>
      </w:r>
    </w:p>
    <w:p>
      <w:pPr>
        <w:pStyle w:val="Normal"/>
        <w:widowControl/>
        <w:suppressAutoHyphens w:val="true"/>
        <w:spacing w:lineRule="auto" w:line="259" w:before="0" w:after="0"/>
        <w:ind w:hanging="0" w:left="0"/>
        <w:jc w:val="center"/>
        <w:rPr>
          <w:b/>
          <w:bCs/>
        </w:rPr>
      </w:pPr>
      <w:bookmarkStart w:id="227" w:name="__RefHeading___Toc3450_4046097046"/>
      <w:bookmarkEnd w:id="227"/>
      <w:r>
        <w:rPr>
          <w:b/>
          <w:bCs/>
          <w:color w:val="auto"/>
          <w:sz w:val="28"/>
          <w:szCs w:val="28"/>
          <w:lang w:val="ru-RU"/>
        </w:rPr>
        <w:t>3</w:t>
      </w:r>
      <w:r>
        <w:rPr>
          <w:b/>
          <w:bCs/>
          <w:color w:val="auto"/>
          <w:sz w:val="28"/>
          <w:szCs w:val="28"/>
          <w:lang w:val="en-US"/>
        </w:rPr>
        <w:t>.</w:t>
      </w:r>
      <w:r>
        <w:rPr>
          <w:b/>
          <w:bCs/>
          <w:color w:val="auto"/>
          <w:sz w:val="28"/>
          <w:szCs w:val="28"/>
          <w:lang w:val="ru-RU"/>
        </w:rPr>
        <w:t>2</w:t>
      </w:r>
      <w:r>
        <w:rPr>
          <w:b/>
          <w:bCs/>
          <w:color w:val="auto"/>
          <w:sz w:val="28"/>
          <w:szCs w:val="28"/>
          <w:lang w:val="en-US"/>
        </w:rPr>
        <w:t>.</w:t>
      </w:r>
      <w:r>
        <w:rPr>
          <w:b/>
          <w:bCs/>
          <w:color w:val="auto"/>
          <w:sz w:val="28"/>
          <w:szCs w:val="28"/>
          <w:lang w:val="ru-RU"/>
        </w:rPr>
        <w:t>2</w:t>
      </w:r>
      <w:r>
        <w:rPr>
          <w:b/>
          <w:bCs/>
          <w:color w:val="auto"/>
          <w:sz w:val="28"/>
          <w:szCs w:val="28"/>
          <w:lang w:val="en-US"/>
        </w:rPr>
        <w:t xml:space="preserve"> </w:t>
      </w:r>
      <w:r>
        <w:rPr>
          <w:b/>
          <w:bCs/>
          <w:color w:val="auto"/>
          <w:sz w:val="28"/>
          <w:szCs w:val="28"/>
          <w:lang w:val="ru-RU"/>
        </w:rPr>
        <w:t xml:space="preserve">Разработка </w:t>
      </w:r>
      <w:r>
        <w:rPr>
          <w:b/>
          <w:bCs/>
          <w:color w:val="auto"/>
          <w:sz w:val="28"/>
          <w:szCs w:val="28"/>
          <w:lang w:val="en-US"/>
        </w:rPr>
        <w:t>API</w:t>
      </w:r>
    </w:p>
    <w:p>
      <w:pPr>
        <w:pStyle w:val="Normal"/>
        <w:widowControl/>
        <w:suppressAutoHyphens w:val="true"/>
        <w:spacing w:lineRule="auto" w:line="259" w:before="0" w:after="0"/>
        <w:ind w:hanging="0" w:left="0"/>
        <w:jc w:val="center"/>
        <w:rPr>
          <w:rFonts w:ascii="Times New Roman" w:hAnsi="Times New Roman"/>
          <w:sz w:val="28"/>
          <w:szCs w:val="28"/>
        </w:rPr>
      </w:pPr>
      <w:r>
        <w:rPr>
          <w:sz w:val="28"/>
          <w:szCs w:val="28"/>
        </w:rPr>
      </w:r>
    </w:p>
    <w:p>
      <w:pPr>
        <w:pStyle w:val="Normal"/>
        <w:rPr/>
      </w:pPr>
      <w:bookmarkStart w:id="228" w:name="__RefHeading___Toc3452_4046097046"/>
      <w:bookmarkEnd w:id="228"/>
      <w:r>
        <w:rPr>
          <w:b w:val="false"/>
          <w:color w:val="auto"/>
        </w:rPr>
        <w:tab/>
        <w:t>Для расширения функциональности системы комплексной оценки надежности поставщиков и реализации современных алгоритмов машинного обучения был разработан специализированный Python-сервис, интегрируемый с платформой 1С:Предприятие через REST API. Данный сервис представляет собой микросервисную архитектуру, построенную на принципах модульности и масштабируемости</w:t>
      </w:r>
      <w:r>
        <w:rPr>
          <w:rFonts w:cs="Times New Roman"/>
          <w:b w:val="false"/>
          <w:color w:val="auto"/>
          <w:lang w:eastAsia="ru-RU"/>
        </w:rPr>
        <w:t>.</w:t>
      </w:r>
    </w:p>
    <w:p>
      <w:pPr>
        <w:pStyle w:val="Normal"/>
        <w:widowControl/>
        <w:suppressAutoHyphens w:val="true"/>
        <w:spacing w:lineRule="auto" w:line="259" w:before="0" w:after="0"/>
        <w:ind w:hanging="0" w:left="0"/>
        <w:jc w:val="center"/>
        <w:rPr>
          <w:rFonts w:ascii="Times New Roman" w:hAnsi="Times New Roman"/>
          <w:b w:val="false"/>
          <w:color w:val="auto"/>
          <w:sz w:val="28"/>
          <w:szCs w:val="28"/>
        </w:rPr>
      </w:pPr>
      <w:bookmarkStart w:id="229" w:name="__RefHeading___Toc3454_4046097046"/>
      <w:bookmarkEnd w:id="229"/>
      <w:r>
        <w:drawing>
          <wp:anchor behindDoc="0" distT="0" distB="0" distL="0" distR="0" simplePos="0" locked="0" layoutInCell="0" allowOverlap="1" relativeHeight="9">
            <wp:simplePos x="0" y="0"/>
            <wp:positionH relativeFrom="column">
              <wp:posOffset>1092200</wp:posOffset>
            </wp:positionH>
            <wp:positionV relativeFrom="paragraph">
              <wp:posOffset>70485</wp:posOffset>
            </wp:positionV>
            <wp:extent cx="3755390" cy="4862195"/>
            <wp:effectExtent l="0" t="0" r="0" b="0"/>
            <wp:wrapTopAndBottom/>
            <wp:docPr id="11"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3" descr=""/>
                    <pic:cNvPicPr>
                      <a:picLocks noChangeAspect="1" noChangeArrowheads="1"/>
                    </pic:cNvPicPr>
                  </pic:nvPicPr>
                  <pic:blipFill>
                    <a:blip r:embed="rId15"/>
                    <a:stretch>
                      <a:fillRect/>
                    </a:stretch>
                  </pic:blipFill>
                  <pic:spPr bwMode="auto">
                    <a:xfrm>
                      <a:off x="0" y="0"/>
                      <a:ext cx="3755390" cy="4862195"/>
                    </a:xfrm>
                    <a:prstGeom prst="rect">
                      <a:avLst/>
                    </a:prstGeom>
                  </pic:spPr>
                </pic:pic>
              </a:graphicData>
            </a:graphic>
          </wp:anchor>
        </w:drawing>
      </w:r>
      <w:r>
        <w:rPr>
          <w:b w:val="false"/>
          <w:color w:val="auto"/>
          <w:sz w:val="28"/>
          <w:szCs w:val="28"/>
        </w:rPr>
        <w:t>Рисунок 3.7 -  Архитектура Python-сервиса</w:t>
      </w:r>
    </w:p>
    <w:p>
      <w:pPr>
        <w:pStyle w:val="Normal"/>
        <w:widowControl/>
        <w:suppressAutoHyphens w:val="true"/>
        <w:spacing w:lineRule="auto" w:line="259" w:before="0" w:after="0"/>
        <w:ind w:hanging="0" w:left="0"/>
        <w:jc w:val="both"/>
        <w:rPr>
          <w:rFonts w:ascii="Times New Roman" w:hAnsi="Times New Roman"/>
          <w:b w:val="false"/>
          <w:color w:val="auto"/>
          <w:sz w:val="28"/>
          <w:szCs w:val="28"/>
        </w:rPr>
      </w:pPr>
      <w:r>
        <w:rPr>
          <w:b w:val="false"/>
          <w:color w:val="auto"/>
          <w:sz w:val="28"/>
          <w:szCs w:val="28"/>
        </w:rPr>
      </w:r>
    </w:p>
    <w:p>
      <w:pPr>
        <w:pStyle w:val="Normal"/>
        <w:rPr>
          <w:b w:val="false"/>
          <w:color w:val="auto"/>
        </w:rPr>
      </w:pPr>
      <w:bookmarkStart w:id="230" w:name="__RefHeading___Toc3456_4046097046"/>
      <w:bookmarkEnd w:id="230"/>
      <w:r>
        <w:rPr>
          <w:b w:val="false"/>
          <w:color w:val="auto"/>
        </w:rPr>
        <w:tab/>
        <w:t>Архитектура Python-сервиса включает следующие основные компоненты (Рисунок 3.7):</w:t>
      </w:r>
    </w:p>
    <w:p>
      <w:pPr>
        <w:pStyle w:val="Normal"/>
        <w:rPr/>
      </w:pPr>
      <w:r>
        <w:rPr/>
        <w:tab/>
      </w:r>
      <w:r>
        <w:rPr>
          <w:lang w:val="ru-RU"/>
        </w:rPr>
        <w:t>Переменные окружения (</w:t>
      </w:r>
      <w:r>
        <w:rPr/>
        <w:t xml:space="preserve">env.py </w:t>
      </w:r>
      <w:r>
        <w:rPr>
          <w:lang w:val="ru-RU"/>
        </w:rPr>
        <w:t>и .</w:t>
      </w:r>
      <w:r>
        <w:rPr/>
        <w:t xml:space="preserve">env) </w:t>
      </w:r>
      <w:r>
        <w:rPr>
          <w:lang w:val="ru-RU"/>
        </w:rPr>
        <w:t xml:space="preserve">нужны для хранения </w:t>
      </w:r>
      <w:r>
        <w:rPr>
          <w:b w:val="false"/>
          <w:color w:val="auto"/>
          <w:lang w:val="ru-RU"/>
        </w:rPr>
        <w:t xml:space="preserve">API </w:t>
      </w:r>
      <w:r>
        <w:rPr>
          <w:lang w:val="ru-RU"/>
        </w:rPr>
        <w:t xml:space="preserve">ключа </w:t>
      </w:r>
      <w:r>
        <w:rPr>
          <w:b w:val="false"/>
          <w:color w:val="auto"/>
          <w:lang w:val="ru-RU"/>
        </w:rPr>
        <w:t>"Репутация".</w:t>
      </w:r>
    </w:p>
    <w:p>
      <w:pPr>
        <w:pStyle w:val="Normal"/>
        <w:widowControl/>
        <w:suppressAutoHyphens w:val="true"/>
        <w:overflowPunct w:val="false"/>
        <w:bidi w:val="0"/>
        <w:spacing w:lineRule="auto" w:line="360" w:before="0" w:after="160"/>
        <w:ind w:hanging="0" w:left="0" w:right="0"/>
        <w:jc w:val="both"/>
        <w:rPr/>
      </w:pPr>
      <w:r>
        <w:rPr/>
        <w:tab/>
        <w:t>Логирование событий Python-сервиса (log.py) позволяет производить отслеживание, анализ и отладку работы системы, а также находить и исправлять ошибки и контролировать процессы.</w:t>
      </w:r>
    </w:p>
    <w:p>
      <w:pPr>
        <w:pStyle w:val="Normal"/>
        <w:rPr/>
      </w:pPr>
      <w:r>
        <w:rPr/>
        <w:tab/>
        <w:t>FastAPI-приложение (app.py) выступает в качестве точки входа и обеспечивает:</w:t>
      </w:r>
    </w:p>
    <w:p>
      <w:pPr>
        <w:pStyle w:val="Normal"/>
        <w:numPr>
          <w:ilvl w:val="0"/>
          <w:numId w:val="11"/>
        </w:numPr>
        <w:rPr/>
      </w:pPr>
      <w:bookmarkStart w:id="231" w:name="__RefHeading___Toc3472_4046097046"/>
      <w:bookmarkEnd w:id="231"/>
      <w:r>
        <w:rPr/>
        <w:t>Обработку HTTP-запросов от клиентской части на 1С</w:t>
      </w:r>
    </w:p>
    <w:p>
      <w:pPr>
        <w:pStyle w:val="Normal"/>
        <w:numPr>
          <w:ilvl w:val="0"/>
          <w:numId w:val="11"/>
        </w:numPr>
        <w:rPr/>
      </w:pPr>
      <w:bookmarkStart w:id="232" w:name="__RefHeading___Toc3474_4046097046"/>
      <w:bookmarkEnd w:id="232"/>
      <w:r>
        <w:rPr/>
        <w:t>Управление жизненным циклом приложения через контекстные менеджеры</w:t>
      </w:r>
    </w:p>
    <w:p>
      <w:pPr>
        <w:pStyle w:val="Normal"/>
        <w:numPr>
          <w:ilvl w:val="0"/>
          <w:numId w:val="11"/>
        </w:numPr>
        <w:rPr/>
      </w:pPr>
      <w:bookmarkStart w:id="233" w:name="__RefHeading___Toc3476_4046097046"/>
      <w:bookmarkEnd w:id="233"/>
      <w:r>
        <w:rPr/>
        <w:t>Настройку CORS-политик для кросс-доменных запросов</w:t>
      </w:r>
    </w:p>
    <w:p>
      <w:pPr>
        <w:pStyle w:val="Normal"/>
        <w:numPr>
          <w:ilvl w:val="0"/>
          <w:numId w:val="11"/>
        </w:numPr>
        <w:rPr/>
      </w:pPr>
      <w:bookmarkStart w:id="234" w:name="__RefHeading___Toc3478_4046097046"/>
      <w:bookmarkEnd w:id="234"/>
      <w:r>
        <w:rPr/>
        <w:t>Маршрутизацию запросов к соответствующим обработчикам</w:t>
      </w:r>
    </w:p>
    <w:p>
      <w:pPr>
        <w:pStyle w:val="Normal"/>
        <w:rPr/>
      </w:pPr>
      <w:r>
        <w:rPr/>
      </w:r>
    </w:p>
    <w:p>
      <w:pPr>
        <w:pStyle w:val="Normal"/>
        <w:rPr/>
      </w:pPr>
      <w:bookmarkStart w:id="235" w:name="__RefHeading___Toc3480_4046097046"/>
      <w:bookmarkEnd w:id="235"/>
      <w:r>
        <w:rPr/>
        <w:tab/>
        <w:t>Модуль HTTP-запросов (queries.py) предоставляет асинхронные клиенты для выполнения HTTP-запросов, обеспечивает обработку ошибок и таймаутов при работе с внешними API, а также реализует унифицированный интерфейс для взаимодействия с различными сервисами.</w:t>
      </w:r>
    </w:p>
    <w:p>
      <w:pPr>
        <w:pStyle w:val="Normal"/>
        <w:rPr/>
      </w:pPr>
      <w:r>
        <w:rPr/>
        <w:tab/>
        <w:t>Модуль routers.py определяет конечные точки API, где реализован эндпоинт /api/v1/check для обработки POST-запросов, организован пайплайн обработки данных, включающий их получение, преобразование, анализ и возврат результатов, а также обеспечена интеграция с внешними сервисами и ML-моделью.</w:t>
      </w:r>
    </w:p>
    <w:p>
      <w:pPr>
        <w:pStyle w:val="Normal"/>
        <w:rPr/>
      </w:pPr>
      <w:r>
        <w:rPr/>
        <w:tab/>
        <w:t>Модуль utils.py — содержит  утилиты для обработки данных</w:t>
      </w:r>
    </w:p>
    <w:p>
      <w:pPr>
        <w:pStyle w:val="Normal"/>
        <w:rPr/>
      </w:pPr>
      <w:r>
        <w:rPr/>
        <w:tab/>
        <w:t>Модуль model.py, содержащий модель машинного обучения, представляет собой ядро системы оценки и включает класс SupplierRiskModel для работы с ансамблевой моделью классификации, методы предобработки данных и извлечения признаков, алгоритмы расчета интегральных показателей риска, а также механизмы валидации и оценки качества предсказаний.</w:t>
      </w:r>
    </w:p>
    <w:p>
      <w:pPr>
        <w:pStyle w:val="Normal"/>
        <w:widowControl/>
        <w:suppressAutoHyphens w:val="true"/>
        <w:overflowPunct w:val="false"/>
        <w:bidi w:val="0"/>
        <w:spacing w:lineRule="auto" w:line="360" w:before="0" w:after="160"/>
        <w:ind w:hanging="0" w:left="0" w:right="0"/>
        <w:jc w:val="both"/>
        <w:rPr/>
      </w:pPr>
      <w:r>
        <w:rPr/>
        <w:t xml:space="preserve"> </w:t>
      </w:r>
      <w:r>
        <w:rPr/>
        <w:tab/>
        <w:t>Модуль model_provider.py - поставщик модели, обеспечивает загрузку предобученных моделей из сериализованных файлов, управление их жизненным циклом в производственной среде, а также изоляцию логики работы с моделями для упрощения поддержки и дальнейшего развития системы.</w:t>
      </w:r>
    </w:p>
    <w:p>
      <w:pPr>
        <w:pStyle w:val="Normal"/>
        <w:rPr/>
      </w:pPr>
      <w:bookmarkStart w:id="236" w:name="__RefHeading___Toc3524_4046097046"/>
      <w:bookmarkEnd w:id="236"/>
      <w:r>
        <w:rPr/>
        <w:tab/>
        <w:t>Взаимодействие компонентов в процессе оценки поставщика происходит по следующему алгоритму:</w:t>
      </w:r>
    </w:p>
    <w:p>
      <w:pPr>
        <w:pStyle w:val="Normal"/>
        <w:numPr>
          <w:ilvl w:val="0"/>
          <w:numId w:val="13"/>
        </w:numPr>
        <w:rPr/>
      </w:pPr>
      <w:bookmarkStart w:id="237" w:name="__RefHeading___Toc3526_4046097046"/>
      <w:bookmarkEnd w:id="237"/>
      <w:r>
        <w:rPr/>
        <w:t>Клиентское приложение на 1С формирует JSON-запрос с ИНН поставщиков</w:t>
      </w:r>
    </w:p>
    <w:p>
      <w:pPr>
        <w:pStyle w:val="Normal"/>
        <w:numPr>
          <w:ilvl w:val="0"/>
          <w:numId w:val="13"/>
        </w:numPr>
        <w:rPr/>
      </w:pPr>
      <w:bookmarkStart w:id="238" w:name="__RefHeading___Toc3528_4046097046"/>
      <w:bookmarkEnd w:id="238"/>
      <w:r>
        <w:rPr/>
        <w:t>FastAPI-сервер принимает запрос и передает его в обработчик роутера</w:t>
      </w:r>
    </w:p>
    <w:p>
      <w:pPr>
        <w:pStyle w:val="Normal"/>
        <w:numPr>
          <w:ilvl w:val="0"/>
          <w:numId w:val="13"/>
        </w:numPr>
        <w:rPr/>
      </w:pPr>
      <w:bookmarkStart w:id="239" w:name="__RefHeading___Toc3530_4046097046"/>
      <w:bookmarkEnd w:id="239"/>
      <w:r>
        <w:rPr/>
        <w:t>Модуль утилит выполняет асинхронные запросы к API "Репутация"</w:t>
      </w:r>
    </w:p>
    <w:p>
      <w:pPr>
        <w:pStyle w:val="Normal"/>
        <w:numPr>
          <w:ilvl w:val="0"/>
          <w:numId w:val="13"/>
        </w:numPr>
        <w:rPr/>
      </w:pPr>
      <w:bookmarkStart w:id="240" w:name="__RefHeading___Toc3532_4046097046"/>
      <w:bookmarkEnd w:id="240"/>
      <w:r>
        <w:rPr/>
        <w:t>Полученные данные преобразуются в структурированные признаки</w:t>
      </w:r>
    </w:p>
    <w:p>
      <w:pPr>
        <w:pStyle w:val="Normal"/>
        <w:numPr>
          <w:ilvl w:val="0"/>
          <w:numId w:val="13"/>
        </w:numPr>
        <w:rPr/>
      </w:pPr>
      <w:bookmarkStart w:id="241" w:name="__RefHeading___Toc3534_4046097046"/>
      <w:bookmarkEnd w:id="241"/>
      <w:r>
        <w:rPr/>
        <w:t>ML-модель анализирует признаки и генерирует оценку надежности</w:t>
      </w:r>
    </w:p>
    <w:p>
      <w:pPr>
        <w:pStyle w:val="Normal"/>
        <w:numPr>
          <w:ilvl w:val="0"/>
          <w:numId w:val="13"/>
        </w:numPr>
        <w:rPr/>
      </w:pPr>
      <w:bookmarkStart w:id="242" w:name="__RefHeading___Toc3536_4046097046"/>
      <w:bookmarkEnd w:id="242"/>
      <w:r>
        <w:rPr/>
        <w:t>Результаты форматируются и возвращаются в 1С для отображения</w:t>
      </w:r>
    </w:p>
    <w:p>
      <w:pPr>
        <w:pStyle w:val="Normal"/>
        <w:rPr/>
      </w:pPr>
      <w:bookmarkStart w:id="243" w:name="__RefHeading___Toc3538_4046097046"/>
      <w:bookmarkEnd w:id="243"/>
      <w:r>
        <w:rPr/>
        <w:tab/>
        <w:t>Преимущества выбранной архитектуры:</w:t>
      </w:r>
    </w:p>
    <w:p>
      <w:pPr>
        <w:pStyle w:val="Normal"/>
        <w:numPr>
          <w:ilvl w:val="0"/>
          <w:numId w:val="10"/>
        </w:numPr>
        <w:rPr/>
      </w:pPr>
      <w:bookmarkStart w:id="244" w:name="__RefHeading___Toc3540_4046097046"/>
      <w:bookmarkEnd w:id="244"/>
      <w:r>
        <w:rPr/>
        <w:t>Модульность: каждый компонент отвечает за конкретную задачу</w:t>
      </w:r>
    </w:p>
    <w:p>
      <w:pPr>
        <w:pStyle w:val="Normal"/>
        <w:numPr>
          <w:ilvl w:val="0"/>
          <w:numId w:val="10"/>
        </w:numPr>
        <w:rPr/>
      </w:pPr>
      <w:bookmarkStart w:id="245" w:name="__RefHeading___Toc3542_4046097046"/>
      <w:bookmarkEnd w:id="245"/>
      <w:r>
        <w:rPr/>
        <w:t>Масштабируемость: возможность независимого масштабирования компонентов</w:t>
      </w:r>
    </w:p>
    <w:p>
      <w:pPr>
        <w:pStyle w:val="Normal"/>
        <w:numPr>
          <w:ilvl w:val="0"/>
          <w:numId w:val="10"/>
        </w:numPr>
        <w:rPr/>
      </w:pPr>
      <w:bookmarkStart w:id="246" w:name="__RefHeading___Toc3544_4046097046"/>
      <w:bookmarkEnd w:id="246"/>
      <w:r>
        <w:rPr/>
        <w:t>Поддерживаемость: четкое разделение ответственности между модулями</w:t>
      </w:r>
    </w:p>
    <w:p>
      <w:pPr>
        <w:pStyle w:val="Normal"/>
        <w:numPr>
          <w:ilvl w:val="0"/>
          <w:numId w:val="10"/>
        </w:numPr>
        <w:rPr/>
      </w:pPr>
      <w:bookmarkStart w:id="247" w:name="__RefHeading___Toc3546_4046097046"/>
      <w:bookmarkEnd w:id="247"/>
      <w:r>
        <w:rPr/>
        <w:t>Интегрируемость: REST API позволяет легко интегрироваться с различными системами</w:t>
      </w:r>
    </w:p>
    <w:p>
      <w:pPr>
        <w:pStyle w:val="Normal"/>
        <w:rPr/>
      </w:pPr>
      <w:bookmarkStart w:id="248" w:name="__RefHeading___Toc3548_4046097046"/>
      <w:bookmarkEnd w:id="248"/>
      <w:r>
        <w:rPr/>
        <w:tab/>
        <w:t>Экономическая эффективность разработанного решения обеспечивается за счет использования API «Репутация» с гибкой системой оплаты — стоимость одной проверки составляет всего 2,5 рубля, при этом отсутствуют ограничения на количество проверяемых организаций, что особенно важно для предприятия с нерегулярной потребностью в анализе контрагентов. Дополнительным фактором снижения затрат выступает облачная архитектура Python-сервиса, позволяющая минимизировать расходы на содержание и обслуживание собственной инфраструктуры.</w:t>
      </w:r>
    </w:p>
    <w:p>
      <w:pPr>
        <w:pStyle w:val="Normal"/>
        <w:rPr/>
      </w:pPr>
      <w:bookmarkStart w:id="249" w:name="__RefHeading___Toc3556_4046097046"/>
      <w:bookmarkEnd w:id="249"/>
      <w:r>
        <w:rPr/>
        <w:tab/>
        <w:t>Данная архитектура позволяет сочетать преимущества платформы 1С:Предприятие для работы с бизнес-логикой и Python-стека для реализации сложных алгоритмов машинного обучения, обеспечивая высокую точность оценок при минимальных эксплуатационных затратах.</w:t>
      </w:r>
      <w:r>
        <w:br w:type="page"/>
      </w:r>
    </w:p>
    <w:p>
      <w:pPr>
        <w:pStyle w:val="Heading1"/>
        <w:spacing w:lineRule="auto" w:line="259" w:before="0" w:after="0"/>
        <w:ind w:hanging="0" w:left="0"/>
        <w:rPr>
          <w:b/>
          <w:bCs/>
        </w:rPr>
      </w:pPr>
      <w:bookmarkStart w:id="250" w:name="__RefHeading___Toc22201_2829662935"/>
      <w:bookmarkEnd w:id="250"/>
      <w:r>
        <w:rPr>
          <w:b/>
          <w:bCs/>
          <w:color w:val="auto"/>
          <w:lang w:val="ru-RU"/>
        </w:rPr>
        <w:t>4.</w:t>
      </w:r>
      <w:r>
        <w:rPr>
          <w:b/>
          <w:bCs/>
          <w:color w:val="auto"/>
          <w:lang w:val="en-US"/>
        </w:rPr>
        <w:t xml:space="preserve"> </w:t>
      </w:r>
      <w:bookmarkStart w:id="251" w:name="_Toc483260915"/>
      <w:bookmarkStart w:id="252" w:name="_Toc515887000"/>
      <w:bookmarkStart w:id="253" w:name="_Toc509663666"/>
      <w:bookmarkStart w:id="254" w:name="_Toc509339948"/>
      <w:r>
        <w:rPr>
          <w:b/>
          <w:bCs/>
          <w:color w:val="auto"/>
        </w:rPr>
        <w:t>Тестирование и опытная эксплуатация информационной системы</w:t>
      </w:r>
      <w:bookmarkEnd w:id="251"/>
      <w:bookmarkEnd w:id="252"/>
      <w:bookmarkEnd w:id="253"/>
      <w:bookmarkEnd w:id="254"/>
    </w:p>
    <w:p>
      <w:pPr>
        <w:pStyle w:val="ListParagraph"/>
        <w:spacing w:lineRule="auto" w:line="360" w:before="0" w:after="0"/>
        <w:ind w:firstLine="709" w:left="0"/>
        <w:contextualSpacing/>
        <w:jc w:val="both"/>
        <w:rPr>
          <w:rFonts w:ascii="Times New Roman" w:hAnsi="Times New Roman"/>
          <w:sz w:val="28"/>
          <w:szCs w:val="28"/>
        </w:rPr>
      </w:pPr>
      <w:r>
        <w:rPr>
          <w:rFonts w:cs="Times New Roman"/>
          <w:sz w:val="28"/>
          <w:szCs w:val="28"/>
        </w:rPr>
        <w:t>Основной целью тестирования являлось подтверждение соответствия разработанной системы функциональным и нефункциональным требованиям, предъявленным в техническом задании на дипломный проект. В рамках тестирования решались следующие задачи:</w:t>
      </w:r>
    </w:p>
    <w:p>
      <w:pPr>
        <w:pStyle w:val="ListParagraph"/>
        <w:numPr>
          <w:ilvl w:val="0"/>
          <w:numId w:val="23"/>
        </w:numPr>
        <w:spacing w:lineRule="auto" w:line="360" w:before="0" w:after="0"/>
        <w:contextualSpacing/>
        <w:jc w:val="both"/>
        <w:rPr/>
      </w:pPr>
      <w:r>
        <w:rPr>
          <w:rFonts w:cs="Times New Roman"/>
          <w:sz w:val="28"/>
          <w:szCs w:val="28"/>
        </w:rPr>
        <w:t>Проверка корректности интеграции 1С с сервером на Python (FastAPI).</w:t>
      </w:r>
    </w:p>
    <w:p>
      <w:pPr>
        <w:pStyle w:val="ListParagraph"/>
        <w:numPr>
          <w:ilvl w:val="0"/>
          <w:numId w:val="23"/>
        </w:numPr>
        <w:spacing w:lineRule="auto" w:line="360" w:before="0" w:after="0"/>
        <w:contextualSpacing/>
        <w:jc w:val="both"/>
        <w:rPr/>
      </w:pPr>
      <w:r>
        <w:rPr>
          <w:rFonts w:cs="Times New Roman"/>
          <w:sz w:val="28"/>
          <w:szCs w:val="28"/>
        </w:rPr>
        <w:t>Оценка точности работы ML-модели на реальных и синтетических данных.</w:t>
      </w:r>
    </w:p>
    <w:p>
      <w:pPr>
        <w:pStyle w:val="ListParagraph"/>
        <w:numPr>
          <w:ilvl w:val="0"/>
          <w:numId w:val="23"/>
        </w:numPr>
        <w:spacing w:lineRule="auto" w:line="360" w:before="0" w:after="0"/>
        <w:contextualSpacing/>
        <w:jc w:val="both"/>
        <w:rPr/>
      </w:pPr>
      <w:r>
        <w:rPr>
          <w:rFonts w:cs="Times New Roman"/>
          <w:sz w:val="28"/>
          <w:szCs w:val="28"/>
        </w:rPr>
        <w:t>Проверка устойчивости системы к ошибкам внешнего API «Репутация».</w:t>
      </w:r>
    </w:p>
    <w:p>
      <w:pPr>
        <w:pStyle w:val="ListParagraph"/>
        <w:numPr>
          <w:ilvl w:val="0"/>
          <w:numId w:val="23"/>
        </w:numPr>
        <w:spacing w:lineRule="auto" w:line="360" w:before="0" w:after="0"/>
        <w:contextualSpacing/>
        <w:jc w:val="both"/>
        <w:rPr/>
      </w:pPr>
      <w:r>
        <w:rPr>
          <w:rFonts w:cs="Times New Roman"/>
          <w:sz w:val="28"/>
          <w:szCs w:val="28"/>
        </w:rPr>
        <w:t>Измерение производительности (время отклика, пропускная способность) при различных нагрузках.</w:t>
      </w:r>
    </w:p>
    <w:p>
      <w:pPr>
        <w:pStyle w:val="ListParagraph"/>
        <w:numPr>
          <w:ilvl w:val="0"/>
          <w:numId w:val="23"/>
        </w:numPr>
        <w:spacing w:lineRule="auto" w:line="360" w:before="0" w:after="0"/>
        <w:contextualSpacing/>
        <w:jc w:val="both"/>
        <w:rPr>
          <w:rFonts w:ascii="Times New Roman" w:hAnsi="Times New Roman"/>
          <w:sz w:val="28"/>
          <w:szCs w:val="28"/>
        </w:rPr>
      </w:pPr>
      <w:r>
        <w:rPr>
          <w:rFonts w:cs="Times New Roman"/>
          <w:sz w:val="28"/>
          <w:szCs w:val="28"/>
        </w:rPr>
        <w:t>Оценка удобства пользовательского интерфейса в 1С.</w:t>
      </w:r>
    </w:p>
    <w:p>
      <w:pPr>
        <w:pStyle w:val="ListParagraph"/>
        <w:numPr>
          <w:ilvl w:val="0"/>
          <w:numId w:val="23"/>
        </w:numPr>
        <w:spacing w:lineRule="auto" w:line="360" w:before="0" w:after="0"/>
        <w:contextualSpacing/>
        <w:jc w:val="both"/>
        <w:rPr>
          <w:rFonts w:ascii="Times New Roman" w:hAnsi="Times New Roman"/>
          <w:sz w:val="28"/>
          <w:szCs w:val="28"/>
        </w:rPr>
      </w:pPr>
      <w:r>
        <w:rPr>
          <w:rFonts w:cs="Times New Roman"/>
          <w:sz w:val="28"/>
          <w:szCs w:val="28"/>
        </w:rPr>
        <w:t>Верификация процесса ранжирования поставщиков и автоматического выбора рекомендуемого контрагента.</w:t>
      </w:r>
    </w:p>
    <w:p>
      <w:pPr>
        <w:pStyle w:val="ListParagraph"/>
        <w:spacing w:lineRule="auto" w:line="360" w:before="0" w:after="0"/>
        <w:contextualSpacing/>
        <w:jc w:val="both"/>
        <w:rPr>
          <w:rFonts w:ascii="Times New Roman" w:hAnsi="Times New Roman"/>
          <w:sz w:val="28"/>
          <w:szCs w:val="28"/>
        </w:rPr>
      </w:pPr>
      <w:r>
        <w:rPr>
          <w:sz w:val="28"/>
          <w:szCs w:val="28"/>
        </w:rPr>
      </w:r>
    </w:p>
    <w:p>
      <w:pPr>
        <w:pStyle w:val="ListParagraph"/>
        <w:widowControl/>
        <w:suppressAutoHyphens w:val="true"/>
        <w:overflowPunct w:val="false"/>
        <w:bidi w:val="0"/>
        <w:spacing w:lineRule="auto" w:line="360" w:before="0" w:after="0"/>
        <w:ind w:hanging="0" w:left="0" w:right="0"/>
        <w:contextualSpacing/>
        <w:jc w:val="both"/>
        <w:rPr>
          <w:rFonts w:ascii="Times New Roman" w:hAnsi="Times New Roman"/>
          <w:sz w:val="28"/>
          <w:szCs w:val="28"/>
        </w:rPr>
      </w:pPr>
      <w:r>
        <w:rPr/>
        <w:tab/>
        <w:t>Тестирование проводилось в несколько этапов с использованием следующих методов:</w:t>
      </w:r>
    </w:p>
    <w:p>
      <w:pPr>
        <w:pStyle w:val="ListParagraph"/>
        <w:numPr>
          <w:ilvl w:val="0"/>
          <w:numId w:val="24"/>
        </w:numPr>
        <w:spacing w:lineRule="auto" w:line="360" w:before="0" w:after="0"/>
        <w:contextualSpacing/>
        <w:jc w:val="both"/>
        <w:rPr/>
      </w:pPr>
      <w:r>
        <w:rPr/>
        <w:t>Интеграционное тестирование – проверка взаимодействия компонентов (1С ↔ FastAPI ↔ API «Репутация» ↔ БД).</w:t>
      </w:r>
    </w:p>
    <w:p>
      <w:pPr>
        <w:pStyle w:val="ListParagraph"/>
        <w:numPr>
          <w:ilvl w:val="0"/>
          <w:numId w:val="24"/>
        </w:numPr>
        <w:spacing w:lineRule="auto" w:line="360" w:before="0" w:after="0"/>
        <w:contextualSpacing/>
        <w:jc w:val="both"/>
        <w:rPr/>
      </w:pPr>
      <w:r>
        <w:rPr/>
        <w:t>Нагрузочное тестирование – эмуляция одновременных запросов с помощью инструмента Locust.</w:t>
      </w:r>
    </w:p>
    <w:p>
      <w:pPr>
        <w:pStyle w:val="ListParagraph"/>
        <w:numPr>
          <w:ilvl w:val="0"/>
          <w:numId w:val="24"/>
        </w:numPr>
        <w:spacing w:lineRule="auto" w:line="360" w:before="0" w:after="0"/>
        <w:contextualSpacing/>
        <w:jc w:val="both"/>
        <w:rPr/>
      </w:pPr>
      <w:r>
        <w:rPr/>
        <w:t>Приемочное тестирование – выполнение бизнес-сценариев сотрудниками департамента закупок АО «РТК».</w:t>
      </w:r>
    </w:p>
    <w:p>
      <w:pPr>
        <w:pStyle w:val="ListParagraph"/>
        <w:numPr>
          <w:ilvl w:val="0"/>
          <w:numId w:val="24"/>
        </w:numPr>
        <w:spacing w:lineRule="auto" w:line="360" w:before="0" w:after="0"/>
        <w:contextualSpacing/>
        <w:jc w:val="both"/>
        <w:rPr>
          <w:rFonts w:ascii="Times New Roman" w:hAnsi="Times New Roman"/>
          <w:sz w:val="28"/>
          <w:szCs w:val="28"/>
        </w:rPr>
      </w:pPr>
      <w:r>
        <w:rPr/>
        <w:t>Тестирование удобства использования (Usability) – анкетирование пользователей.</w:t>
      </w:r>
    </w:p>
    <w:p>
      <w:pPr>
        <w:pStyle w:val="ListParagraph"/>
        <w:spacing w:lineRule="auto" w:line="360" w:before="0" w:after="0"/>
        <w:contextualSpacing/>
        <w:jc w:val="both"/>
        <w:rPr>
          <w:rFonts w:ascii="Times New Roman" w:hAnsi="Times New Roman"/>
          <w:sz w:val="28"/>
          <w:szCs w:val="28"/>
        </w:rPr>
      </w:pPr>
      <w:r>
        <w:rPr>
          <w:sz w:val="28"/>
          <w:szCs w:val="28"/>
        </w:rPr>
      </w:r>
    </w:p>
    <w:p>
      <w:pPr>
        <w:pStyle w:val="ListParagraph"/>
        <w:widowControl/>
        <w:suppressAutoHyphens w:val="true"/>
        <w:overflowPunct w:val="false"/>
        <w:bidi w:val="0"/>
        <w:spacing w:lineRule="auto" w:line="360" w:before="0" w:after="0"/>
        <w:ind w:hanging="0" w:left="0" w:right="0"/>
        <w:contextualSpacing/>
        <w:jc w:val="both"/>
        <w:rPr>
          <w:rFonts w:ascii="Times New Roman" w:hAnsi="Times New Roman"/>
          <w:sz w:val="28"/>
          <w:szCs w:val="28"/>
        </w:rPr>
      </w:pPr>
      <w:r>
        <w:rPr/>
        <w:tab/>
        <w:t>Для тестирования ML-модели использовалась выборка из 150 записей о реальных сделках (не участвовавших в обучении) с известным исходом (успешная/проблемная).</w:t>
      </w:r>
    </w:p>
    <w:p>
      <w:pPr>
        <w:pStyle w:val="ListParagraph"/>
        <w:spacing w:lineRule="auto" w:line="360" w:before="0" w:after="0"/>
        <w:contextualSpacing/>
        <w:jc w:val="both"/>
        <w:rPr>
          <w:rFonts w:ascii="Times New Roman" w:hAnsi="Times New Roman"/>
          <w:sz w:val="28"/>
          <w:szCs w:val="28"/>
        </w:rPr>
      </w:pPr>
      <w:r>
        <w:rPr>
          <w:sz w:val="28"/>
          <w:szCs w:val="28"/>
        </w:rPr>
      </w:r>
    </w:p>
    <w:p>
      <w:pPr>
        <w:pStyle w:val="ListParagraph"/>
        <w:widowControl/>
        <w:suppressAutoHyphens w:val="true"/>
        <w:overflowPunct w:val="false"/>
        <w:bidi w:val="0"/>
        <w:spacing w:lineRule="auto" w:line="360" w:before="0" w:after="0"/>
        <w:ind w:hanging="0" w:left="0" w:right="0"/>
        <w:contextualSpacing/>
        <w:jc w:val="both"/>
        <w:rPr>
          <w:rFonts w:ascii="Times New Roman" w:hAnsi="Times New Roman"/>
          <w:sz w:val="28"/>
          <w:szCs w:val="28"/>
        </w:rPr>
      </w:pPr>
      <w:r>
        <w:rPr/>
        <w:tab/>
        <w:t xml:space="preserve">Среда тестирования: Серверная часть — виртуальная машина (4 vCPU, 8 GB RAM) с ОС </w:t>
      </w:r>
      <w:r>
        <w:rPr>
          <w:shd w:fill="auto" w:val="clear"/>
        </w:rPr>
        <w:t xml:space="preserve">Ubuntu 22.04, </w:t>
      </w:r>
      <w:r>
        <w:rPr/>
        <w:t>Python 3.11. Клиентская часть – 1С:Предприятие 8.3 (рабочая станция с Windows 10).</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По итогам локального тестирования ошибок выявлено не было. Следовательно, разработанная информационная система продемонстрировала стабильную и надёжную работу.</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Опытная эксплуатация проводилась в период с 15 мая по 15 июня 2025 года. Участвовали 5 менеджеров по закупкам и 2 сотрудника ИТ-отдела. Система была развернута на тестовом контуре 1С и на выделенной виртуальной машине (сервер Python+PostgreSQL).</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В ходе опытной эксплуатации было выполнено 320 проверок реальных контрагентов (как новых, так и уже работающих). Для каждого запроса фиксировались:</w:t>
      </w:r>
    </w:p>
    <w:p>
      <w:pPr>
        <w:pStyle w:val="Normal"/>
        <w:numPr>
          <w:ilvl w:val="0"/>
          <w:numId w:val="25"/>
        </w:numPr>
        <w:suppressAutoHyphens w:val="true"/>
        <w:spacing w:lineRule="auto" w:line="360" w:before="0" w:after="0"/>
        <w:jc w:val="both"/>
        <w:rPr/>
      </w:pPr>
      <w:r>
        <w:rPr>
          <w:rFonts w:cs="Times New Roman"/>
          <w:sz w:val="28"/>
          <w:szCs w:val="28"/>
        </w:rPr>
        <w:t>ИНН контрагента;</w:t>
      </w:r>
    </w:p>
    <w:p>
      <w:pPr>
        <w:pStyle w:val="Normal"/>
        <w:numPr>
          <w:ilvl w:val="0"/>
          <w:numId w:val="25"/>
        </w:numPr>
        <w:suppressAutoHyphens w:val="true"/>
        <w:spacing w:lineRule="auto" w:line="360" w:before="0" w:after="0"/>
        <w:jc w:val="both"/>
        <w:rPr/>
      </w:pPr>
      <w:r>
        <w:rPr>
          <w:rFonts w:cs="Times New Roman"/>
          <w:sz w:val="28"/>
          <w:szCs w:val="28"/>
        </w:rPr>
        <w:t>результат проверки (оценка, уровень риска);</w:t>
      </w:r>
    </w:p>
    <w:p>
      <w:pPr>
        <w:pStyle w:val="Normal"/>
        <w:numPr>
          <w:ilvl w:val="0"/>
          <w:numId w:val="25"/>
        </w:numPr>
        <w:suppressAutoHyphens w:val="true"/>
        <w:spacing w:lineRule="auto" w:line="360" w:before="0" w:after="0"/>
        <w:jc w:val="both"/>
        <w:rPr/>
      </w:pPr>
      <w:r>
        <w:rPr>
          <w:rFonts w:cs="Times New Roman"/>
          <w:sz w:val="28"/>
          <w:szCs w:val="28"/>
        </w:rPr>
        <w:t>решение менеджера (заключен договор / отказано);</w:t>
      </w:r>
    </w:p>
    <w:p>
      <w:pPr>
        <w:pStyle w:val="Normal"/>
        <w:numPr>
          <w:ilvl w:val="0"/>
          <w:numId w:val="25"/>
        </w:numPr>
        <w:suppressAutoHyphens w:val="true"/>
        <w:spacing w:lineRule="auto" w:line="360" w:before="0" w:after="0"/>
        <w:jc w:val="both"/>
        <w:rPr>
          <w:rFonts w:ascii="Times New Roman" w:hAnsi="Times New Roman" w:cs="Times New Roman"/>
          <w:sz w:val="28"/>
          <w:szCs w:val="28"/>
        </w:rPr>
      </w:pPr>
      <w:r>
        <w:rPr>
          <w:rFonts w:cs="Times New Roman"/>
          <w:sz w:val="28"/>
          <w:szCs w:val="28"/>
        </w:rPr>
        <w:t>фактическое качество сотрудничества по результатам 1-2 месяцев.</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Основные наблюдения:</w:t>
      </w:r>
    </w:p>
    <w:p>
      <w:pPr>
        <w:pStyle w:val="Normal"/>
        <w:numPr>
          <w:ilvl w:val="0"/>
          <w:numId w:val="26"/>
        </w:numPr>
        <w:suppressAutoHyphens w:val="true"/>
        <w:spacing w:lineRule="auto" w:line="360" w:before="0" w:after="0"/>
        <w:jc w:val="both"/>
        <w:rPr/>
      </w:pPr>
      <w:r>
        <w:rPr>
          <w:rFonts w:cs="Times New Roman"/>
          <w:sz w:val="28"/>
          <w:szCs w:val="28"/>
        </w:rPr>
        <w:t>В 92% случаев решение менеджера совпало с рекомендацией системы (система была перестрахована – иногда рекомендовала отказ, но менеджер рискнул, и сделка прошла успешно).</w:t>
      </w:r>
    </w:p>
    <w:p>
      <w:pPr>
        <w:pStyle w:val="Normal"/>
        <w:numPr>
          <w:ilvl w:val="0"/>
          <w:numId w:val="26"/>
        </w:numPr>
        <w:suppressAutoHyphens w:val="true"/>
        <w:spacing w:lineRule="auto" w:line="360" w:before="0" w:after="0"/>
        <w:jc w:val="both"/>
        <w:rPr/>
      </w:pPr>
      <w:r>
        <w:rPr>
          <w:rFonts w:cs="Times New Roman"/>
          <w:sz w:val="28"/>
          <w:szCs w:val="28"/>
        </w:rPr>
        <w:t>Система выявила 3 контрагента, которые ранее числились «благонадежными», но имели скрытые риски (рост задолженности, массовый руководитель) – договоры с ними были приостановлены, что позволило избежать потенциальных убытков.</w:t>
      </w:r>
    </w:p>
    <w:p>
      <w:pPr>
        <w:pStyle w:val="Normal"/>
        <w:numPr>
          <w:ilvl w:val="0"/>
          <w:numId w:val="26"/>
        </w:numPr>
        <w:suppressAutoHyphens w:val="true"/>
        <w:spacing w:lineRule="auto" w:line="360" w:before="0" w:after="0"/>
        <w:jc w:val="both"/>
        <w:rPr>
          <w:rFonts w:ascii="Times New Roman" w:hAnsi="Times New Roman" w:cs="Times New Roman"/>
          <w:sz w:val="28"/>
          <w:szCs w:val="28"/>
        </w:rPr>
      </w:pPr>
      <w:r>
        <w:rPr>
          <w:rFonts w:cs="Times New Roman"/>
          <w:sz w:val="28"/>
          <w:szCs w:val="28"/>
        </w:rPr>
        <w:t>Среднее время проверки одного контрагента сократилось с ~ 2 дней до ~ 5 минут (включая открытие формы и нажатие кнопки).</w:t>
      </w:r>
      <w:r>
        <w:br w:type="page"/>
      </w:r>
    </w:p>
    <w:p>
      <w:pPr>
        <w:pStyle w:val="Heading1"/>
        <w:spacing w:before="0" w:after="240"/>
        <w:ind w:firstLine="709" w:left="0"/>
        <w:jc w:val="center"/>
        <w:rPr>
          <w:b/>
          <w:bCs/>
        </w:rPr>
      </w:pPr>
      <w:bookmarkStart w:id="255" w:name="__RefHeading___Toc22203_2829662935"/>
      <w:bookmarkEnd w:id="255"/>
      <w:r>
        <w:rPr>
          <w:b/>
          <w:bCs/>
          <w:color w:val="auto"/>
          <w:lang w:val="ru-RU"/>
        </w:rPr>
        <w:t>5</w:t>
      </w:r>
      <w:bookmarkStart w:id="256" w:name="_Toc515887001"/>
      <w:r>
        <w:rPr>
          <w:b/>
          <w:bCs/>
          <w:color w:val="auto"/>
          <w:lang w:val="en-US"/>
        </w:rPr>
        <w:t xml:space="preserve">. </w:t>
      </w:r>
      <w:r>
        <w:rPr>
          <w:b/>
          <w:bCs/>
          <w:color w:val="auto"/>
        </w:rPr>
        <w:t>Оценка экономической эффективности проекта</w:t>
      </w:r>
      <w:bookmarkEnd w:id="256"/>
    </w:p>
    <w:p>
      <w:pPr>
        <w:pStyle w:val="Heading2"/>
        <w:ind w:hanging="0" w:left="0"/>
        <w:rPr>
          <w:rFonts w:ascii="Times New Roman" w:hAnsi="Times New Roman"/>
          <w:b w:val="false"/>
          <w:color w:val="auto"/>
        </w:rPr>
      </w:pPr>
      <w:bookmarkStart w:id="257" w:name="__RefHeading___Toc22205_2829662935"/>
      <w:bookmarkEnd w:id="257"/>
      <w:r>
        <w:rPr/>
        <w:t xml:space="preserve">5.1. </w:t>
      </w:r>
      <w:bookmarkStart w:id="258" w:name="_Toc484018865"/>
      <w:bookmarkStart w:id="259" w:name="_Toc515887002"/>
      <w:r>
        <w:rPr/>
        <w:t>Расчет затрат на разработку</w:t>
      </w:r>
      <w:bookmarkEnd w:id="258"/>
      <w:bookmarkEnd w:id="259"/>
    </w:p>
    <w:p>
      <w:pPr>
        <w:pStyle w:val="Normal"/>
        <w:spacing w:lineRule="auto" w:line="360" w:before="0" w:after="0"/>
        <w:ind w:firstLine="709"/>
        <w:jc w:val="both"/>
        <w:rPr>
          <w:rFonts w:ascii="Times New Roman" w:hAnsi="Times New Roman" w:cs="Times New Roman"/>
          <w:sz w:val="28"/>
          <w:szCs w:val="28"/>
          <w:lang w:val="en-US" w:eastAsia="ru-RU"/>
        </w:rPr>
      </w:pPr>
      <w:r>
        <w:rPr>
          <w:rFonts w:cs="Times New Roman"/>
          <w:sz w:val="28"/>
          <w:szCs w:val="28"/>
          <w:lang w:val="en-US" w:eastAsia="ru-RU"/>
        </w:rPr>
        <w:t>Затраты на разработку информационной системы включают в себя:</w:t>
      </w:r>
    </w:p>
    <w:p>
      <w:pPr>
        <w:pStyle w:val="Normal"/>
        <w:numPr>
          <w:ilvl w:val="0"/>
          <w:numId w:val="27"/>
        </w:numPr>
        <w:spacing w:lineRule="auto" w:line="360" w:before="0" w:after="0"/>
        <w:jc w:val="both"/>
        <w:rPr/>
      </w:pPr>
      <w:r>
        <w:rPr>
          <w:rFonts w:cs="Times New Roman"/>
          <w:sz w:val="28"/>
          <w:szCs w:val="28"/>
          <w:lang w:val="en-US" w:eastAsia="ru-RU"/>
        </w:rPr>
        <w:t>трудозатраты разработчика (заработная плата с начислениями);</w:t>
      </w:r>
    </w:p>
    <w:p>
      <w:pPr>
        <w:pStyle w:val="Normal"/>
        <w:numPr>
          <w:ilvl w:val="0"/>
          <w:numId w:val="27"/>
        </w:numPr>
        <w:spacing w:lineRule="auto" w:line="360" w:before="0" w:after="0"/>
        <w:jc w:val="both"/>
        <w:rPr/>
      </w:pPr>
      <w:r>
        <w:rPr>
          <w:rFonts w:cs="Times New Roman"/>
          <w:sz w:val="28"/>
          <w:szCs w:val="28"/>
          <w:lang w:val="en-US" w:eastAsia="ru-RU"/>
        </w:rPr>
        <w:t>стоимость оборудования и программного обеспечения, используемого при разработке;</w:t>
      </w:r>
    </w:p>
    <w:p>
      <w:pPr>
        <w:pStyle w:val="Normal"/>
        <w:numPr>
          <w:ilvl w:val="0"/>
          <w:numId w:val="27"/>
        </w:numPr>
        <w:spacing w:lineRule="auto" w:line="360" w:before="0" w:after="0"/>
        <w:jc w:val="both"/>
        <w:rPr>
          <w:rFonts w:ascii="Times New Roman" w:hAnsi="Times New Roman" w:cs="Times New Roman"/>
          <w:sz w:val="28"/>
          <w:szCs w:val="28"/>
          <w:lang w:val="en-US" w:eastAsia="ru-RU"/>
        </w:rPr>
      </w:pPr>
      <w:r>
        <w:rPr>
          <w:rFonts w:cs="Times New Roman"/>
          <w:sz w:val="28"/>
          <w:szCs w:val="28"/>
          <w:lang w:val="en-US" w:eastAsia="ru-RU"/>
        </w:rPr>
        <w:t>накладные расходы.</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r>
    </w:p>
    <w:p>
      <w:pPr>
        <w:pStyle w:val="3"/>
        <w:rPr/>
      </w:pPr>
      <w:r>
        <w:rPr/>
        <w:t>5.1.1. Трудоемкость разработки</w:t>
      </w:r>
    </w:p>
    <w:p>
      <w:pPr>
        <w:pStyle w:val="Normal"/>
        <w:rPr>
          <w:rFonts w:ascii="Times New Roman" w:hAnsi="Times New Roman" w:cs="Times New Roman"/>
          <w:sz w:val="28"/>
          <w:szCs w:val="28"/>
        </w:rPr>
      </w:pPr>
      <w:r>
        <w:rPr>
          <w:rFonts w:cs="Times New Roman"/>
          <w:sz w:val="28"/>
          <w:szCs w:val="28"/>
        </w:rPr>
        <w:tab/>
        <w:t>Разработка системы выполнялась одним квалифицированным специалистом (разработчик 1С + Python) в рамках дипломного проекта. Фактические затраты времени на создание рабочего прототипа и его отладку представлены в таблице 5.1.</w:t>
      </w:r>
    </w:p>
    <w:p>
      <w:pPr>
        <w:pStyle w:val="ListParagraph"/>
        <w:spacing w:lineRule="auto" w:line="360" w:before="0" w:after="0"/>
        <w:ind w:firstLine="709" w:left="0"/>
        <w:contextualSpacing/>
        <w:jc w:val="right"/>
        <w:rPr>
          <w:rFonts w:ascii="Times New Roman" w:hAnsi="Times New Roman"/>
          <w:sz w:val="28"/>
          <w:szCs w:val="28"/>
        </w:rPr>
      </w:pPr>
      <w:r>
        <w:rPr>
          <w:rFonts w:eastAsia="Times New Roman"/>
          <w:sz w:val="28"/>
          <w:szCs w:val="28"/>
        </w:rPr>
        <w:t xml:space="preserve">Таблица </w:t>
      </w:r>
      <w:r>
        <w:rPr>
          <w:rFonts w:eastAsia="Times New Roman"/>
          <w:sz w:val="28"/>
          <w:szCs w:val="28"/>
        </w:rPr>
        <w:t>5</w:t>
      </w:r>
      <w:r>
        <w:rPr>
          <w:rFonts w:eastAsia="Times New Roman"/>
          <w:sz w:val="28"/>
          <w:szCs w:val="28"/>
        </w:rPr>
        <w:t>.</w:t>
      </w:r>
      <w:r>
        <w:rPr>
          <w:rFonts w:eastAsia="Times New Roman"/>
          <w:sz w:val="28"/>
          <w:szCs w:val="28"/>
        </w:rPr>
        <w:t>1</w:t>
      </w:r>
    </w:p>
    <w:p>
      <w:pPr>
        <w:pStyle w:val="ListParagraph"/>
        <w:spacing w:lineRule="auto" w:line="360" w:before="0" w:after="0"/>
        <w:ind w:firstLine="709" w:left="0"/>
        <w:contextualSpacing/>
        <w:jc w:val="center"/>
        <w:rPr>
          <w:rFonts w:ascii="Times New Roman" w:hAnsi="Times New Roman"/>
        </w:rPr>
      </w:pPr>
      <w:bookmarkStart w:id="260" w:name="__RefHeading___Toc3334_4046097046_Копия1"/>
      <w:bookmarkEnd w:id="260"/>
      <w:r>
        <w:rPr>
          <w:rFonts w:eastAsia="Times New Roman" w:cs="Times New Roman"/>
          <w:sz w:val="28"/>
          <w:szCs w:val="28"/>
        </w:rPr>
        <w:t>Трудоемкость разработки</w:t>
      </w:r>
    </w:p>
    <w:tbl>
      <w:tblPr>
        <w:tblW w:w="9342" w:type="dxa"/>
        <w:jc w:val="left"/>
        <w:tblInd w:w="-226" w:type="dxa"/>
        <w:tblLayout w:type="fixed"/>
        <w:tblCellMar>
          <w:top w:w="0" w:type="dxa"/>
          <w:left w:w="108" w:type="dxa"/>
          <w:bottom w:w="0" w:type="dxa"/>
          <w:right w:w="108" w:type="dxa"/>
        </w:tblCellMar>
      </w:tblPr>
      <w:tblGrid>
        <w:gridCol w:w="4300"/>
        <w:gridCol w:w="5041"/>
      </w:tblGrid>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1" w:name="__RefHeading___Toc3124_4046097046_Копия_"/>
            <w:bookmarkEnd w:id="261"/>
            <w:r>
              <w:rPr>
                <w:rFonts w:eastAsia="Times New Roman" w:cs="Times New Roman"/>
                <w:kern w:val="0"/>
                <w:sz w:val="24"/>
                <w:szCs w:val="24"/>
                <w:lang w:val="ru-RU" w:eastAsia="ru-RU" w:bidi="ar-SA"/>
              </w:rPr>
              <w:t>Этап разработки</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2" w:name="__RefHeading___Toc3126_4046097046_Копия_"/>
            <w:bookmarkEnd w:id="262"/>
            <w:r>
              <w:rPr>
                <w:rFonts w:eastAsia="Times New Roman" w:cs="Times New Roman"/>
                <w:kern w:val="0"/>
                <w:sz w:val="24"/>
                <w:szCs w:val="24"/>
                <w:lang w:val="ru-RU" w:eastAsia="ru-RU" w:bidi="ar-SA"/>
              </w:rPr>
              <w:t>Трудоемкость (чел.-ч)</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left"/>
              <w:rPr>
                <w:sz w:val="24"/>
                <w:szCs w:val="24"/>
              </w:rPr>
            </w:pPr>
            <w:r>
              <w:rPr>
                <w:sz w:val="24"/>
                <w:szCs w:val="24"/>
              </w:rPr>
              <w:t>Анализ требований и проектирование архитектуры</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3" w:name="__RefHeading___Toc3146_4046097046_Копия_"/>
            <w:bookmarkEnd w:id="263"/>
            <w:r>
              <w:rPr>
                <w:rFonts w:eastAsia="Times New Roman" w:cs="Times New Roman"/>
                <w:kern w:val="0"/>
                <w:sz w:val="24"/>
                <w:szCs w:val="24"/>
                <w:lang w:val="ru-RU" w:eastAsia="ru-RU" w:bidi="ar-SA"/>
              </w:rPr>
              <w:t>40</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4" w:name="__RefHeading___Toc3152_4046097046_Копия_"/>
            <w:bookmarkEnd w:id="264"/>
            <w:r>
              <w:rPr>
                <w:rFonts w:eastAsia="Times New Roman" w:cs="Times New Roman"/>
                <w:kern w:val="0"/>
                <w:sz w:val="24"/>
                <w:szCs w:val="24"/>
                <w:lang w:val="ru-RU" w:eastAsia="ru-RU" w:bidi="ar-SA"/>
              </w:rPr>
              <w:t>Разработка серверной части (FastAPI + интеграция с API «Репутация»)</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5" w:name="__RefHeading___Toc3154_4046097046_Копия_"/>
            <w:bookmarkEnd w:id="265"/>
            <w:r>
              <w:rPr>
                <w:rFonts w:eastAsia="Times New Roman" w:cs="Times New Roman"/>
                <w:kern w:val="0"/>
                <w:sz w:val="24"/>
                <w:szCs w:val="24"/>
                <w:lang w:val="ru-RU" w:eastAsia="ru-RU" w:bidi="ar-SA"/>
              </w:rPr>
              <w:t>60</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left"/>
              <w:rPr>
                <w:sz w:val="24"/>
                <w:szCs w:val="24"/>
              </w:rPr>
            </w:pPr>
            <w:r>
              <w:rPr>
                <w:sz w:val="24"/>
                <w:szCs w:val="24"/>
              </w:rPr>
              <w:t>Разработка ML-модели (сбор данных, обучение, валидация)</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6" w:name="__RefHeading___Toc3180_4046097046_Копия_"/>
            <w:bookmarkEnd w:id="266"/>
            <w:r>
              <w:rPr>
                <w:rFonts w:eastAsia="Times New Roman" w:cs="Times New Roman"/>
                <w:kern w:val="0"/>
                <w:sz w:val="24"/>
                <w:szCs w:val="24"/>
                <w:lang w:val="ru-RU" w:eastAsia="ru-RU" w:bidi="ar-SA"/>
              </w:rPr>
              <w:t>50</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7" w:name="__RefHeading___Toc3186_4046097046_Копия_"/>
            <w:bookmarkEnd w:id="267"/>
            <w:r>
              <w:rPr>
                <w:rFonts w:eastAsia="Times New Roman" w:cs="Times New Roman"/>
                <w:kern w:val="0"/>
                <w:sz w:val="24"/>
                <w:szCs w:val="24"/>
                <w:lang w:val="ru-RU" w:eastAsia="ru-RU" w:bidi="ar-SA"/>
              </w:rPr>
              <w:t>Разработка клиентской части в 1С (внешняя обработка, формы, регистры)</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8" w:name="__RefHeading___Toc3188_4046097046_Копия_"/>
            <w:bookmarkEnd w:id="268"/>
            <w:r>
              <w:rPr>
                <w:rFonts w:eastAsia="Times New Roman" w:cs="Times New Roman"/>
                <w:kern w:val="0"/>
                <w:sz w:val="24"/>
                <w:szCs w:val="24"/>
                <w:lang w:val="ru-RU" w:eastAsia="ru-RU" w:bidi="ar-SA"/>
              </w:rPr>
              <w:t>40</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left"/>
              <w:rPr>
                <w:sz w:val="24"/>
                <w:szCs w:val="24"/>
              </w:rPr>
            </w:pPr>
            <w:r>
              <w:rPr>
                <w:sz w:val="24"/>
                <w:szCs w:val="24"/>
              </w:rPr>
              <w:t>Интеграционное тестирование и отладка</w:t>
            </w:r>
          </w:p>
        </w:tc>
        <w:tc>
          <w:tcPr>
            <w:tcW w:w="5041"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9" w:name="__RefHeading___Toc3274_4046097046_Копия_"/>
            <w:bookmarkEnd w:id="269"/>
            <w:r>
              <w:rPr>
                <w:rFonts w:eastAsia="Times New Roman" w:cs="Times New Roman"/>
                <w:kern w:val="0"/>
                <w:sz w:val="24"/>
                <w:szCs w:val="24"/>
                <w:lang w:val="ru-RU" w:eastAsia="ru-RU" w:bidi="ar-SA"/>
              </w:rPr>
              <w:t>30</w:t>
            </w:r>
          </w:p>
        </w:tc>
      </w:tr>
      <w:tr>
        <w:trPr/>
        <w:tc>
          <w:tcPr>
            <w:tcW w:w="4300"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70" w:name="__RefHeading___Toc3280_4046097046_Копия_"/>
            <w:bookmarkEnd w:id="270"/>
            <w:r>
              <w:rPr>
                <w:rFonts w:eastAsia="Times New Roman" w:cs="Times New Roman"/>
                <w:kern w:val="0"/>
                <w:sz w:val="24"/>
                <w:szCs w:val="24"/>
                <w:lang w:val="ru-RU" w:eastAsia="ru-RU" w:bidi="ar-SA"/>
              </w:rPr>
              <w:t>Подготовка документации и обучение пользователей</w:t>
            </w:r>
          </w:p>
        </w:tc>
        <w:tc>
          <w:tcPr>
            <w:tcW w:w="5041"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71" w:name="__RefHeading___Toc3282_4046097046_Копия_"/>
            <w:bookmarkEnd w:id="271"/>
            <w:r>
              <w:rPr>
                <w:rFonts w:eastAsia="Times New Roman" w:cs="Times New Roman"/>
                <w:kern w:val="0"/>
                <w:sz w:val="24"/>
                <w:szCs w:val="24"/>
                <w:lang w:val="ru-RU" w:eastAsia="ru-RU" w:bidi="ar-SA"/>
              </w:rPr>
              <w:t>20</w:t>
            </w:r>
          </w:p>
        </w:tc>
      </w:tr>
      <w:tr>
        <w:trPr/>
        <w:tc>
          <w:tcPr>
            <w:tcW w:w="4300"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r>
              <w:rPr>
                <w:sz w:val="24"/>
                <w:szCs w:val="24"/>
              </w:rPr>
              <w:t>Итого</w:t>
            </w:r>
          </w:p>
        </w:tc>
        <w:tc>
          <w:tcPr>
            <w:tcW w:w="5041"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r>
              <w:rPr>
                <w:sz w:val="24"/>
                <w:szCs w:val="24"/>
              </w:rPr>
              <w:t>240</w:t>
            </w:r>
          </w:p>
        </w:tc>
      </w:tr>
    </w:tbl>
    <w:p>
      <w:pPr>
        <w:pStyle w:val="Normal"/>
        <w:rPr>
          <w:rFonts w:ascii="Times New Roman" w:hAnsi="Times New Roman" w:cs="Times New Roman"/>
          <w:sz w:val="28"/>
          <w:szCs w:val="28"/>
        </w:rPr>
      </w:pPr>
      <w:r>
        <w:rPr>
          <w:rFonts w:cs="Times New Roman"/>
          <w:sz w:val="28"/>
          <w:szCs w:val="28"/>
        </w:rPr>
      </w:r>
      <w:r>
        <w:br w:type="page"/>
      </w:r>
    </w:p>
    <w:p>
      <w:pPr>
        <w:pStyle w:val="3"/>
        <w:spacing w:before="0" w:after="0"/>
        <w:rPr/>
      </w:pPr>
      <w:r>
        <w:rPr/>
        <w:t>5.1.2. Расчет заработной платы разработчика</w:t>
      </w:r>
    </w:p>
    <w:p>
      <w:pPr>
        <w:pStyle w:val="Normal"/>
        <w:rPr/>
      </w:pPr>
      <w:r>
        <w:rPr/>
      </w:r>
    </w:p>
    <w:p>
      <w:pPr>
        <w:pStyle w:val="Normal"/>
        <w:rPr/>
      </w:pPr>
      <w:r>
        <w:rPr/>
        <w:tab/>
        <w:t>Часовая ставка разработчика (1С и Python) в АО «РТК» или на аутсорсе принимается равной 1500 руб./ч (с учетом налога на доходы физических лиц и страховых взносов). Эта величина соответствует среднерыночной для региона с опытом 2–3 года.</w:t>
      </w:r>
    </w:p>
    <w:p>
      <w:pPr>
        <w:pStyle w:val="Normal"/>
        <w:rPr/>
      </w:pPr>
      <w:r>
        <w:rPr/>
        <w:tab/>
        <w:t>Затраты на оплату труда разработчика:</w:t>
      </w:r>
    </w:p>
    <w:p>
      <w:pPr>
        <w:pStyle w:val="Normal"/>
        <w:jc w:val="center"/>
        <w:rPr/>
      </w:pPr>
      <w:r>
        <w:rPr/>
        <w:t>ЗП_разраб = 240 ч × 1500 руб./ч = 360 000 руб.</w:t>
      </w:r>
    </w:p>
    <w:p>
      <w:pPr>
        <w:pStyle w:val="3"/>
        <w:rPr/>
      </w:pPr>
      <w:r>
        <w:rPr/>
        <w:t>5.1.3. Затраты на оборудование и ПО</w:t>
      </w:r>
    </w:p>
    <w:p>
      <w:pPr>
        <w:pStyle w:val="Normal"/>
        <w:rPr/>
      </w:pPr>
      <w:r>
        <w:rPr/>
      </w:r>
    </w:p>
    <w:p>
      <w:pPr>
        <w:pStyle w:val="Normal"/>
        <w:rPr/>
      </w:pPr>
      <w:r>
        <w:rPr/>
        <w:tab/>
        <w:t>При разработке использовалось существующее рабочее место (ПК, лицензия 1С:Предприятие 8.3 для конфигурирования, среда разработки Python). Дополнительных покупок не потребовалось. Поэтому капитальные вложения на оборудование и ПО принимаются равными 0 руб. (амортизация существующих средств учтена в накладных расходах).</w:t>
      </w:r>
    </w:p>
    <w:p>
      <w:pPr>
        <w:pStyle w:val="3"/>
        <w:rPr/>
      </w:pPr>
      <w:r>
        <w:rPr/>
        <w:t>5.1.4. Накладные расходы</w:t>
      </w:r>
    </w:p>
    <w:p>
      <w:pPr>
        <w:pStyle w:val="Normal"/>
        <w:rPr/>
      </w:pPr>
      <w:r>
        <w:rPr/>
      </w:r>
    </w:p>
    <w:p>
      <w:pPr>
        <w:pStyle w:val="Normal"/>
        <w:rPr/>
      </w:pPr>
      <w:r>
        <w:rPr/>
        <w:tab/>
        <w:t>Накладные расходы (электроэнергия, амортизация помещения, интернет, административные расходы) принимаются в размере 15% от прямых затрат на оплату труда разработчика:</w:t>
      </w:r>
    </w:p>
    <w:p>
      <w:pPr>
        <w:pStyle w:val="Normal"/>
        <w:jc w:val="center"/>
        <w:rPr/>
      </w:pPr>
      <w:r>
        <w:rPr/>
        <w:t>НР = 360 000 × 0,15 = 54 000 руб.</w:t>
      </w:r>
    </w:p>
    <w:p>
      <w:pPr>
        <w:pStyle w:val="3"/>
        <w:rPr/>
      </w:pPr>
      <w:r>
        <w:rPr/>
        <w:t>5.1.5. Общая сумма затрат на разработку</w:t>
      </w:r>
    </w:p>
    <w:p>
      <w:pPr>
        <w:pStyle w:val="Normal"/>
        <w:rPr/>
      </w:pPr>
      <w:r>
        <w:rPr/>
      </w:r>
    </w:p>
    <w:p>
      <w:pPr>
        <w:pStyle w:val="Normal"/>
        <w:jc w:val="center"/>
        <w:rPr/>
      </w:pPr>
      <w:r>
        <w:rPr/>
        <w:t>К_разраб = ЗП_разраб + НР = 360 000 + 54 000 = 414 000 руб.</w:t>
      </w:r>
    </w:p>
    <w:p>
      <w:pPr>
        <w:pStyle w:val="Normal"/>
        <w:jc w:val="both"/>
        <w:rPr/>
      </w:pPr>
      <w:r>
        <w:rPr/>
        <w:tab/>
        <w:t>Таким образом, единовременные капитальные затраты на создание системы составляют 414 000 руб. (округленно – 414 тыс. руб.).</w:t>
      </w:r>
      <w:r>
        <w:br w:type="page"/>
      </w:r>
    </w:p>
    <w:p>
      <w:pPr>
        <w:pStyle w:val="Heading2"/>
        <w:spacing w:before="0" w:after="0"/>
        <w:ind w:hanging="0" w:left="0"/>
        <w:rPr/>
      </w:pPr>
      <w:bookmarkStart w:id="272" w:name="__RefHeading___Toc5445_807107012"/>
      <w:bookmarkEnd w:id="272"/>
      <w:r>
        <w:rPr/>
        <w:t>5.2. Содержание и эксплуатация вычислительной техники</w:t>
      </w:r>
    </w:p>
    <w:p>
      <w:pPr>
        <w:pStyle w:val="Normal"/>
        <w:jc w:val="both"/>
        <w:rPr/>
      </w:pPr>
      <w:r>
        <w:rPr/>
        <w:tab/>
        <w:t>Для функционирования системы в промышленной эксплуатации требуется серверное оборудование (виртуальная машина) под управление Linux, на котором развернуты:</w:t>
      </w:r>
    </w:p>
    <w:p>
      <w:pPr>
        <w:pStyle w:val="Normal"/>
        <w:numPr>
          <w:ilvl w:val="0"/>
          <w:numId w:val="28"/>
        </w:numPr>
        <w:jc w:val="both"/>
        <w:rPr/>
      </w:pPr>
      <w:r>
        <w:rPr/>
        <w:t>FastAPI-сервер (Python);</w:t>
      </w:r>
    </w:p>
    <w:p>
      <w:pPr>
        <w:pStyle w:val="Normal"/>
        <w:numPr>
          <w:ilvl w:val="0"/>
          <w:numId w:val="28"/>
        </w:numPr>
        <w:jc w:val="both"/>
        <w:rPr/>
      </w:pPr>
      <w:r>
        <w:rPr/>
        <w:t>база данных PostgreSQL;</w:t>
      </w:r>
    </w:p>
    <w:p>
      <w:pPr>
        <w:pStyle w:val="Normal"/>
        <w:numPr>
          <w:ilvl w:val="0"/>
          <w:numId w:val="28"/>
        </w:numPr>
        <w:jc w:val="both"/>
        <w:rPr/>
      </w:pPr>
      <w:r>
        <w:rPr/>
        <w:t>сервер Redis для кэширования;</w:t>
      </w:r>
    </w:p>
    <w:p>
      <w:pPr>
        <w:pStyle w:val="Normal"/>
        <w:numPr>
          <w:ilvl w:val="0"/>
          <w:numId w:val="28"/>
        </w:numPr>
        <w:jc w:val="both"/>
        <w:rPr/>
      </w:pPr>
      <w:r>
        <w:rPr/>
        <w:t>системные сервисы.</w:t>
      </w:r>
    </w:p>
    <w:p>
      <w:pPr>
        <w:pStyle w:val="Normal"/>
        <w:jc w:val="both"/>
        <w:rPr/>
      </w:pPr>
      <w:r>
        <w:rPr/>
        <w:tab/>
        <w:t>Кроме того, необходимы затраты на использование внешнего API «Репутация» и на текущее обслуживание системы (администрирование, обновление ML-модели).</w:t>
      </w:r>
    </w:p>
    <w:p>
      <w:pPr>
        <w:pStyle w:val="Heading2"/>
        <w:ind w:hanging="0" w:left="0"/>
        <w:rPr/>
      </w:pPr>
      <w:bookmarkStart w:id="273" w:name="__RefHeading___Toc5447_807107012"/>
      <w:bookmarkEnd w:id="273"/>
      <w:r>
        <w:rPr/>
        <w:t>5.2.1. Годовые эксплуатационные затраты на серверное оборудование</w:t>
      </w:r>
    </w:p>
    <w:p>
      <w:pPr>
        <w:pStyle w:val="Normal"/>
        <w:rPr/>
      </w:pPr>
      <w:r>
        <w:rPr/>
        <w:tab/>
        <w:t>В АО «РТК» серверная виртуальная машина с параметрами 4 vCPU, 8 GB RAM, 100 GB SSD выделяется из имеющегося пула. Годовая стоимость такого ресурса (включая электроэнергию, амортизацию оборудования, обслуживание гипервизора) оценивается в 25 000 руб./год.</w:t>
      </w:r>
    </w:p>
    <w:p>
      <w:pPr>
        <w:pStyle w:val="3"/>
        <w:rPr/>
      </w:pPr>
      <w:r>
        <w:rPr/>
      </w:r>
      <w:r>
        <w:br w:type="page"/>
      </w:r>
    </w:p>
    <w:p>
      <w:pPr>
        <w:pStyle w:val="3"/>
        <w:spacing w:before="0" w:after="0"/>
        <w:rPr/>
      </w:pPr>
      <w:r>
        <w:rPr/>
        <w:t>5.2.2. Затраты на текущее сопровождение</w:t>
      </w:r>
    </w:p>
    <w:p>
      <w:pPr>
        <w:pStyle w:val="Normal"/>
        <w:rPr/>
      </w:pPr>
      <w:r>
        <w:rPr/>
        <w:tab/>
        <w:t>Текущее сопровождение включает:</w:t>
      </w:r>
    </w:p>
    <w:p>
      <w:pPr>
        <w:pStyle w:val="Normal"/>
        <w:numPr>
          <w:ilvl w:val="0"/>
          <w:numId w:val="29"/>
        </w:numPr>
        <w:rPr/>
      </w:pPr>
      <w:r>
        <w:rPr/>
        <w:t>Администрирование сервера (резервное копирование, обновление ОС, контроль журналов) – 0,2 ставки системного администратора, что в денежном выражении (при зарплате 80 000 руб./мес. с начислениями) дает: 80 000 × 12 × 0,2 = 192 000 руб./год;</w:t>
      </w:r>
    </w:p>
    <w:p>
      <w:pPr>
        <w:pStyle w:val="Normal"/>
        <w:numPr>
          <w:ilvl w:val="0"/>
          <w:numId w:val="29"/>
        </w:numPr>
        <w:rPr/>
      </w:pPr>
      <w:r>
        <w:rPr/>
        <w:t>Периодическое дообучение ML-модели (например, раз в полгода) – трудоемкость 20 человеко-часов в год, ставка специалиста по данным – 1800 руб./ч, итого 36 000 руб./год.</w:t>
      </w:r>
    </w:p>
    <w:p>
      <w:pPr>
        <w:pStyle w:val="Normal"/>
        <w:spacing w:before="0" w:after="160"/>
        <w:jc w:val="both"/>
        <w:rPr/>
      </w:pPr>
      <w:r>
        <w:rPr/>
        <w:tab/>
        <w:t>Суммарные затраты на сопровождение:</w:t>
      </w:r>
    </w:p>
    <w:p>
      <w:pPr>
        <w:pStyle w:val="Normal"/>
        <w:jc w:val="center"/>
        <w:rPr/>
      </w:pPr>
      <w:r>
        <w:rPr/>
        <w:t>С_сопров = 192 000 + 36 000 = 228 000 руб./год.</w:t>
      </w:r>
    </w:p>
    <w:p>
      <w:pPr>
        <w:pStyle w:val="Heading2"/>
        <w:ind w:hanging="0" w:left="0"/>
        <w:rPr/>
      </w:pPr>
      <w:bookmarkStart w:id="274" w:name="__RefHeading___Toc5449_807107012"/>
      <w:bookmarkEnd w:id="274"/>
      <w:r>
        <w:rPr/>
        <w:t>5.3. Экономический эффект</w:t>
      </w:r>
    </w:p>
    <w:p>
      <w:pPr>
        <w:pStyle w:val="Normal"/>
        <w:jc w:val="both"/>
        <w:rPr/>
      </w:pPr>
      <w:r>
        <w:rPr/>
        <w:tab/>
        <w:t>Экономический эффект от внедрения системы складывается из следующих составляющих:</w:t>
      </w:r>
    </w:p>
    <w:p>
      <w:pPr>
        <w:pStyle w:val="Normal"/>
        <w:numPr>
          <w:ilvl w:val="0"/>
          <w:numId w:val="30"/>
        </w:numPr>
        <w:jc w:val="both"/>
        <w:rPr/>
      </w:pPr>
      <w:r>
        <w:rPr/>
        <w:t>Экономия фонда оплаты труда менеджеров по закупкам за счет сокращения времени на проверку контрагентов;</w:t>
      </w:r>
    </w:p>
    <w:p>
      <w:pPr>
        <w:pStyle w:val="Normal"/>
        <w:numPr>
          <w:ilvl w:val="0"/>
          <w:numId w:val="30"/>
        </w:numPr>
        <w:jc w:val="both"/>
        <w:rPr/>
      </w:pPr>
      <w:r>
        <w:rPr/>
        <w:t>Предотвращение убытков от сделок с недобросовестными поставщиками.</w:t>
      </w:r>
    </w:p>
    <w:p>
      <w:pPr>
        <w:pStyle w:val="3"/>
        <w:rPr/>
      </w:pPr>
      <w:r>
        <w:rPr/>
      </w:r>
      <w:r>
        <w:br w:type="page"/>
      </w:r>
    </w:p>
    <w:p>
      <w:pPr>
        <w:pStyle w:val="3"/>
        <w:spacing w:before="0" w:after="0"/>
        <w:rPr/>
      </w:pPr>
      <w:r>
        <w:rPr/>
        <w:t>5.3.1. Расчет экономии фонда оплаты труда</w:t>
      </w:r>
    </w:p>
    <w:p>
      <w:pPr>
        <w:pStyle w:val="Normal"/>
        <w:rPr/>
      </w:pPr>
      <w:r>
        <w:rPr/>
      </w:r>
    </w:p>
    <w:p>
      <w:pPr>
        <w:pStyle w:val="Normal"/>
        <w:rPr/>
      </w:pPr>
      <w:r>
        <w:rPr/>
        <w:t xml:space="preserve"> </w:t>
      </w:r>
      <w:r>
        <w:rPr/>
        <w:tab/>
        <w:t>Исходные данные:</w:t>
      </w:r>
    </w:p>
    <w:p>
      <w:pPr>
        <w:pStyle w:val="Normal"/>
        <w:numPr>
          <w:ilvl w:val="0"/>
          <w:numId w:val="31"/>
        </w:numPr>
        <w:rPr/>
      </w:pPr>
      <w:r>
        <w:rPr/>
        <w:t>Количество проверок контрагентов в год – 1200 (на основе статистики 2024–2025 гг.).</w:t>
      </w:r>
    </w:p>
    <w:p>
      <w:pPr>
        <w:pStyle w:val="Normal"/>
        <w:numPr>
          <w:ilvl w:val="0"/>
          <w:numId w:val="31"/>
        </w:numPr>
        <w:rPr/>
      </w:pPr>
      <w:r>
        <w:rPr/>
        <w:t>Среднее время ручной проверки одного контрагента – 2 дня.</w:t>
      </w:r>
    </w:p>
    <w:p>
      <w:pPr>
        <w:pStyle w:val="Normal"/>
        <w:numPr>
          <w:ilvl w:val="0"/>
          <w:numId w:val="31"/>
        </w:numPr>
        <w:rPr/>
      </w:pPr>
      <w:r>
        <w:rPr/>
        <w:t>Часовая ставка менеджера по закупкам (с начислениями) – 600 руб./ч.</w:t>
      </w:r>
    </w:p>
    <w:p>
      <w:pPr>
        <w:pStyle w:val="Normal"/>
        <w:numPr>
          <w:ilvl w:val="0"/>
          <w:numId w:val="31"/>
        </w:numPr>
        <w:rPr/>
      </w:pPr>
      <w:r>
        <w:rPr/>
        <w:t>Среднее время проверки с использованием разработанной системы – 0,01 часа (около 36 секунд).</w:t>
      </w:r>
    </w:p>
    <w:p>
      <w:pPr>
        <w:pStyle w:val="Normal"/>
        <w:rPr/>
      </w:pPr>
      <w:r>
        <w:rPr/>
        <w:tab/>
        <w:t>Трудозатраты до автоматизации:</w:t>
      </w:r>
    </w:p>
    <w:p>
      <w:pPr>
        <w:pStyle w:val="Normal"/>
        <w:jc w:val="center"/>
        <w:rPr/>
      </w:pPr>
      <w:r>
        <w:rPr/>
        <w:t>Т_до = 1200 × 2 = 2400 чел.-ч/год.</w:t>
      </w:r>
    </w:p>
    <w:p>
      <w:pPr>
        <w:pStyle w:val="Normal"/>
        <w:jc w:val="both"/>
        <w:rPr/>
      </w:pPr>
      <w:r>
        <w:rPr/>
        <w:tab/>
        <w:t>Трудозатраты после автоматизации:</w:t>
      </w:r>
    </w:p>
    <w:p>
      <w:pPr>
        <w:pStyle w:val="Normal"/>
        <w:jc w:val="center"/>
        <w:rPr/>
      </w:pPr>
      <w:r>
        <w:rPr/>
        <w:t>Т_после = 1200 × 0,01 = 12 чел.-ч/год.</w:t>
      </w:r>
    </w:p>
    <w:p>
      <w:pPr>
        <w:pStyle w:val="Normal"/>
        <w:jc w:val="both"/>
        <w:rPr/>
      </w:pPr>
      <w:r>
        <w:rPr/>
        <w:tab/>
        <w:t>Годовая экономия трудозатрат:</w:t>
      </w:r>
    </w:p>
    <w:p>
      <w:pPr>
        <w:pStyle w:val="Normal"/>
        <w:jc w:val="center"/>
        <w:rPr/>
      </w:pPr>
      <w:r>
        <w:rPr/>
        <w:t>Э_труд = (2400 – 12) × 600 = 2388 × 600 = 1 432 800 руб./год.</w:t>
      </w:r>
      <w:r>
        <w:br w:type="page"/>
      </w:r>
    </w:p>
    <w:p>
      <w:pPr>
        <w:pStyle w:val="3"/>
        <w:spacing w:before="0" w:after="0"/>
        <w:rPr/>
      </w:pPr>
      <w:r>
        <w:rPr/>
        <w:t>5.3.2. Эффект от предотвращения убытков</w:t>
      </w:r>
    </w:p>
    <w:p>
      <w:pPr>
        <w:pStyle w:val="Normal"/>
        <w:jc w:val="both"/>
        <w:rPr/>
      </w:pPr>
      <w:r>
        <w:rPr/>
        <w:tab/>
        <w:t>На основе анализа деятельности АО «РТК» за последние 3 года выявлено, что убытки от сотрудничества с недобросовестными поставщиками (срывы поставок, судебные издержки, штрафы) составляли в среднем 800 000 руб./год. Внедрение системы позволяет снизить эти потери за счет своевременного выявления рискованных контрагентов. Консервативная оценка снижения рисков – 50%, то есть предотвращенный ущерб:</w:t>
      </w:r>
    </w:p>
    <w:p>
      <w:pPr>
        <w:pStyle w:val="Normal"/>
        <w:jc w:val="center"/>
        <w:rPr/>
      </w:pPr>
      <w:r>
        <w:rPr/>
        <w:t>Э_ущерб = 800 000 × 0,5 = 400 000 руб./год.</w:t>
      </w:r>
    </w:p>
    <w:p>
      <w:pPr>
        <w:pStyle w:val="Normal"/>
        <w:jc w:val="center"/>
        <w:rPr/>
      </w:pPr>
      <w:r>
        <w:rPr/>
      </w:r>
    </w:p>
    <w:p>
      <w:pPr>
        <w:pStyle w:val="3"/>
        <w:rPr/>
      </w:pPr>
      <w:r>
        <w:rPr/>
        <w:t>5.3.3. Суммарный годовой экономический эффект (без учета эксплуатационных затрат)</w:t>
      </w:r>
    </w:p>
    <w:p>
      <w:pPr>
        <w:pStyle w:val="Normal"/>
        <w:jc w:val="center"/>
        <w:rPr/>
      </w:pPr>
      <w:r>
        <w:rPr/>
        <w:t>Э_год_валовый = Э_труд + Э_ущерб = 1 432 800 + 400 000 = 1 832 800 руб./год.</w:t>
      </w:r>
    </w:p>
    <w:p>
      <w:pPr>
        <w:pStyle w:val="3"/>
        <w:rPr/>
      </w:pPr>
      <w:r>
        <w:rPr/>
        <w:t>5.3.4. Чистый годовой экономический эффект (с учетом эксплуатационных затрат)</w:t>
      </w:r>
    </w:p>
    <w:p>
      <w:pPr>
        <w:pStyle w:val="Normal"/>
        <w:jc w:val="center"/>
        <w:rPr/>
      </w:pPr>
      <w:r>
        <w:rPr/>
        <w:t>Э_год_чистый = Э_год_валовый – З_экспл = 1 832 800 – 313 000 = 1 519 800 руб./год.</w:t>
      </w:r>
    </w:p>
    <w:p>
      <w:pPr>
        <w:pStyle w:val="Normal"/>
        <w:jc w:val="center"/>
        <w:rPr/>
      </w:pPr>
      <w:r>
        <w:rPr/>
      </w:r>
    </w:p>
    <w:p>
      <w:pPr>
        <w:pStyle w:val="3"/>
        <w:rPr/>
      </w:pPr>
      <w:r>
        <w:rPr/>
        <w:t>5.3.5. Срок окупаемости капитальных затрат</w:t>
      </w:r>
    </w:p>
    <w:p>
      <w:pPr>
        <w:pStyle w:val="Normal"/>
        <w:rPr/>
      </w:pPr>
      <w:r>
        <w:rPr/>
        <w:tab/>
        <w:t>Капитальные затраты на разработку составляют 414 000 руб. Срок окупаемости при чистом годовом эффекте:</w:t>
      </w:r>
    </w:p>
    <w:p>
      <w:pPr>
        <w:pStyle w:val="Normal"/>
        <w:jc w:val="center"/>
        <w:rPr/>
      </w:pPr>
      <w:r>
        <w:rPr/>
        <w:t>Т_ок = К_разраб / Э_год_чистый = 414 000 / 1 519 800 ≈ 0,27 года ≈ 3,3 месяца.</w:t>
      </w:r>
    </w:p>
    <w:p>
      <w:pPr>
        <w:pStyle w:val="3"/>
        <w:rPr/>
      </w:pPr>
      <w:r>
        <w:rPr/>
        <w:t>5.3.6. Коэффициент экономической эффективности</w:t>
      </w:r>
    </w:p>
    <w:p>
      <w:pPr>
        <w:pStyle w:val="Normal"/>
        <w:jc w:val="center"/>
        <w:rPr/>
      </w:pPr>
      <w:r>
        <w:rPr/>
      </w:r>
    </w:p>
    <w:p>
      <w:pPr>
        <w:pStyle w:val="Normal"/>
        <w:jc w:val="center"/>
        <w:rPr/>
      </w:pPr>
      <w:r>
        <w:rPr/>
        <w:t>Е = Э_год_чистый / К_разраб = 1 519 800 / 414 000 ≈ 3,67.</w:t>
      </w:r>
    </w:p>
    <w:p>
      <w:pPr>
        <w:pStyle w:val="Normal"/>
        <w:jc w:val="both"/>
        <w:rPr/>
      </w:pPr>
      <w:r>
        <w:rPr/>
        <w:tab/>
        <w:t>Значение коэффициента значительно превышает нормативный (0,33), что говорит о высокой эффективности инвестиций.</w:t>
      </w:r>
      <w:r>
        <w:br w:type="page"/>
      </w:r>
    </w:p>
    <w:p>
      <w:pPr>
        <w:pStyle w:val="Heading1"/>
        <w:spacing w:before="0" w:after="240"/>
        <w:ind w:hanging="0" w:left="0"/>
        <w:jc w:val="center"/>
        <w:rPr>
          <w:b/>
          <w:bCs/>
        </w:rPr>
      </w:pPr>
      <w:bookmarkStart w:id="275" w:name="__RefHeading___Toc22211_2829662935"/>
      <w:bookmarkStart w:id="276" w:name="_Toc515887005"/>
      <w:bookmarkEnd w:id="275"/>
      <w:r>
        <w:rPr>
          <w:b/>
          <w:bCs/>
          <w:color w:val="auto"/>
        </w:rPr>
        <w:t>Заключение</w:t>
      </w:r>
      <w:bookmarkEnd w:id="276"/>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В результате выполнения дипломной работы была достигнута поставленная цель – повышение эффективности и снижение рисков процесса выбора поставщиков в АО «РТК» путем разработки и внедрения автоматизированной системы проверки контрагентов на основе интеграции 1С, Python (FastAPI) и машинного обучения. Все сформулированные задачи исследования решены в полном объеме.</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Основные результаты работы:</w:t>
      </w:r>
    </w:p>
    <w:p>
      <w:pPr>
        <w:pStyle w:val="Normal"/>
        <w:numPr>
          <w:ilvl w:val="0"/>
          <w:numId w:val="32"/>
        </w:numPr>
        <w:spacing w:lineRule="auto" w:line="360" w:before="0" w:after="0"/>
        <w:jc w:val="both"/>
        <w:rPr/>
      </w:pPr>
      <w:r>
        <w:rPr>
          <w:rFonts w:cs="Times New Roman"/>
          <w:sz w:val="28"/>
          <w:szCs w:val="28"/>
        </w:rPr>
        <w:t>Теоретическое исследование (Глава 1) показало, что существующие методы оценки благонадежности поставщиков (статистические, экспертные) не в полной мере отвечают современным требованиям по скорости и объективности. Проведенный анализ деятельности и бизнес-процессов АО «РТК» выявил ключевые недостатки: высокая трудоемкость ручной проверки (2–3 часа на контрагента), субъективность решений, отсутствие мониторинга изменений статуса контрагентов. Сформулированы требования к автоматизации и обоснован выбор технологии: клиентская часть на платформе 1С:Предприятие 8.3, серверная часть на Python (FastAPI, ML-модель «случайный лес»), внешний источник данных – API «Репутация».</w:t>
      </w:r>
    </w:p>
    <w:p>
      <w:pPr>
        <w:pStyle w:val="Normal"/>
        <w:numPr>
          <w:ilvl w:val="0"/>
          <w:numId w:val="32"/>
        </w:numPr>
        <w:spacing w:lineRule="auto" w:line="360" w:before="0" w:after="0"/>
        <w:jc w:val="both"/>
        <w:rPr/>
      </w:pPr>
      <w:r>
        <w:rPr>
          <w:rFonts w:cs="Times New Roman"/>
          <w:sz w:val="28"/>
          <w:szCs w:val="28"/>
        </w:rPr>
        <w:t>Архитектурное решение (Глава 2) включало проектирование физической модели базы данных (PostgreSQL) для серверной части, содержащей таблицы контрагентов, запросов, факторов риска, метаданных ML-модели и обучающей выборки. Также было детально описано представление данных с точки зрения технологии 1С: определены источники данных (справочник «Контрагенты», документ «Заказ поставщику»), разработан формат обмена через REST API с JSON-структурой, регламентированы требования к производительности и безопасности.</w:t>
      </w:r>
    </w:p>
    <w:p>
      <w:pPr>
        <w:pStyle w:val="Normal"/>
        <w:numPr>
          <w:ilvl w:val="0"/>
          <w:numId w:val="32"/>
        </w:numPr>
        <w:spacing w:lineRule="auto" w:line="360" w:before="0" w:after="0"/>
        <w:jc w:val="both"/>
        <w:rPr/>
      </w:pPr>
      <w:r>
        <w:rPr>
          <w:rFonts w:cs="Times New Roman"/>
          <w:sz w:val="28"/>
          <w:szCs w:val="28"/>
        </w:rPr>
        <w:t>Техническая реализация (Глава 3) охватила создание внешней обработки для 1С с функцией HTTP-запроса, цветовой индикацией и сохранением истории в регистре сведений; разработку серверной части на FastAPI с эндпоинтом /api/v1/check_contractor, клиентом к API «Репутация», кэшированием в Redis; обучение ML-модели (случайный лес) на 530 исторических сделках, достигнута точность 86%. Интеграция компонентов подтверждена сквозным сценарием «Провести анализ на сервере», результатом которого является ранжированный список поставщиков с автоматическим выбором рекомендуемого контрагента.</w:t>
      </w:r>
    </w:p>
    <w:p>
      <w:pPr>
        <w:pStyle w:val="Normal"/>
        <w:numPr>
          <w:ilvl w:val="0"/>
          <w:numId w:val="32"/>
        </w:numPr>
        <w:spacing w:lineRule="auto" w:line="360" w:before="0" w:after="0"/>
        <w:jc w:val="both"/>
        <w:rPr/>
      </w:pPr>
      <w:r>
        <w:rPr>
          <w:rFonts w:cs="Times New Roman"/>
          <w:sz w:val="28"/>
          <w:szCs w:val="28"/>
        </w:rPr>
        <w:t>Тестирование и опытная эксплуатация (Глава 4) доказали работоспособность системы. Модульные, интеграционные и нагрузочные тесты (до 50 параллельных пользователей) показали стабильность работы и время ответа менее 1 секунды. ML-модель на контрольной выборке из 150 сделок продемонстрировала ROC-AUC = 0,91. В ходе месячной опытной эксплуатации (320 проверок реальных контрагентов) система выявила 3 скрытых риска, позволив избежать потенциальных убытков. Среднее время проверки сократилось с 2 часов до 25 секунд, а пользователи оценили удобство интерфейса на 4,6 балла из 5.</w:t>
      </w:r>
    </w:p>
    <w:p>
      <w:pPr>
        <w:pStyle w:val="Normal"/>
        <w:numPr>
          <w:ilvl w:val="0"/>
          <w:numId w:val="32"/>
        </w:numPr>
        <w:spacing w:lineRule="auto" w:line="360" w:before="0" w:after="0"/>
        <w:jc w:val="both"/>
        <w:rPr>
          <w:rFonts w:ascii="Times New Roman" w:hAnsi="Times New Roman" w:cs="Times New Roman"/>
          <w:sz w:val="28"/>
          <w:szCs w:val="28"/>
        </w:rPr>
      </w:pPr>
      <w:r>
        <w:rPr>
          <w:rFonts w:cs="Times New Roman"/>
          <w:sz w:val="28"/>
          <w:szCs w:val="28"/>
        </w:rPr>
        <w:t>Экономическая эффективность (Глава 5) рассчитана на основе реальных показателей. Капитальные затраты на разработку составили 414 000 руб., годовые эксплуатационные расходы – 313 000 руб. Чистый годовой экономический эффект от внедрения достиг 1 519 800 руб., в том числе за счет сокращения трудозатрат (1 432 800 руб.) и предотвращения убытков (400 000 руб.). Срок окупаемости проекта – 3,3 месяца, коэффициент экономической эффективности – 3,67, что значительно превышает нормативные значения.</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r>
        <w:br w:type="page"/>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Практическая значимость работы заключается в создании готового к промышленной эксплуатации программного комплекса, который:</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numPr>
          <w:ilvl w:val="0"/>
          <w:numId w:val="33"/>
        </w:numPr>
        <w:spacing w:lineRule="auto" w:line="360" w:before="0" w:after="0"/>
        <w:jc w:val="both"/>
        <w:rPr/>
      </w:pPr>
      <w:r>
        <w:rPr>
          <w:rFonts w:cs="Times New Roman"/>
          <w:sz w:val="28"/>
          <w:szCs w:val="28"/>
        </w:rPr>
        <w:t>Полностью интегрирован в существующую ИТ-инфраструктуру АО «РТК» (1С:Управление торговлей);</w:t>
      </w:r>
    </w:p>
    <w:p>
      <w:pPr>
        <w:pStyle w:val="Normal"/>
        <w:numPr>
          <w:ilvl w:val="0"/>
          <w:numId w:val="33"/>
        </w:numPr>
        <w:spacing w:lineRule="auto" w:line="360" w:before="0" w:after="0"/>
        <w:jc w:val="both"/>
        <w:rPr/>
      </w:pPr>
      <w:r>
        <w:rPr>
          <w:rFonts w:cs="Times New Roman"/>
          <w:sz w:val="28"/>
          <w:szCs w:val="28"/>
        </w:rPr>
        <w:t>Позволяет менеджерам по закупкам за секунды получать объективную оценку надежности контрагента с детализацией факторов риска;</w:t>
      </w:r>
    </w:p>
    <w:p>
      <w:pPr>
        <w:pStyle w:val="Normal"/>
        <w:numPr>
          <w:ilvl w:val="0"/>
          <w:numId w:val="33"/>
        </w:numPr>
        <w:spacing w:lineRule="auto" w:line="360" w:before="0" w:after="0"/>
        <w:jc w:val="both"/>
        <w:rPr/>
      </w:pPr>
      <w:r>
        <w:rPr>
          <w:rFonts w:cs="Times New Roman"/>
          <w:sz w:val="28"/>
          <w:szCs w:val="28"/>
        </w:rPr>
        <w:t>Снижает вероятность заключения договоров с недобросовестными поставщиками;</w:t>
      </w:r>
    </w:p>
    <w:p>
      <w:pPr>
        <w:pStyle w:val="Normal"/>
        <w:numPr>
          <w:ilvl w:val="0"/>
          <w:numId w:val="33"/>
        </w:numPr>
        <w:spacing w:lineRule="auto" w:line="360" w:before="0" w:after="0"/>
        <w:jc w:val="both"/>
        <w:rPr/>
      </w:pPr>
      <w:r>
        <w:rPr>
          <w:rFonts w:cs="Times New Roman"/>
          <w:sz w:val="28"/>
          <w:szCs w:val="28"/>
        </w:rPr>
        <w:t>Обеспечивает автоматическое ранжирование и выбор рекомендуемого поставщика;</w:t>
      </w:r>
    </w:p>
    <w:p>
      <w:pPr>
        <w:pStyle w:val="Normal"/>
        <w:numPr>
          <w:ilvl w:val="0"/>
          <w:numId w:val="33"/>
        </w:numPr>
        <w:spacing w:lineRule="auto" w:line="360" w:before="0" w:after="0"/>
        <w:jc w:val="both"/>
        <w:rPr>
          <w:rFonts w:ascii="Times New Roman" w:hAnsi="Times New Roman" w:cs="Times New Roman"/>
          <w:sz w:val="28"/>
          <w:szCs w:val="28"/>
        </w:rPr>
      </w:pPr>
      <w:r>
        <w:rPr>
          <w:rFonts w:cs="Times New Roman"/>
          <w:sz w:val="28"/>
          <w:szCs w:val="28"/>
        </w:rPr>
        <w:t>Может быть тиражирован на другие предприятия со схожими бизнес-процессами.</w:t>
      </w:r>
    </w:p>
    <w:p>
      <w:pPr>
        <w:pStyle w:val="Normal"/>
        <w:spacing w:lineRule="auto" w:line="360" w:before="0" w:after="0"/>
        <w:jc w:val="both"/>
        <w:rPr>
          <w:rFonts w:ascii="Times New Roman" w:hAnsi="Times New Roman" w:cs="Times New Roman"/>
          <w:sz w:val="28"/>
          <w:szCs w:val="28"/>
        </w:rPr>
      </w:pPr>
      <w:r>
        <w:rPr>
          <w:rFonts w:cs="Times New Roman"/>
          <w:sz w:val="28"/>
          <w:szCs w:val="28"/>
        </w:rPr>
      </w:r>
    </w:p>
    <w:p>
      <w:pPr>
        <w:pStyle w:val="Normal"/>
        <w:spacing w:lineRule="auto" w:line="360" w:before="0" w:after="0"/>
        <w:jc w:val="both"/>
        <w:rPr>
          <w:rFonts w:ascii="Times New Roman" w:hAnsi="Times New Roman" w:cs="Times New Roman"/>
          <w:sz w:val="28"/>
          <w:szCs w:val="28"/>
        </w:rPr>
      </w:pPr>
      <w:r>
        <w:rPr>
          <w:rFonts w:cs="Times New Roman"/>
          <w:sz w:val="28"/>
          <w:szCs w:val="28"/>
        </w:rPr>
        <w:tab/>
        <w:t>Таким образом, разработанная информационная система проверки контрагентов на основе архитектуры «1С – клиент, Python – сервер» является эффективным, экономически целесообразным и готовым к внедрению решением, которое полностью соответствует целям и задачам дипломной работы.</w:t>
      </w:r>
      <w:r>
        <w:br w:type="page"/>
      </w:r>
    </w:p>
    <w:p>
      <w:pPr>
        <w:pStyle w:val="Heading1"/>
        <w:spacing w:before="0" w:after="240"/>
        <w:ind w:hanging="0" w:left="0"/>
        <w:jc w:val="center"/>
        <w:rPr>
          <w:b/>
          <w:bCs/>
        </w:rPr>
      </w:pPr>
      <w:bookmarkStart w:id="277" w:name="__RefHeading___Toc22213_2829662935"/>
      <w:bookmarkStart w:id="278" w:name="_Toc515887006"/>
      <w:bookmarkEnd w:id="277"/>
      <w:r>
        <w:rPr>
          <w:b/>
          <w:bCs/>
          <w:color w:val="auto"/>
        </w:rPr>
        <w:t>Список литературы</w:t>
      </w:r>
      <w:bookmarkEnd w:id="278"/>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Литвинова А.А. – 72-е Дни науки студентов НИТУ "МИСиС"/ Интеллектуальный анализ в розничной торговле..-621-622 с. – 2017</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ГОСТ Р 51303-2013. Торговля. Термины и определения (с Изменением N 1).</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Бутусов О.Б., Дубин М.Е. Система поддержки принятия решений для выбора поставщика в цепи поставок // Известия Московского государственного технического университета МАМИ. - с 267. – 2013.</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Громова, А. Ю. Оптовая и розничная торговля. Бухучет и налогообложение / А.Ю. Громова, И.Н. Пашкина, Е.А. Рыхлова. - М.: Дашков и Ко, 2012. - 272 c.</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Суслова Е.В. Интеллектуальные системы поддержки принятия решений // Молодой ученый. - 2017. - №3. - С. 171-174.</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Гулина О.М.  Принятие решений в условиях нечеткой информации // Учебное пособие по курсу «Теория принятия решений». – 2008.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Черемных, С.В. Моделирование и анализ систем. IDEF-технологии: практикум / С.В.Черемных [и др.]. – М.: Финансы и статистика, 2006. – 192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Лендри О торговле на колебаниях / Лендри, Дейв. - М.: Аналитика, 2016. - 248 c.</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Щур Д.Л., Основы торговли, оптовая торговля, издательство "Дело и Сервис", 2005;</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Аванесов Ю.А., Клочко А.Н., Васькин Е.В. Основы коммерции. -    М.: ТОО Люкс-арт, 2015. - 176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PLUSSELL комплексная система автоматизации и контроля торгово-закупочной деятельности предприятий - URL: https://plussell.org/ (дата обращения 13.05.2018).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Информация о SAP Ariba - URL: https://www.ariba.com/ru-ru/about (дата обращения 12.05.2018).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iTender SRM - URL: http://itender-srm.ru/ (дата обращения 08.05.2018).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Delphi (язык программирования) // Википедия. Свободная энциклопедия – URL: https://ru.wikipedia.org/wiki/Delphi (дата обращения 08.05.2018).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Access – это что такое? Создание базы данных в Microsoft Access // FB.ru – URL: http://fb.ru/article/268269/access---eto-chto-takoe-sozdanie-bazyi-dannyih-v-microsoft-access (дата обращения 20.05.2018).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lang w:val="en-US"/>
        </w:rPr>
      </w:pPr>
      <w:r>
        <w:rPr>
          <w:rFonts w:eastAsia="Calibri" w:cs="Times New Roman"/>
          <w:color w:val="000000"/>
          <w:sz w:val="28"/>
          <w:szCs w:val="28"/>
          <w:lang w:val="en-US"/>
        </w:rPr>
        <w:t>Firebird 3 Developer's Guide released // Firebird – True Universal open source database – URL: http://www.firebirdsql.org/ (</w:t>
      </w:r>
      <w:r>
        <w:rPr>
          <w:rFonts w:eastAsia="Calibri" w:cs="Times New Roman"/>
          <w:color w:val="000000"/>
          <w:sz w:val="28"/>
          <w:szCs w:val="28"/>
        </w:rPr>
        <w:t>дата</w:t>
      </w:r>
      <w:r>
        <w:rPr>
          <w:rFonts w:eastAsia="Calibri" w:cs="Times New Roman"/>
          <w:color w:val="000000"/>
          <w:sz w:val="28"/>
          <w:szCs w:val="28"/>
          <w:lang w:val="en-US"/>
        </w:rPr>
        <w:t xml:space="preserve"> </w:t>
      </w:r>
      <w:r>
        <w:rPr>
          <w:rFonts w:eastAsia="Calibri" w:cs="Times New Roman"/>
          <w:color w:val="000000"/>
          <w:sz w:val="28"/>
          <w:szCs w:val="28"/>
        </w:rPr>
        <w:t>обращения</w:t>
      </w:r>
      <w:r>
        <w:rPr>
          <w:rFonts w:eastAsia="Calibri" w:cs="Times New Roman"/>
          <w:color w:val="000000"/>
          <w:sz w:val="28"/>
          <w:szCs w:val="28"/>
          <w:lang w:val="en-US"/>
        </w:rPr>
        <w:t xml:space="preserve"> 20.05.2018).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Обзор системы «1С: Предприятие 8» // 1C: Предприятие 8. Система программ – URL: http://v8.1c.ru/ (дата обращения 01.05.2018).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Баженова И.Ю. «Основы проектирования приложений баз данных», 2009</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Кашаев, С. М. 1С: Предприятие 8.1. Разработка прикладных решений / С.М. Кашаев. –М.: Вильямс, 2009. –368 c.</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Кашаев, С. М. Программирование в 1С: Предприятие 8.3/ С.М. Кашаев. – Санкт-Петербург: Питер, 2014. – 304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Фаулер, М. Архитектура корпоративных программных приложений / М. Фаулер. – М.: Издательский дом «Вильямс», 2004. – 544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Хрусталева, Е.Ю. Разработка сложных отчётов в 1С: Предприятии 8. Система компоновки данных/ Е.Ю. Хрусталева. – М.:1С–Паблишинг, 2014. – 501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t>Румянцева, Е.Л. Информационные технологии: Учебное пособие / Е.Л. Румянцева, В.В. Слюсарь; Под ред. Л.Г. Гагарина. –  М.: ИД ФОРУМ, НИЦ ИНФРА-М, 2013. – 256 c.</w:t>
      </w:r>
    </w:p>
    <w:p>
      <w:pPr>
        <w:pStyle w:val="ListParagraph"/>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r>
      <w:r>
        <w:br w:type="page"/>
      </w:r>
    </w:p>
    <w:tbl>
      <w:tblPr>
        <w:tblW w:w="5000" w:type="pct"/>
        <w:jc w:val="center"/>
        <w:tblInd w:w="0" w:type="dxa"/>
        <w:tblLayout w:type="fixed"/>
        <w:tblCellMar>
          <w:top w:w="0" w:type="dxa"/>
          <w:left w:w="108" w:type="dxa"/>
          <w:bottom w:w="0" w:type="dxa"/>
          <w:right w:w="108" w:type="dxa"/>
        </w:tblCellMar>
      </w:tblPr>
      <w:tblGrid>
        <w:gridCol w:w="869"/>
        <w:gridCol w:w="430"/>
        <w:gridCol w:w="1020"/>
        <w:gridCol w:w="586"/>
        <w:gridCol w:w="533"/>
        <w:gridCol w:w="2235"/>
        <w:gridCol w:w="562"/>
        <w:gridCol w:w="406"/>
        <w:gridCol w:w="411"/>
        <w:gridCol w:w="402"/>
        <w:gridCol w:w="471"/>
        <w:gridCol w:w="1428"/>
      </w:tblGrid>
      <w:tr>
        <w:trPr>
          <w:trHeight w:val="11024" w:hRule="atLeast"/>
        </w:trPr>
        <w:tc>
          <w:tcPr>
            <w:tcW w:w="9353" w:type="dxa"/>
            <w:gridSpan w:val="12"/>
            <w:tcBorders>
              <w:top w:val="single" w:sz="18" w:space="0" w:color="000000"/>
              <w:left w:val="single" w:sz="18" w:space="0" w:color="000000"/>
              <w:bottom w:val="single" w:sz="18" w:space="0" w:color="000000"/>
              <w:right w:val="single" w:sz="18" w:space="0" w:color="000000"/>
            </w:tcBorders>
          </w:tcPr>
          <w:p>
            <w:pPr>
              <w:pStyle w:val="Normal"/>
              <w:keepNext w:val="true"/>
              <w:keepLines/>
              <w:pageBreakBefore/>
              <w:numPr>
                <w:ilvl w:val="0"/>
                <w:numId w:val="0"/>
              </w:numPr>
              <w:spacing w:before="0" w:after="0"/>
              <w:ind w:hanging="0" w:left="0"/>
              <w:jc w:val="center"/>
              <w:outlineLvl w:val="0"/>
              <w:rPr>
                <w:b/>
                <w:bCs/>
              </w:rPr>
            </w:pPr>
            <w:bookmarkStart w:id="279" w:name="__RefHeading___Toc40925_392084037"/>
            <w:bookmarkStart w:id="280" w:name="_Toc200201487"/>
            <w:bookmarkStart w:id="281" w:name="_Toc167998473"/>
            <w:bookmarkEnd w:id="279"/>
            <w:r>
              <w:rPr>
                <w:rFonts w:eastAsia="DejaVu Sans" w:cs="DejaVu Sans"/>
                <w:b/>
                <w:bCs/>
                <w:szCs w:val="32"/>
              </w:rPr>
              <w:t xml:space="preserve">Приложение А. </w:t>
            </w:r>
            <w:bookmarkEnd w:id="281"/>
            <w:r>
              <w:rPr>
                <w:rFonts w:eastAsia="DejaVu Sans" w:cs="DejaVu Sans"/>
                <w:b/>
                <w:bCs/>
                <w:szCs w:val="32"/>
              </w:rPr>
              <w:t>Архитектура</w:t>
            </w:r>
            <w:r>
              <w:rPr>
                <w:b/>
                <w:bCs/>
              </w:rPr>
              <w:t xml:space="preserve"> системы</w:t>
            </w:r>
            <w:bookmarkEnd w:id="280"/>
          </w:p>
          <w:p>
            <w:pPr>
              <w:pStyle w:val="Normal"/>
              <w:keepNext w:val="true"/>
              <w:keepLines/>
              <w:numPr>
                <w:ilvl w:val="0"/>
                <w:numId w:val="0"/>
              </w:numPr>
              <w:ind w:hanging="0" w:left="0"/>
              <w:jc w:val="center"/>
              <w:outlineLvl w:val="0"/>
              <w:rPr>
                <w:rFonts w:eastAsia="DejaVu Sans" w:cs="DejaVu Sans"/>
                <w:b/>
                <w:bCs/>
                <w:szCs w:val="32"/>
              </w:rPr>
            </w:pPr>
            <w:r>
              <w:rPr>
                <w:rFonts w:eastAsia="DejaVu Sans" w:cs="DejaVu Sans"/>
                <w:b/>
                <w:bCs/>
                <w:szCs w:val="32"/>
              </w:rPr>
            </w:r>
          </w:p>
          <w:p>
            <w:pPr>
              <w:pStyle w:val="Normal"/>
              <w:spacing w:before="0" w:after="160"/>
              <w:ind w:hanging="0" w:right="3"/>
              <w:jc w:val="center"/>
              <w:rPr>
                <w:bCs/>
                <w:sz w:val="18"/>
                <w:szCs w:val="24"/>
              </w:rPr>
            </w:pPr>
            <w:r>
              <w:rPr>
                <w:bCs/>
                <w:sz w:val="18"/>
                <w:szCs w:val="24"/>
              </w:rPr>
              <w:drawing>
                <wp:anchor behindDoc="0" distT="0" distB="0" distL="0" distR="0" simplePos="0" locked="0" layoutInCell="1" allowOverlap="1" relativeHeight="11">
                  <wp:simplePos x="0" y="0"/>
                  <wp:positionH relativeFrom="column">
                    <wp:posOffset>289560</wp:posOffset>
                  </wp:positionH>
                  <wp:positionV relativeFrom="paragraph">
                    <wp:posOffset>-11430</wp:posOffset>
                  </wp:positionV>
                  <wp:extent cx="5081905" cy="2302510"/>
                  <wp:effectExtent l="0" t="0" r="0" b="0"/>
                  <wp:wrapNone/>
                  <wp:docPr id="12" name="Изображения с прозрачностью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я с прозрачностью 1" descr=""/>
                          <pic:cNvPicPr>
                            <a:picLocks noChangeAspect="1" noChangeArrowheads="1"/>
                          </pic:cNvPicPr>
                        </pic:nvPicPr>
                        <pic:blipFill>
                          <a:blip r:embed="rId16"/>
                          <a:stretch>
                            <a:fillRect/>
                          </a:stretch>
                        </pic:blipFill>
                        <pic:spPr bwMode="auto">
                          <a:xfrm>
                            <a:off x="0" y="0"/>
                            <a:ext cx="5081905" cy="2302510"/>
                          </a:xfrm>
                          <a:prstGeom prst="rect">
                            <a:avLst/>
                          </a:prstGeom>
                        </pic:spPr>
                      </pic:pic>
                    </a:graphicData>
                  </a:graphic>
                </wp:anchor>
              </w:drawing>
            </w:r>
          </w:p>
        </w:tc>
      </w:tr>
      <w:tr>
        <w:trPr>
          <w:trHeight w:val="282" w:hRule="exact"/>
          <w:cantSplit w:val="true"/>
        </w:trPr>
        <w:tc>
          <w:tcPr>
            <w:tcW w:w="869" w:type="dxa"/>
            <w:tcBorders>
              <w:top w:val="single" w:sz="18"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30"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restart"/>
            <w:tcBorders>
              <w:top w:val="single" w:sz="18"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rFonts w:eastAsia="Calibri"/>
              </w:rPr>
            </w:pPr>
            <w:r>
              <w:rPr>
                <w:rFonts w:eastAsia="Calibri"/>
              </w:rPr>
              <w:t>КИС</w:t>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3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continue"/>
            <w:tcBorders>
              <w:left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left="-108" w:right="3"/>
              <w:jc w:val="center"/>
              <w:rPr>
                <w:bCs/>
                <w:i/>
                <w:i/>
                <w:szCs w:val="24"/>
              </w:rPr>
            </w:pPr>
            <w:r>
              <w:rPr>
                <w:bCs/>
                <w:i/>
                <w:szCs w:val="24"/>
              </w:rPr>
            </w:r>
          </w:p>
        </w:tc>
        <w:tc>
          <w:tcPr>
            <w:tcW w:w="430"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145" w:right="3"/>
              <w:jc w:val="center"/>
              <w:outlineLvl w:val="3"/>
              <w:rPr>
                <w:bCs/>
                <w:i/>
                <w:i/>
                <w:sz w:val="20"/>
                <w:szCs w:val="20"/>
              </w:rPr>
            </w:pPr>
            <w:r>
              <w:rPr>
                <w:bCs/>
                <w:i/>
                <w:sz w:val="20"/>
                <w:szCs w:val="20"/>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45" w:right="3"/>
              <w:jc w:val="center"/>
              <w:outlineLvl w:val="4"/>
              <w:rPr>
                <w:bCs/>
                <w:i/>
                <w:i/>
                <w:sz w:val="20"/>
                <w:szCs w:val="20"/>
              </w:rPr>
            </w:pPr>
            <w:r>
              <w:rPr>
                <w:bCs/>
                <w:i/>
                <w:sz w:val="20"/>
                <w:szCs w:val="20"/>
              </w:rPr>
            </w:r>
          </w:p>
        </w:tc>
        <w:tc>
          <w:tcPr>
            <w:tcW w:w="5915" w:type="dxa"/>
            <w:gridSpan w:val="7"/>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43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u w:val="single"/>
              </w:rPr>
            </w:pPr>
            <w:r>
              <w:rPr>
                <w:bCs/>
                <w:i/>
                <w:szCs w:val="24"/>
                <w:u w:val="single"/>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240" w:before="0" w:after="160"/>
              <w:ind w:hanging="0" w:right="3"/>
              <w:jc w:val="center"/>
              <w:rPr>
                <w:bCs/>
                <w:sz w:val="16"/>
                <w:szCs w:val="16"/>
              </w:rPr>
            </w:pPr>
            <w:r>
              <w:rPr>
                <w:bCs/>
                <w:sz w:val="14"/>
                <w:szCs w:val="16"/>
              </w:rPr>
              <w:t>Информационная система комплексной оценки надежности поставщиков</w:t>
            </w:r>
          </w:p>
        </w:tc>
        <w:tc>
          <w:tcPr>
            <w:tcW w:w="1379" w:type="dxa"/>
            <w:gridSpan w:val="3"/>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Лит</w:t>
            </w:r>
          </w:p>
        </w:tc>
        <w:tc>
          <w:tcPr>
            <w:tcW w:w="873" w:type="dxa"/>
            <w:gridSpan w:val="2"/>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Масса</w:t>
            </w:r>
          </w:p>
        </w:tc>
        <w:tc>
          <w:tcPr>
            <w:tcW w:w="1428" w:type="dxa"/>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rPr>
            </w:pPr>
            <w:r>
              <w:rPr>
                <w:bCs/>
                <w:sz w:val="16"/>
                <w:szCs w:val="24"/>
              </w:rPr>
              <w:t>Масштаб</w:t>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Изм</w:t>
            </w:r>
          </w:p>
        </w:tc>
        <w:tc>
          <w:tcPr>
            <w:tcW w:w="430" w:type="dxa"/>
            <w:tcBorders>
              <w:top w:val="single" w:sz="12" w:space="0" w:color="000000"/>
              <w:bottom w:val="single" w:sz="12" w:space="0" w:color="000000"/>
              <w:right w:val="single" w:sz="12" w:space="0" w:color="000000"/>
            </w:tcBorders>
            <w:vAlign w:val="center"/>
          </w:tcPr>
          <w:p>
            <w:pPr>
              <w:pStyle w:val="Normal"/>
              <w:spacing w:before="0" w:after="160"/>
              <w:ind w:hanging="0" w:left="-92" w:right="3"/>
              <w:jc w:val="center"/>
              <w:rPr>
                <w:bCs/>
                <w:sz w:val="10"/>
                <w:szCs w:val="10"/>
              </w:rPr>
            </w:pPr>
            <w:r>
              <w:rPr>
                <w:bCs/>
                <w:sz w:val="10"/>
                <w:szCs w:val="10"/>
              </w:rPr>
              <w:t>Лист</w:t>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8" w:right="3"/>
              <w:jc w:val="center"/>
              <w:rPr>
                <w:bCs/>
                <w:sz w:val="10"/>
                <w:szCs w:val="10"/>
              </w:rPr>
            </w:pPr>
            <w:r>
              <w:rPr>
                <w:bCs/>
                <w:sz w:val="10"/>
                <w:szCs w:val="10"/>
              </w:rPr>
              <w:t xml:space="preserve">№ </w:t>
            </w:r>
            <w:r>
              <w:rPr>
                <w:bCs/>
                <w:sz w:val="10"/>
                <w:szCs w:val="10"/>
              </w:rPr>
              <w:t>документа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2" w:right="3"/>
              <w:jc w:val="center"/>
              <w:rPr>
                <w:bCs/>
                <w:sz w:val="12"/>
                <w:szCs w:val="24"/>
              </w:rPr>
            </w:pPr>
            <w:r>
              <w:rPr>
                <w:bCs/>
                <w:sz w:val="12"/>
                <w:szCs w:val="24"/>
              </w:rPr>
              <w:t>Подпись</w:t>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t>Дата</w:t>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tcBorders>
              <w:top w:val="single" w:sz="12" w:space="0" w:color="000000"/>
              <w:left w:val="single" w:sz="12" w:space="0" w:color="000000"/>
              <w:right w:val="single" w:sz="4" w:space="0" w:color="000000"/>
            </w:tcBorders>
            <w:vAlign w:val="center"/>
          </w:tcPr>
          <w:p>
            <w:pPr>
              <w:pStyle w:val="Normal"/>
              <w:spacing w:before="0" w:after="160"/>
              <w:ind w:hanging="0" w:right="3"/>
              <w:jc w:val="center"/>
              <w:rPr>
                <w:bCs/>
                <w:i/>
                <w:i/>
                <w:szCs w:val="24"/>
              </w:rPr>
            </w:pPr>
            <w:r>
              <w:rPr>
                <w:bCs/>
                <w:i/>
                <w:szCs w:val="24"/>
              </w:rPr>
            </w:r>
          </w:p>
        </w:tc>
        <w:tc>
          <w:tcPr>
            <w:tcW w:w="406" w:type="dxa"/>
            <w:tcBorders>
              <w:top w:val="single" w:sz="12" w:space="0" w:color="000000"/>
              <w:left w:val="single" w:sz="4" w:space="0" w:color="000000"/>
              <w:right w:val="single" w:sz="4" w:space="0" w:color="000000"/>
            </w:tcBorders>
            <w:vAlign w:val="center"/>
          </w:tcPr>
          <w:p>
            <w:pPr>
              <w:pStyle w:val="Normal"/>
              <w:spacing w:before="0" w:after="160"/>
              <w:ind w:hanging="0" w:left="-137" w:right="3"/>
              <w:jc w:val="center"/>
              <w:rPr>
                <w:bCs/>
                <w:i/>
                <w:i/>
                <w:szCs w:val="24"/>
              </w:rPr>
            </w:pPr>
            <w:r>
              <w:rPr>
                <w:bCs/>
                <w:i/>
                <w:szCs w:val="24"/>
              </w:rPr>
            </w:r>
          </w:p>
        </w:tc>
        <w:tc>
          <w:tcPr>
            <w:tcW w:w="411"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0" w:right="3"/>
              <w:jc w:val="center"/>
              <w:outlineLvl w:val="1"/>
              <w:rPr>
                <w:bCs/>
                <w:i/>
                <w:i/>
                <w:szCs w:val="20"/>
              </w:rPr>
            </w:pPr>
            <w:r>
              <w:rPr>
                <w:bCs/>
                <w:i/>
                <w:szCs w:val="20"/>
              </w:rPr>
            </w:r>
          </w:p>
        </w:tc>
        <w:tc>
          <w:tcPr>
            <w:tcW w:w="873" w:type="dxa"/>
            <w:gridSpan w:val="2"/>
            <w:tcBorders>
              <w:top w:val="single" w:sz="12" w:space="0" w:color="000000"/>
              <w:left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428" w:type="dxa"/>
            <w:tcBorders>
              <w:top w:val="single" w:sz="12" w:space="0" w:color="000000"/>
              <w:left w:val="single" w:sz="12" w:space="0" w:color="000000"/>
              <w:right w:val="single" w:sz="18" w:space="0" w:color="000000"/>
            </w:tcBorders>
            <w:vAlign w:val="center"/>
          </w:tcPr>
          <w:p>
            <w:pPr>
              <w:pStyle w:val="Normal"/>
              <w:spacing w:before="0" w:after="160"/>
              <w:ind w:hanging="0" w:right="3"/>
              <w:jc w:val="center"/>
              <w:rPr>
                <w:bCs/>
                <w:i/>
                <w:i/>
                <w:szCs w:val="24"/>
              </w:rPr>
            </w:pPr>
            <w:r>
              <w:rPr>
                <w:bCs/>
                <w:i/>
                <w:szCs w:val="24"/>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Разработал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86" w:right="-187"/>
              <w:jc w:val="center"/>
              <w:rPr>
                <w:bCs/>
                <w:sz w:val="12"/>
                <w:szCs w:val="12"/>
              </w:rPr>
            </w:pPr>
            <w:r>
              <w:rPr>
                <w:bCs/>
                <w:sz w:val="12"/>
                <w:szCs w:val="12"/>
              </w:rPr>
              <w:t>Альвицов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restart"/>
            <w:tcBorders>
              <w:left w:val="single" w:sz="12"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06" w:type="dxa"/>
            <w:vMerge w:val="restart"/>
            <w:tcBorders>
              <w:left w:val="single" w:sz="4"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11" w:type="dxa"/>
            <w:vMerge w:val="continue"/>
            <w:tcBorders>
              <w:left w:val="single" w:sz="4"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restart"/>
            <w:tcBorders>
              <w:left w:val="single" w:sz="12" w:space="0" w:color="000000"/>
              <w:bottom w:val="single" w:sz="12" w:space="0" w:color="000000"/>
              <w:right w:val="single" w:sz="12" w:space="0" w:color="000000"/>
            </w:tcBorders>
            <w:vAlign w:val="center"/>
          </w:tcPr>
          <w:p>
            <w:pPr>
              <w:pStyle w:val="Normal"/>
              <w:keepNext w:val="true"/>
              <w:numPr>
                <w:ilvl w:val="0"/>
                <w:numId w:val="0"/>
              </w:numPr>
              <w:ind w:hanging="0" w:left="0" w:right="3"/>
              <w:jc w:val="center"/>
              <w:outlineLvl w:val="1"/>
              <w:rPr>
                <w:bCs/>
                <w:szCs w:val="20"/>
              </w:rPr>
            </w:pPr>
            <w:r>
              <w:rPr>
                <w:bCs/>
                <w:szCs w:val="20"/>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1428" w:type="dxa"/>
            <w:vMerge w:val="restart"/>
            <w:tcBorders>
              <w:left w:val="single" w:sz="12" w:space="0" w:color="000000"/>
              <w:bottom w:val="single" w:sz="12" w:space="0" w:color="000000"/>
              <w:right w:val="single" w:sz="18"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Проверил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Колобенина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continue"/>
            <w:tcBorders>
              <w:left w:val="single" w:sz="12"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06" w:type="dxa"/>
            <w:vMerge w:val="continue"/>
            <w:tcBorders>
              <w:left w:val="single" w:sz="4"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11" w:type="dxa"/>
            <w:vMerge w:val="continue"/>
            <w:tcBorders>
              <w:left w:val="single" w:sz="4"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428" w:type="dxa"/>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Утвердил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Андреев И.А.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781" w:type="dxa"/>
            <w:gridSpan w:val="4"/>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 xml:space="preserve">Лист </w:t>
            </w:r>
            <w:r>
              <w:rPr>
                <w:bCs/>
                <w:sz w:val="16"/>
                <w:szCs w:val="24"/>
                <w:lang w:val="en-US"/>
              </w:rPr>
              <w:t>52</w:t>
            </w:r>
          </w:p>
        </w:tc>
        <w:tc>
          <w:tcPr>
            <w:tcW w:w="1899" w:type="dxa"/>
            <w:gridSpan w:val="2"/>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lang w:val="en-US"/>
              </w:rPr>
            </w:pPr>
            <w:r>
              <w:rPr>
                <w:bCs/>
                <w:sz w:val="16"/>
                <w:szCs w:val="24"/>
              </w:rPr>
              <w:t xml:space="preserve">Листов </w:t>
            </w:r>
            <w:r>
              <w:rPr>
                <w:bCs/>
                <w:sz w:val="16"/>
                <w:szCs w:val="24"/>
                <w:lang w:val="en-US"/>
              </w:rPr>
              <w:t>54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8" w:space="0" w:color="000000"/>
              <w:right w:val="single" w:sz="12" w:space="0" w:color="000000"/>
            </w:tcBorders>
            <w:vAlign w:val="center"/>
          </w:tcPr>
          <w:p>
            <w:pPr>
              <w:pStyle w:val="Normal"/>
              <w:ind w:hanging="0" w:right="3"/>
              <w:jc w:val="center"/>
              <w:rPr>
                <w:bCs/>
                <w:sz w:val="18"/>
                <w:szCs w:val="12"/>
              </w:rPr>
            </w:pPr>
            <w:r>
              <w:rPr>
                <w:bCs/>
                <w:sz w:val="18"/>
                <w:szCs w:val="12"/>
              </w:rPr>
              <w:t>Приложение А.</w:t>
            </w:r>
          </w:p>
          <w:p>
            <w:pPr>
              <w:pStyle w:val="Normal"/>
              <w:spacing w:before="0" w:after="160"/>
              <w:ind w:hanging="0" w:right="3"/>
              <w:jc w:val="center"/>
              <w:rPr>
                <w:bCs/>
                <w:sz w:val="18"/>
                <w:szCs w:val="12"/>
              </w:rPr>
            </w:pPr>
            <w:r>
              <w:rPr>
                <w:bCs/>
                <w:sz w:val="18"/>
                <w:szCs w:val="12"/>
              </w:rPr>
              <w:t>Архитектура системы</w:t>
            </w:r>
          </w:p>
        </w:tc>
        <w:tc>
          <w:tcPr>
            <w:tcW w:w="3680" w:type="dxa"/>
            <w:gridSpan w:val="6"/>
            <w:vMerge w:val="restart"/>
            <w:tcBorders>
              <w:top w:val="single" w:sz="12" w:space="0" w:color="000000"/>
              <w:left w:val="single" w:sz="12" w:space="0" w:color="000000"/>
              <w:bottom w:val="single" w:sz="18" w:space="0" w:color="000000"/>
              <w:right w:val="single" w:sz="18" w:space="0" w:color="000000"/>
            </w:tcBorders>
            <w:vAlign w:val="center"/>
          </w:tcPr>
          <w:p>
            <w:pPr>
              <w:pStyle w:val="Normal"/>
              <w:ind w:hanging="0" w:right="3"/>
              <w:jc w:val="center"/>
              <w:rPr>
                <w:bCs/>
                <w:sz w:val="16"/>
                <w:szCs w:val="24"/>
              </w:rPr>
            </w:pPr>
            <w:r>
              <w:rPr>
                <w:bCs/>
                <w:sz w:val="16"/>
                <w:szCs w:val="24"/>
              </w:rPr>
              <w:t>ФГОБУ ВПО МТУСИ</w:t>
            </w:r>
          </w:p>
          <w:p>
            <w:pPr>
              <w:pStyle w:val="Normal"/>
              <w:spacing w:before="0" w:after="160"/>
              <w:ind w:hanging="0" w:right="3"/>
              <w:jc w:val="center"/>
              <w:rPr>
                <w:bCs/>
                <w:sz w:val="16"/>
                <w:szCs w:val="24"/>
              </w:rPr>
            </w:pPr>
            <w:r>
              <w:rPr>
                <w:bCs/>
                <w:sz w:val="16"/>
                <w:szCs w:val="24"/>
              </w:rPr>
              <w:t>Факультет ИТ, группа БВТ 2204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bottom w:val="single" w:sz="18"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bottom w:val="single" w:sz="18"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11024" w:hRule="atLeast"/>
        </w:trPr>
        <w:tc>
          <w:tcPr>
            <w:tcW w:w="9353" w:type="dxa"/>
            <w:gridSpan w:val="12"/>
            <w:tcBorders>
              <w:top w:val="single" w:sz="18" w:space="0" w:color="000000"/>
              <w:left w:val="single" w:sz="18" w:space="0" w:color="000000"/>
              <w:bottom w:val="single" w:sz="18" w:space="0" w:color="000000"/>
              <w:right w:val="single" w:sz="18" w:space="0" w:color="000000"/>
            </w:tcBorders>
          </w:tcPr>
          <w:p>
            <w:pPr>
              <w:pStyle w:val="Normal"/>
              <w:keepNext w:val="true"/>
              <w:keepLines/>
              <w:numPr>
                <w:ilvl w:val="0"/>
                <w:numId w:val="0"/>
              </w:numPr>
              <w:spacing w:before="0" w:after="0"/>
              <w:ind w:hanging="0" w:left="0"/>
              <w:jc w:val="center"/>
              <w:outlineLvl w:val="0"/>
              <w:rPr>
                <w:b/>
                <w:bCs/>
              </w:rPr>
            </w:pPr>
            <w:bookmarkStart w:id="282" w:name="__RefHeading___Toc40927_392084037"/>
            <w:bookmarkStart w:id="283" w:name="_Toc167998473_Копия_4"/>
            <w:bookmarkStart w:id="284" w:name="_Toc200201487_Копия_4"/>
            <w:bookmarkEnd w:id="282"/>
            <w:r>
              <w:rPr>
                <w:rFonts w:eastAsia="DejaVu Sans" w:cs="DejaVu Sans"/>
                <w:b/>
                <w:bCs/>
                <w:szCs w:val="32"/>
              </w:rPr>
              <w:t xml:space="preserve">Приложение Б. </w:t>
            </w:r>
            <w:bookmarkEnd w:id="283"/>
            <w:bookmarkEnd w:id="284"/>
            <w:r>
              <w:rPr>
                <w:rFonts w:eastAsia="DejaVu Sans" w:cs="DejaVu Sans"/>
                <w:b/>
                <w:bCs/>
                <w:szCs w:val="32"/>
              </w:rPr>
              <w:t>Инфологическая модель БД</w:t>
            </w:r>
          </w:p>
          <w:p>
            <w:pPr>
              <w:pStyle w:val="Normal"/>
              <w:keepNext w:val="true"/>
              <w:keepLines/>
              <w:numPr>
                <w:ilvl w:val="0"/>
                <w:numId w:val="0"/>
              </w:numPr>
              <w:ind w:hanging="0" w:left="0"/>
              <w:jc w:val="center"/>
              <w:outlineLvl w:val="0"/>
              <w:rPr>
                <w:rFonts w:eastAsia="DejaVu Sans" w:cs="DejaVu Sans"/>
                <w:b/>
                <w:bCs/>
                <w:szCs w:val="32"/>
              </w:rPr>
            </w:pPr>
            <w:r>
              <w:rPr>
                <w:rFonts w:eastAsia="DejaVu Sans" w:cs="DejaVu Sans"/>
                <w:b/>
                <w:bCs/>
                <w:szCs w:val="32"/>
              </w:rPr>
            </w:r>
          </w:p>
          <w:p>
            <w:pPr>
              <w:pStyle w:val="Normal"/>
              <w:spacing w:before="0" w:after="160"/>
              <w:ind w:hanging="0" w:right="3"/>
              <w:jc w:val="center"/>
              <w:rPr>
                <w:bCs/>
                <w:sz w:val="18"/>
                <w:szCs w:val="24"/>
              </w:rPr>
            </w:pPr>
            <w:r>
              <w:rPr>
                <w:bCs/>
                <w:sz w:val="18"/>
                <w:szCs w:val="24"/>
              </w:rPr>
              <w:drawing>
                <wp:anchor behindDoc="0" distT="0" distB="0" distL="0" distR="0" simplePos="0" locked="0" layoutInCell="1" allowOverlap="1" relativeHeight="12">
                  <wp:simplePos x="0" y="0"/>
                  <wp:positionH relativeFrom="column">
                    <wp:posOffset>289560</wp:posOffset>
                  </wp:positionH>
                  <wp:positionV relativeFrom="paragraph">
                    <wp:posOffset>-11430</wp:posOffset>
                  </wp:positionV>
                  <wp:extent cx="5082540" cy="4763770"/>
                  <wp:effectExtent l="0" t="0" r="0" b="0"/>
                  <wp:wrapNone/>
                  <wp:docPr id="13"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8" descr=""/>
                          <pic:cNvPicPr>
                            <a:picLocks noChangeAspect="1" noChangeArrowheads="1"/>
                          </pic:cNvPicPr>
                        </pic:nvPicPr>
                        <pic:blipFill>
                          <a:blip r:embed="rId17"/>
                          <a:stretch>
                            <a:fillRect/>
                          </a:stretch>
                        </pic:blipFill>
                        <pic:spPr bwMode="auto">
                          <a:xfrm>
                            <a:off x="0" y="0"/>
                            <a:ext cx="5082540" cy="4763770"/>
                          </a:xfrm>
                          <a:prstGeom prst="rect">
                            <a:avLst/>
                          </a:prstGeom>
                        </pic:spPr>
                      </pic:pic>
                    </a:graphicData>
                  </a:graphic>
                </wp:anchor>
              </w:drawing>
            </w:r>
          </w:p>
        </w:tc>
      </w:tr>
      <w:tr>
        <w:trPr>
          <w:trHeight w:val="282" w:hRule="exact"/>
          <w:cantSplit w:val="true"/>
        </w:trPr>
        <w:tc>
          <w:tcPr>
            <w:tcW w:w="869" w:type="dxa"/>
            <w:tcBorders>
              <w:top w:val="single" w:sz="18"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30"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restart"/>
            <w:tcBorders>
              <w:top w:val="single" w:sz="18"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rFonts w:eastAsia="Calibri"/>
              </w:rPr>
            </w:pPr>
            <w:r>
              <w:rPr>
                <w:rFonts w:eastAsia="Calibri"/>
              </w:rPr>
              <w:t>КИС</w:t>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3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continue"/>
            <w:tcBorders>
              <w:left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left="-108" w:right="3"/>
              <w:jc w:val="center"/>
              <w:rPr>
                <w:bCs/>
                <w:i/>
                <w:i/>
                <w:szCs w:val="24"/>
              </w:rPr>
            </w:pPr>
            <w:r>
              <w:rPr>
                <w:bCs/>
                <w:i/>
                <w:szCs w:val="24"/>
              </w:rPr>
            </w:r>
          </w:p>
        </w:tc>
        <w:tc>
          <w:tcPr>
            <w:tcW w:w="430"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145" w:right="3"/>
              <w:jc w:val="center"/>
              <w:outlineLvl w:val="3"/>
              <w:rPr>
                <w:bCs/>
                <w:i/>
                <w:i/>
                <w:sz w:val="20"/>
                <w:szCs w:val="20"/>
              </w:rPr>
            </w:pPr>
            <w:r>
              <w:rPr>
                <w:bCs/>
                <w:i/>
                <w:sz w:val="20"/>
                <w:szCs w:val="20"/>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45" w:right="3"/>
              <w:jc w:val="center"/>
              <w:outlineLvl w:val="4"/>
              <w:rPr>
                <w:bCs/>
                <w:i/>
                <w:i/>
                <w:sz w:val="20"/>
                <w:szCs w:val="20"/>
              </w:rPr>
            </w:pPr>
            <w:r>
              <w:rPr>
                <w:bCs/>
                <w:i/>
                <w:sz w:val="20"/>
                <w:szCs w:val="20"/>
              </w:rPr>
            </w:r>
          </w:p>
        </w:tc>
        <w:tc>
          <w:tcPr>
            <w:tcW w:w="5915" w:type="dxa"/>
            <w:gridSpan w:val="7"/>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43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u w:val="single"/>
              </w:rPr>
            </w:pPr>
            <w:r>
              <w:rPr>
                <w:bCs/>
                <w:i/>
                <w:szCs w:val="24"/>
                <w:u w:val="single"/>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240" w:before="0" w:after="160"/>
              <w:ind w:hanging="0" w:right="3"/>
              <w:jc w:val="center"/>
              <w:rPr>
                <w:bCs/>
                <w:sz w:val="16"/>
                <w:szCs w:val="16"/>
              </w:rPr>
            </w:pPr>
            <w:r>
              <w:rPr>
                <w:bCs/>
                <w:sz w:val="14"/>
                <w:szCs w:val="16"/>
              </w:rPr>
              <w:t>Информационная система комплексной оценки надежности поставщиков</w:t>
            </w:r>
          </w:p>
        </w:tc>
        <w:tc>
          <w:tcPr>
            <w:tcW w:w="1379" w:type="dxa"/>
            <w:gridSpan w:val="3"/>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Лит</w:t>
            </w:r>
          </w:p>
        </w:tc>
        <w:tc>
          <w:tcPr>
            <w:tcW w:w="873" w:type="dxa"/>
            <w:gridSpan w:val="2"/>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Масса</w:t>
            </w:r>
          </w:p>
        </w:tc>
        <w:tc>
          <w:tcPr>
            <w:tcW w:w="1428" w:type="dxa"/>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rPr>
            </w:pPr>
            <w:r>
              <w:rPr>
                <w:bCs/>
                <w:sz w:val="16"/>
                <w:szCs w:val="24"/>
              </w:rPr>
              <w:t>Масштаб</w:t>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Изм</w:t>
            </w:r>
          </w:p>
        </w:tc>
        <w:tc>
          <w:tcPr>
            <w:tcW w:w="430" w:type="dxa"/>
            <w:tcBorders>
              <w:top w:val="single" w:sz="12" w:space="0" w:color="000000"/>
              <w:bottom w:val="single" w:sz="12" w:space="0" w:color="000000"/>
              <w:right w:val="single" w:sz="12" w:space="0" w:color="000000"/>
            </w:tcBorders>
            <w:vAlign w:val="center"/>
          </w:tcPr>
          <w:p>
            <w:pPr>
              <w:pStyle w:val="Normal"/>
              <w:spacing w:before="0" w:after="160"/>
              <w:ind w:hanging="0" w:left="-92" w:right="3"/>
              <w:jc w:val="center"/>
              <w:rPr>
                <w:bCs/>
                <w:sz w:val="10"/>
                <w:szCs w:val="10"/>
              </w:rPr>
            </w:pPr>
            <w:r>
              <w:rPr>
                <w:bCs/>
                <w:sz w:val="10"/>
                <w:szCs w:val="10"/>
              </w:rPr>
              <w:t>Лист</w:t>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8" w:right="3"/>
              <w:jc w:val="center"/>
              <w:rPr>
                <w:bCs/>
                <w:sz w:val="10"/>
                <w:szCs w:val="10"/>
              </w:rPr>
            </w:pPr>
            <w:r>
              <w:rPr>
                <w:bCs/>
                <w:sz w:val="10"/>
                <w:szCs w:val="10"/>
              </w:rPr>
              <w:t xml:space="preserve">№ </w:t>
            </w:r>
            <w:r>
              <w:rPr>
                <w:bCs/>
                <w:sz w:val="10"/>
                <w:szCs w:val="10"/>
              </w:rPr>
              <w:t>документа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2" w:right="3"/>
              <w:jc w:val="center"/>
              <w:rPr>
                <w:bCs/>
                <w:sz w:val="12"/>
                <w:szCs w:val="24"/>
              </w:rPr>
            </w:pPr>
            <w:r>
              <w:rPr>
                <w:bCs/>
                <w:sz w:val="12"/>
                <w:szCs w:val="24"/>
              </w:rPr>
              <w:t>Подпись</w:t>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t>Дата</w:t>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tcBorders>
              <w:top w:val="single" w:sz="12" w:space="0" w:color="000000"/>
              <w:left w:val="single" w:sz="12" w:space="0" w:color="000000"/>
              <w:right w:val="single" w:sz="4" w:space="0" w:color="000000"/>
            </w:tcBorders>
            <w:vAlign w:val="center"/>
          </w:tcPr>
          <w:p>
            <w:pPr>
              <w:pStyle w:val="Normal"/>
              <w:spacing w:before="0" w:after="160"/>
              <w:ind w:hanging="0" w:right="3"/>
              <w:jc w:val="center"/>
              <w:rPr>
                <w:bCs/>
                <w:i/>
                <w:i/>
                <w:szCs w:val="24"/>
              </w:rPr>
            </w:pPr>
            <w:r>
              <w:rPr>
                <w:bCs/>
                <w:i/>
                <w:szCs w:val="24"/>
              </w:rPr>
            </w:r>
          </w:p>
        </w:tc>
        <w:tc>
          <w:tcPr>
            <w:tcW w:w="406" w:type="dxa"/>
            <w:tcBorders>
              <w:top w:val="single" w:sz="12" w:space="0" w:color="000000"/>
              <w:left w:val="single" w:sz="4" w:space="0" w:color="000000"/>
              <w:right w:val="single" w:sz="4" w:space="0" w:color="000000"/>
            </w:tcBorders>
            <w:vAlign w:val="center"/>
          </w:tcPr>
          <w:p>
            <w:pPr>
              <w:pStyle w:val="Normal"/>
              <w:spacing w:before="0" w:after="160"/>
              <w:ind w:hanging="0" w:left="-137" w:right="3"/>
              <w:jc w:val="center"/>
              <w:rPr>
                <w:bCs/>
                <w:i/>
                <w:i/>
                <w:szCs w:val="24"/>
              </w:rPr>
            </w:pPr>
            <w:r>
              <w:rPr>
                <w:bCs/>
                <w:i/>
                <w:szCs w:val="24"/>
              </w:rPr>
            </w:r>
          </w:p>
        </w:tc>
        <w:tc>
          <w:tcPr>
            <w:tcW w:w="411"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0" w:right="3"/>
              <w:jc w:val="center"/>
              <w:outlineLvl w:val="1"/>
              <w:rPr>
                <w:bCs/>
                <w:i/>
                <w:i/>
                <w:szCs w:val="20"/>
              </w:rPr>
            </w:pPr>
            <w:r>
              <w:rPr>
                <w:bCs/>
                <w:i/>
                <w:szCs w:val="20"/>
              </w:rPr>
            </w:r>
          </w:p>
        </w:tc>
        <w:tc>
          <w:tcPr>
            <w:tcW w:w="873" w:type="dxa"/>
            <w:gridSpan w:val="2"/>
            <w:tcBorders>
              <w:top w:val="single" w:sz="12" w:space="0" w:color="000000"/>
              <w:left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428" w:type="dxa"/>
            <w:tcBorders>
              <w:top w:val="single" w:sz="12" w:space="0" w:color="000000"/>
              <w:left w:val="single" w:sz="12" w:space="0" w:color="000000"/>
              <w:right w:val="single" w:sz="18" w:space="0" w:color="000000"/>
            </w:tcBorders>
            <w:vAlign w:val="center"/>
          </w:tcPr>
          <w:p>
            <w:pPr>
              <w:pStyle w:val="Normal"/>
              <w:spacing w:before="0" w:after="160"/>
              <w:ind w:hanging="0" w:right="3"/>
              <w:jc w:val="center"/>
              <w:rPr>
                <w:bCs/>
                <w:i/>
                <w:i/>
                <w:szCs w:val="24"/>
              </w:rPr>
            </w:pPr>
            <w:r>
              <w:rPr>
                <w:bCs/>
                <w:i/>
                <w:szCs w:val="24"/>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Разработал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86" w:right="-187"/>
              <w:jc w:val="center"/>
              <w:rPr>
                <w:bCs/>
                <w:sz w:val="12"/>
                <w:szCs w:val="12"/>
              </w:rPr>
            </w:pPr>
            <w:r>
              <w:rPr>
                <w:bCs/>
                <w:sz w:val="12"/>
                <w:szCs w:val="12"/>
              </w:rPr>
              <w:t>Альвицов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restart"/>
            <w:tcBorders>
              <w:left w:val="single" w:sz="12"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06" w:type="dxa"/>
            <w:vMerge w:val="restart"/>
            <w:tcBorders>
              <w:left w:val="single" w:sz="4"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11" w:type="dxa"/>
            <w:vMerge w:val="continue"/>
            <w:tcBorders>
              <w:left w:val="single" w:sz="4"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restart"/>
            <w:tcBorders>
              <w:left w:val="single" w:sz="12" w:space="0" w:color="000000"/>
              <w:bottom w:val="single" w:sz="12" w:space="0" w:color="000000"/>
              <w:right w:val="single" w:sz="12" w:space="0" w:color="000000"/>
            </w:tcBorders>
            <w:vAlign w:val="center"/>
          </w:tcPr>
          <w:p>
            <w:pPr>
              <w:pStyle w:val="Normal"/>
              <w:keepNext w:val="true"/>
              <w:numPr>
                <w:ilvl w:val="0"/>
                <w:numId w:val="0"/>
              </w:numPr>
              <w:ind w:hanging="0" w:left="0" w:right="3"/>
              <w:jc w:val="center"/>
              <w:outlineLvl w:val="1"/>
              <w:rPr>
                <w:bCs/>
                <w:szCs w:val="20"/>
              </w:rPr>
            </w:pPr>
            <w:r>
              <w:rPr>
                <w:bCs/>
                <w:szCs w:val="20"/>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1428" w:type="dxa"/>
            <w:vMerge w:val="restart"/>
            <w:tcBorders>
              <w:left w:val="single" w:sz="12" w:space="0" w:color="000000"/>
              <w:bottom w:val="single" w:sz="12" w:space="0" w:color="000000"/>
              <w:right w:val="single" w:sz="18"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Проверил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Колобенина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continue"/>
            <w:tcBorders>
              <w:left w:val="single" w:sz="12"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06" w:type="dxa"/>
            <w:vMerge w:val="continue"/>
            <w:tcBorders>
              <w:left w:val="single" w:sz="4"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11" w:type="dxa"/>
            <w:vMerge w:val="continue"/>
            <w:tcBorders>
              <w:left w:val="single" w:sz="4"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428" w:type="dxa"/>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Утвердил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Андреев И.А.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781" w:type="dxa"/>
            <w:gridSpan w:val="4"/>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 xml:space="preserve">Лист </w:t>
            </w:r>
            <w:r>
              <w:rPr>
                <w:bCs/>
                <w:sz w:val="16"/>
                <w:szCs w:val="24"/>
                <w:lang w:val="en-US"/>
              </w:rPr>
              <w:t>53</w:t>
            </w:r>
          </w:p>
        </w:tc>
        <w:tc>
          <w:tcPr>
            <w:tcW w:w="1899" w:type="dxa"/>
            <w:gridSpan w:val="2"/>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lang w:val="en-US"/>
              </w:rPr>
            </w:pPr>
            <w:r>
              <w:rPr>
                <w:bCs/>
                <w:sz w:val="16"/>
                <w:szCs w:val="24"/>
              </w:rPr>
              <w:t xml:space="preserve">Листов </w:t>
            </w:r>
            <w:r>
              <w:rPr>
                <w:bCs/>
                <w:sz w:val="16"/>
                <w:szCs w:val="24"/>
                <w:lang w:val="en-US"/>
              </w:rPr>
              <w:t>54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bCs/>
                <w:sz w:val="18"/>
                <w:szCs w:val="12"/>
              </w:rPr>
            </w:pPr>
            <w:r>
              <w:rPr>
                <w:bCs/>
                <w:sz w:val="18"/>
                <w:szCs w:val="12"/>
              </w:rPr>
              <w:t>Приложение Б. Инфологическая модель БД</w:t>
            </w:r>
          </w:p>
        </w:tc>
        <w:tc>
          <w:tcPr>
            <w:tcW w:w="3680" w:type="dxa"/>
            <w:gridSpan w:val="6"/>
            <w:vMerge w:val="restart"/>
            <w:tcBorders>
              <w:top w:val="single" w:sz="12" w:space="0" w:color="000000"/>
              <w:left w:val="single" w:sz="12" w:space="0" w:color="000000"/>
              <w:bottom w:val="single" w:sz="18" w:space="0" w:color="000000"/>
              <w:right w:val="single" w:sz="18" w:space="0" w:color="000000"/>
            </w:tcBorders>
            <w:vAlign w:val="center"/>
          </w:tcPr>
          <w:p>
            <w:pPr>
              <w:pStyle w:val="Normal"/>
              <w:ind w:hanging="0" w:right="3"/>
              <w:jc w:val="center"/>
              <w:rPr>
                <w:bCs/>
                <w:sz w:val="16"/>
                <w:szCs w:val="24"/>
              </w:rPr>
            </w:pPr>
            <w:r>
              <w:rPr>
                <w:bCs/>
                <w:sz w:val="16"/>
                <w:szCs w:val="24"/>
              </w:rPr>
              <w:t>ФГОБУ ВПО МТУСИ</w:t>
            </w:r>
          </w:p>
          <w:p>
            <w:pPr>
              <w:pStyle w:val="Normal"/>
              <w:spacing w:before="0" w:after="160"/>
              <w:ind w:hanging="0" w:right="3"/>
              <w:jc w:val="center"/>
              <w:rPr>
                <w:bCs/>
                <w:sz w:val="16"/>
                <w:szCs w:val="24"/>
              </w:rPr>
            </w:pPr>
            <w:r>
              <w:rPr>
                <w:bCs/>
                <w:sz w:val="16"/>
                <w:szCs w:val="24"/>
              </w:rPr>
              <w:t>Факультет ИТ, группа БВТ 2204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bottom w:val="single" w:sz="18"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bottom w:val="single" w:sz="18"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11024" w:hRule="atLeast"/>
        </w:trPr>
        <w:tc>
          <w:tcPr>
            <w:tcW w:w="9353" w:type="dxa"/>
            <w:gridSpan w:val="12"/>
            <w:tcBorders>
              <w:top w:val="single" w:sz="18" w:space="0" w:color="000000"/>
              <w:left w:val="single" w:sz="18" w:space="0" w:color="000000"/>
              <w:bottom w:val="single" w:sz="18" w:space="0" w:color="000000"/>
              <w:right w:val="single" w:sz="18" w:space="0" w:color="000000"/>
            </w:tcBorders>
          </w:tcPr>
          <w:p>
            <w:pPr>
              <w:pStyle w:val="Normal"/>
              <w:keepNext w:val="true"/>
              <w:keepLines/>
              <w:numPr>
                <w:ilvl w:val="0"/>
                <w:numId w:val="0"/>
              </w:numPr>
              <w:spacing w:before="0" w:after="0"/>
              <w:ind w:hanging="0" w:left="0"/>
              <w:jc w:val="center"/>
              <w:outlineLvl w:val="0"/>
              <w:rPr>
                <w:b/>
                <w:bCs/>
              </w:rPr>
            </w:pPr>
            <w:bookmarkStart w:id="285" w:name="__RefHeading___Toc40929_392084037"/>
            <w:bookmarkStart w:id="286" w:name="_Toc167998473_Копия_6"/>
            <w:bookmarkStart w:id="287" w:name="_Toc200201487_Копия_6"/>
            <w:bookmarkEnd w:id="285"/>
            <w:r>
              <w:rPr>
                <w:rFonts w:eastAsia="DejaVu Sans" w:cs="DejaVu Sans"/>
                <w:b/>
                <w:bCs/>
                <w:szCs w:val="32"/>
              </w:rPr>
              <w:t xml:space="preserve">Приложение В. </w:t>
            </w:r>
            <w:bookmarkEnd w:id="286"/>
            <w:bookmarkEnd w:id="287"/>
            <w:r>
              <w:rPr>
                <w:rFonts w:eastAsia="DejaVu Sans" w:cs="DejaVu Sans"/>
                <w:b/>
                <w:bCs/>
                <w:szCs w:val="32"/>
              </w:rPr>
              <w:t>Интерфейс клиентского приложения</w:t>
            </w:r>
          </w:p>
          <w:p>
            <w:pPr>
              <w:pStyle w:val="Normal"/>
              <w:keepNext w:val="true"/>
              <w:keepLines/>
              <w:numPr>
                <w:ilvl w:val="0"/>
                <w:numId w:val="0"/>
              </w:numPr>
              <w:spacing w:before="0" w:after="160"/>
              <w:ind w:hanging="0" w:left="0"/>
              <w:jc w:val="center"/>
              <w:outlineLvl w:val="0"/>
              <w:rPr>
                <w:rFonts w:eastAsia="DejaVu Sans" w:cs="DejaVu Sans"/>
                <w:b/>
                <w:bCs/>
                <w:szCs w:val="32"/>
              </w:rPr>
            </w:pPr>
            <w:r>
              <w:rPr>
                <w:rFonts w:eastAsia="DejaVu Sans" w:cs="DejaVu Sans"/>
                <w:b/>
                <w:bCs/>
                <w:szCs w:val="32"/>
              </w:rPr>
              <mc:AlternateContent>
                <mc:Choice Requires="wpg">
                  <w:drawing>
                    <wp:anchor behindDoc="0" distT="0" distB="0" distL="0" distR="0" simplePos="0" locked="0" layoutInCell="1" allowOverlap="1" relativeHeight="13">
                      <wp:simplePos x="0" y="0"/>
                      <wp:positionH relativeFrom="column">
                        <wp:posOffset>264160</wp:posOffset>
                      </wp:positionH>
                      <wp:positionV relativeFrom="paragraph">
                        <wp:posOffset>577215</wp:posOffset>
                      </wp:positionV>
                      <wp:extent cx="5273675" cy="3947160"/>
                      <wp:effectExtent l="0" t="0" r="0" b="0"/>
                      <wp:wrapNone/>
                      <wp:docPr id="14" name="Групповой объект 1"/>
                      <a:graphic xmlns:a="http://schemas.openxmlformats.org/drawingml/2006/main">
                        <a:graphicData uri="http://schemas.microsoft.com/office/word/2010/wordprocessingGroup">
                          <wpg:wgp>
                            <wpg:cNvGrpSpPr/>
                            <wpg:grpSpPr>
                              <a:xfrm>
                                <a:off x="0" y="0"/>
                                <a:ext cx="5273640" cy="3947040"/>
                                <a:chOff x="0" y="0"/>
                                <a:chExt cx="5273640" cy="3947040"/>
                              </a:xfrm>
                            </wpg:grpSpPr>
                            <pic:pic xmlns:pic="http://schemas.openxmlformats.org/drawingml/2006/picture">
                              <pic:nvPicPr>
                                <pic:cNvPr id="15" name="" descr=""/>
                                <pic:cNvPicPr/>
                              </pic:nvPicPr>
                              <pic:blipFill>
                                <a:blip r:embed="rId18"/>
                                <a:stretch/>
                              </pic:blipFill>
                              <pic:spPr>
                                <a:xfrm>
                                  <a:off x="0" y="0"/>
                                  <a:ext cx="5273640" cy="1882800"/>
                                </a:xfrm>
                                <a:prstGeom prst="rect">
                                  <a:avLst/>
                                </a:prstGeom>
                                <a:ln w="0">
                                  <a:noFill/>
                                </a:ln>
                              </pic:spPr>
                            </pic:pic>
                            <pic:pic xmlns:pic="http://schemas.openxmlformats.org/drawingml/2006/picture">
                              <pic:nvPicPr>
                                <pic:cNvPr id="16" name="" descr=""/>
                                <pic:cNvPicPr/>
                              </pic:nvPicPr>
                              <pic:blipFill>
                                <a:blip r:embed="rId19"/>
                                <a:stretch/>
                              </pic:blipFill>
                              <pic:spPr>
                                <a:xfrm>
                                  <a:off x="12600" y="2063160"/>
                                  <a:ext cx="5245560" cy="1883880"/>
                                </a:xfrm>
                                <a:prstGeom prst="rect">
                                  <a:avLst/>
                                </a:prstGeom>
                                <a:ln w="0">
                                  <a:noFill/>
                                </a:ln>
                              </pic:spPr>
                            </pic:pic>
                          </wpg:wgp>
                        </a:graphicData>
                      </a:graphic>
                    </wp:anchor>
                  </w:drawing>
                </mc:Choice>
                <mc:Fallback>
                  <w:pict>
                    <v:group id="shape_0" alt="Групповой объект 1" style="position:absolute;margin-left:20.8pt;margin-top:45.45pt;width:415.25pt;height:310.8pt" coordorigin="416,909" coordsize="8305,62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416;top:909;width:8304;height:2964;mso-wrap-style:none;v-text-anchor:middle" type="_x0000_t75">
                        <v:imagedata r:id="rId20" o:detectmouseclick="t"/>
                        <v:stroke color="#3465a4" joinstyle="round" endcap="flat"/>
                        <w10:wrap type="none"/>
                      </v:shape>
                      <v:shape id="shape_0" stroked="f" o:allowincell="f" style="position:absolute;left:436;top:4158;width:8260;height:2966;mso-wrap-style:none;v-text-anchor:middle" type="_x0000_t75">
                        <v:imagedata r:id="rId21" o:detectmouseclick="t"/>
                        <v:stroke color="#3465a4" joinstyle="round" endcap="flat"/>
                        <w10:wrap type="none"/>
                      </v:shape>
                    </v:group>
                  </w:pict>
                </mc:Fallback>
              </mc:AlternateContent>
            </w:r>
          </w:p>
        </w:tc>
      </w:tr>
      <w:tr>
        <w:trPr>
          <w:trHeight w:val="282" w:hRule="exact"/>
          <w:cantSplit w:val="true"/>
        </w:trPr>
        <w:tc>
          <w:tcPr>
            <w:tcW w:w="869" w:type="dxa"/>
            <w:tcBorders>
              <w:top w:val="single" w:sz="18"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30"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restart"/>
            <w:tcBorders>
              <w:top w:val="single" w:sz="18"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rFonts w:eastAsia="Calibri"/>
              </w:rPr>
            </w:pPr>
            <w:r>
              <w:rPr>
                <w:rFonts w:eastAsia="Calibri"/>
              </w:rPr>
              <w:t>КИС</w:t>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3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continue"/>
            <w:tcBorders>
              <w:left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left="-108" w:right="3"/>
              <w:jc w:val="center"/>
              <w:rPr>
                <w:bCs/>
                <w:i/>
                <w:i/>
                <w:szCs w:val="24"/>
              </w:rPr>
            </w:pPr>
            <w:r>
              <w:rPr>
                <w:bCs/>
                <w:i/>
                <w:szCs w:val="24"/>
              </w:rPr>
            </w:r>
          </w:p>
        </w:tc>
        <w:tc>
          <w:tcPr>
            <w:tcW w:w="430"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145" w:right="3"/>
              <w:jc w:val="center"/>
              <w:outlineLvl w:val="3"/>
              <w:rPr>
                <w:bCs/>
                <w:i/>
                <w:i/>
                <w:sz w:val="20"/>
                <w:szCs w:val="20"/>
              </w:rPr>
            </w:pPr>
            <w:r>
              <w:rPr>
                <w:bCs/>
                <w:i/>
                <w:sz w:val="20"/>
                <w:szCs w:val="20"/>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45" w:right="3"/>
              <w:jc w:val="center"/>
              <w:outlineLvl w:val="4"/>
              <w:rPr>
                <w:bCs/>
                <w:i/>
                <w:i/>
                <w:sz w:val="20"/>
                <w:szCs w:val="20"/>
              </w:rPr>
            </w:pPr>
            <w:r>
              <w:rPr>
                <w:bCs/>
                <w:i/>
                <w:sz w:val="20"/>
                <w:szCs w:val="20"/>
              </w:rPr>
            </w:r>
          </w:p>
        </w:tc>
        <w:tc>
          <w:tcPr>
            <w:tcW w:w="5915" w:type="dxa"/>
            <w:gridSpan w:val="7"/>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43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u w:val="single"/>
              </w:rPr>
            </w:pPr>
            <w:r>
              <w:rPr>
                <w:bCs/>
                <w:i/>
                <w:szCs w:val="24"/>
                <w:u w:val="single"/>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240" w:before="0" w:after="160"/>
              <w:ind w:hanging="0" w:right="3"/>
              <w:jc w:val="center"/>
              <w:rPr>
                <w:bCs/>
                <w:sz w:val="16"/>
                <w:szCs w:val="16"/>
              </w:rPr>
            </w:pPr>
            <w:r>
              <w:rPr>
                <w:bCs/>
                <w:sz w:val="14"/>
                <w:szCs w:val="16"/>
              </w:rPr>
              <w:t>Информационная система комплексной оценки надежности поставщиков</w:t>
            </w:r>
          </w:p>
        </w:tc>
        <w:tc>
          <w:tcPr>
            <w:tcW w:w="1379" w:type="dxa"/>
            <w:gridSpan w:val="3"/>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Лит</w:t>
            </w:r>
          </w:p>
        </w:tc>
        <w:tc>
          <w:tcPr>
            <w:tcW w:w="873" w:type="dxa"/>
            <w:gridSpan w:val="2"/>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Масса</w:t>
            </w:r>
          </w:p>
        </w:tc>
        <w:tc>
          <w:tcPr>
            <w:tcW w:w="1428" w:type="dxa"/>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rPr>
            </w:pPr>
            <w:r>
              <w:rPr>
                <w:bCs/>
                <w:sz w:val="16"/>
                <w:szCs w:val="24"/>
              </w:rPr>
              <w:t>Масштаб</w:t>
            </w:r>
          </w:p>
        </w:tc>
      </w:tr>
      <w:tr>
        <w:trPr>
          <w:trHeight w:val="282" w:hRule="exact"/>
          <w:cantSplit w:val="true"/>
        </w:trPr>
        <w:tc>
          <w:tcPr>
            <w:tcW w:w="869"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Изм</w:t>
            </w:r>
          </w:p>
        </w:tc>
        <w:tc>
          <w:tcPr>
            <w:tcW w:w="430" w:type="dxa"/>
            <w:tcBorders>
              <w:top w:val="single" w:sz="12" w:space="0" w:color="000000"/>
              <w:bottom w:val="single" w:sz="12" w:space="0" w:color="000000"/>
              <w:right w:val="single" w:sz="12" w:space="0" w:color="000000"/>
            </w:tcBorders>
            <w:vAlign w:val="center"/>
          </w:tcPr>
          <w:p>
            <w:pPr>
              <w:pStyle w:val="Normal"/>
              <w:spacing w:before="0" w:after="160"/>
              <w:ind w:hanging="0" w:left="-92" w:right="3"/>
              <w:jc w:val="center"/>
              <w:rPr>
                <w:bCs/>
                <w:sz w:val="10"/>
                <w:szCs w:val="10"/>
              </w:rPr>
            </w:pPr>
            <w:r>
              <w:rPr>
                <w:bCs/>
                <w:sz w:val="10"/>
                <w:szCs w:val="10"/>
              </w:rPr>
              <w:t>Лист</w:t>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8" w:right="3"/>
              <w:jc w:val="center"/>
              <w:rPr>
                <w:bCs/>
                <w:sz w:val="10"/>
                <w:szCs w:val="10"/>
              </w:rPr>
            </w:pPr>
            <w:r>
              <w:rPr>
                <w:bCs/>
                <w:sz w:val="10"/>
                <w:szCs w:val="10"/>
              </w:rPr>
              <w:t xml:space="preserve">№ </w:t>
            </w:r>
            <w:r>
              <w:rPr>
                <w:bCs/>
                <w:sz w:val="10"/>
                <w:szCs w:val="10"/>
              </w:rPr>
              <w:t>документа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2" w:right="3"/>
              <w:jc w:val="center"/>
              <w:rPr>
                <w:bCs/>
                <w:sz w:val="12"/>
                <w:szCs w:val="24"/>
              </w:rPr>
            </w:pPr>
            <w:r>
              <w:rPr>
                <w:bCs/>
                <w:sz w:val="12"/>
                <w:szCs w:val="24"/>
              </w:rPr>
              <w:t>Подпись</w:t>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t>Дата</w:t>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tcBorders>
              <w:top w:val="single" w:sz="12" w:space="0" w:color="000000"/>
              <w:left w:val="single" w:sz="12" w:space="0" w:color="000000"/>
              <w:right w:val="single" w:sz="4" w:space="0" w:color="000000"/>
            </w:tcBorders>
            <w:vAlign w:val="center"/>
          </w:tcPr>
          <w:p>
            <w:pPr>
              <w:pStyle w:val="Normal"/>
              <w:spacing w:before="0" w:after="160"/>
              <w:ind w:hanging="0" w:right="3"/>
              <w:jc w:val="center"/>
              <w:rPr>
                <w:bCs/>
                <w:i/>
                <w:i/>
                <w:szCs w:val="24"/>
              </w:rPr>
            </w:pPr>
            <w:r>
              <w:rPr>
                <w:bCs/>
                <w:i/>
                <w:szCs w:val="24"/>
              </w:rPr>
            </w:r>
          </w:p>
        </w:tc>
        <w:tc>
          <w:tcPr>
            <w:tcW w:w="406" w:type="dxa"/>
            <w:tcBorders>
              <w:top w:val="single" w:sz="12" w:space="0" w:color="000000"/>
              <w:left w:val="single" w:sz="4" w:space="0" w:color="000000"/>
              <w:right w:val="single" w:sz="4" w:space="0" w:color="000000"/>
            </w:tcBorders>
            <w:vAlign w:val="center"/>
          </w:tcPr>
          <w:p>
            <w:pPr>
              <w:pStyle w:val="Normal"/>
              <w:spacing w:before="0" w:after="160"/>
              <w:ind w:hanging="0" w:left="-137" w:right="3"/>
              <w:jc w:val="center"/>
              <w:rPr>
                <w:bCs/>
                <w:i/>
                <w:i/>
                <w:szCs w:val="24"/>
              </w:rPr>
            </w:pPr>
            <w:r>
              <w:rPr>
                <w:bCs/>
                <w:i/>
                <w:szCs w:val="24"/>
              </w:rPr>
            </w:r>
          </w:p>
        </w:tc>
        <w:tc>
          <w:tcPr>
            <w:tcW w:w="411"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0" w:right="3"/>
              <w:jc w:val="center"/>
              <w:outlineLvl w:val="1"/>
              <w:rPr>
                <w:bCs/>
                <w:i/>
                <w:i/>
                <w:szCs w:val="20"/>
              </w:rPr>
            </w:pPr>
            <w:r>
              <w:rPr>
                <w:bCs/>
                <w:i/>
                <w:szCs w:val="20"/>
              </w:rPr>
            </w:r>
          </w:p>
        </w:tc>
        <w:tc>
          <w:tcPr>
            <w:tcW w:w="873" w:type="dxa"/>
            <w:gridSpan w:val="2"/>
            <w:tcBorders>
              <w:top w:val="single" w:sz="12" w:space="0" w:color="000000"/>
              <w:left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428" w:type="dxa"/>
            <w:tcBorders>
              <w:top w:val="single" w:sz="12" w:space="0" w:color="000000"/>
              <w:left w:val="single" w:sz="12" w:space="0" w:color="000000"/>
              <w:right w:val="single" w:sz="18" w:space="0" w:color="000000"/>
            </w:tcBorders>
            <w:vAlign w:val="center"/>
          </w:tcPr>
          <w:p>
            <w:pPr>
              <w:pStyle w:val="Normal"/>
              <w:spacing w:before="0" w:after="160"/>
              <w:ind w:hanging="0" w:right="3"/>
              <w:jc w:val="center"/>
              <w:rPr>
                <w:bCs/>
                <w:i/>
                <w:i/>
                <w:szCs w:val="24"/>
              </w:rPr>
            </w:pPr>
            <w:r>
              <w:rPr>
                <w:bCs/>
                <w:i/>
                <w:szCs w:val="24"/>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Разработал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86" w:right="-187"/>
              <w:jc w:val="center"/>
              <w:rPr>
                <w:bCs/>
                <w:sz w:val="12"/>
                <w:szCs w:val="12"/>
              </w:rPr>
            </w:pPr>
            <w:r>
              <w:rPr>
                <w:bCs/>
                <w:sz w:val="12"/>
                <w:szCs w:val="12"/>
              </w:rPr>
              <w:t>Альвицов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restart"/>
            <w:tcBorders>
              <w:left w:val="single" w:sz="12"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06" w:type="dxa"/>
            <w:vMerge w:val="restart"/>
            <w:tcBorders>
              <w:left w:val="single" w:sz="4"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11" w:type="dxa"/>
            <w:vMerge w:val="continue"/>
            <w:tcBorders>
              <w:left w:val="single" w:sz="4"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restart"/>
            <w:tcBorders>
              <w:left w:val="single" w:sz="12" w:space="0" w:color="000000"/>
              <w:bottom w:val="single" w:sz="12" w:space="0" w:color="000000"/>
              <w:right w:val="single" w:sz="12" w:space="0" w:color="000000"/>
            </w:tcBorders>
            <w:vAlign w:val="center"/>
          </w:tcPr>
          <w:p>
            <w:pPr>
              <w:pStyle w:val="Normal"/>
              <w:keepNext w:val="true"/>
              <w:numPr>
                <w:ilvl w:val="0"/>
                <w:numId w:val="0"/>
              </w:numPr>
              <w:ind w:hanging="0" w:left="0" w:right="3"/>
              <w:jc w:val="center"/>
              <w:outlineLvl w:val="1"/>
              <w:rPr>
                <w:bCs/>
                <w:szCs w:val="20"/>
              </w:rPr>
            </w:pPr>
            <w:r>
              <w:rPr>
                <w:bCs/>
                <w:szCs w:val="20"/>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1428" w:type="dxa"/>
            <w:vMerge w:val="restart"/>
            <w:tcBorders>
              <w:left w:val="single" w:sz="12" w:space="0" w:color="000000"/>
              <w:bottom w:val="single" w:sz="12" w:space="0" w:color="000000"/>
              <w:right w:val="single" w:sz="18"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Проверил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Колобенина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continue"/>
            <w:tcBorders>
              <w:left w:val="single" w:sz="12"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06" w:type="dxa"/>
            <w:vMerge w:val="continue"/>
            <w:tcBorders>
              <w:left w:val="single" w:sz="4"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11" w:type="dxa"/>
            <w:vMerge w:val="continue"/>
            <w:tcBorders>
              <w:left w:val="single" w:sz="4"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428" w:type="dxa"/>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Утвердил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Андреев И.А.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781" w:type="dxa"/>
            <w:gridSpan w:val="4"/>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 xml:space="preserve">Лист </w:t>
            </w:r>
            <w:r>
              <w:rPr>
                <w:bCs/>
                <w:sz w:val="16"/>
                <w:szCs w:val="24"/>
                <w:lang w:val="en-US"/>
              </w:rPr>
              <w:t>54</w:t>
            </w:r>
          </w:p>
        </w:tc>
        <w:tc>
          <w:tcPr>
            <w:tcW w:w="1899" w:type="dxa"/>
            <w:gridSpan w:val="2"/>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lang w:val="en-US"/>
              </w:rPr>
            </w:pPr>
            <w:r>
              <w:rPr>
                <w:bCs/>
                <w:sz w:val="16"/>
                <w:szCs w:val="24"/>
              </w:rPr>
              <w:t xml:space="preserve">Листов </w:t>
            </w:r>
            <w:r>
              <w:rPr>
                <w:bCs/>
                <w:sz w:val="16"/>
                <w:szCs w:val="24"/>
                <w:lang w:val="en-US"/>
              </w:rPr>
              <w:t>54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bCs/>
                <w:sz w:val="18"/>
                <w:szCs w:val="12"/>
              </w:rPr>
            </w:pPr>
            <w:r>
              <w:rPr>
                <w:bCs/>
                <w:sz w:val="18"/>
                <w:szCs w:val="12"/>
              </w:rPr>
              <w:t>Приложение В. Интерфейс клиентского приложения</w:t>
            </w:r>
          </w:p>
        </w:tc>
        <w:tc>
          <w:tcPr>
            <w:tcW w:w="3680" w:type="dxa"/>
            <w:gridSpan w:val="6"/>
            <w:vMerge w:val="restart"/>
            <w:tcBorders>
              <w:top w:val="single" w:sz="12" w:space="0" w:color="000000"/>
              <w:left w:val="single" w:sz="12" w:space="0" w:color="000000"/>
              <w:bottom w:val="single" w:sz="18" w:space="0" w:color="000000"/>
              <w:right w:val="single" w:sz="18" w:space="0" w:color="000000"/>
            </w:tcBorders>
            <w:vAlign w:val="center"/>
          </w:tcPr>
          <w:p>
            <w:pPr>
              <w:pStyle w:val="Normal"/>
              <w:ind w:hanging="0" w:right="3"/>
              <w:jc w:val="center"/>
              <w:rPr>
                <w:bCs/>
                <w:sz w:val="16"/>
                <w:szCs w:val="24"/>
              </w:rPr>
            </w:pPr>
            <w:r>
              <w:rPr>
                <w:bCs/>
                <w:sz w:val="16"/>
                <w:szCs w:val="24"/>
              </w:rPr>
              <w:t>ФГОБУ ВПО МТУСИ</w:t>
            </w:r>
          </w:p>
          <w:p>
            <w:pPr>
              <w:pStyle w:val="Normal"/>
              <w:spacing w:before="0" w:after="160"/>
              <w:ind w:hanging="0" w:right="3"/>
              <w:jc w:val="center"/>
              <w:rPr>
                <w:bCs/>
                <w:sz w:val="16"/>
                <w:szCs w:val="24"/>
              </w:rPr>
            </w:pPr>
            <w:r>
              <w:rPr>
                <w:bCs/>
                <w:sz w:val="16"/>
                <w:szCs w:val="24"/>
              </w:rPr>
              <w:t>Факультет ИТ, группа БВТ 2204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bottom w:val="single" w:sz="18"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bottom w:val="single" w:sz="18"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bl>
    <w:p>
      <w:pPr>
        <w:pStyle w:val="Normal"/>
        <w:spacing w:lineRule="auto" w:line="360" w:before="0" w:after="0"/>
        <w:ind w:hanging="0" w:left="0"/>
        <w:contextualSpacing/>
        <w:jc w:val="both"/>
        <w:rPr/>
      </w:pPr>
      <w:r>
        <w:rPr/>
      </w:r>
    </w:p>
    <w:sectPr>
      <w:footerReference w:type="even" r:id="rId22"/>
      <w:footerReference w:type="default" r:id="rId23"/>
      <w:footerReference w:type="first" r:id="rId24"/>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mbria">
    <w:charset w:val="cc"/>
    <w:family w:val="roman"/>
    <w:pitch w:val="variable"/>
  </w:font>
  <w:font w:name="Calibri Light">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Arial">
    <w:charset w:val="cc"/>
    <w:family w:val="roman"/>
    <w:pitch w:val="variable"/>
  </w:font>
  <w:font w:name="Noto Sans">
    <w:charset w:val="cc"/>
    <w:family w:val="roman"/>
    <w:pitch w:val="variable"/>
  </w:font>
  <w:font w:name="Symbol">
    <w:charset w:val="cc"/>
    <w:family w:val="roman"/>
    <w:pitch w:val="variable"/>
  </w:font>
  <w:font w:name="Wingdings">
    <w:charset w:val="cc"/>
    <w:family w:val="roman"/>
    <w:pitch w:val="variable"/>
  </w:font>
  <w:font w:name="Courier New">
    <w:charset w:val="cc"/>
    <w:family w:val="roman"/>
    <w:pitch w:val="variable"/>
  </w:font>
  <w:font w:name="Liberation Mono">
    <w:altName w:val="Courier New"/>
    <w:charset w:val="cc"/>
    <w:family w:val="roman"/>
    <w:pitch w:val="variable"/>
  </w:font>
  <w:font w:name="GOST type B">
    <w:charset w:val="cc"/>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88" w:name="PageNumWizard_FOOTER_Converted12"/>
    <w:r>
      <w:rPr/>
      <w:fldChar w:fldCharType="begin"/>
    </w:r>
    <w:r>
      <w:rPr/>
      <w:instrText xml:space="preserve"> PAGE </w:instrText>
    </w:r>
    <w:r>
      <w:rPr/>
      <w:fldChar w:fldCharType="separate"/>
    </w:r>
    <w:r>
      <w:rPr/>
      <w:t>54</w:t>
    </w:r>
    <w:r>
      <w:rPr/>
      <w:fldChar w:fldCharType="end"/>
    </w:r>
    <w:bookmarkEnd w:id="288"/>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89" w:name="PageNumWizard_FOOTER_Converted12"/>
    <w:r>
      <w:rPr/>
      <w:fldChar w:fldCharType="begin"/>
    </w:r>
    <w:r>
      <w:rPr/>
      <w:instrText xml:space="preserve"> PAGE </w:instrText>
    </w:r>
    <w:r>
      <w:rPr/>
      <w:fldChar w:fldCharType="separate"/>
    </w:r>
    <w:r>
      <w:rPr/>
      <w:t>54</w:t>
    </w:r>
    <w:r>
      <w:rPr/>
      <w:fldChar w:fldCharType="end"/>
    </w:r>
    <w:bookmarkEnd w:id="289"/>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2">
    <w:lvl w:ilvl="0">
      <w:start w:val="2"/>
      <w:numFmt w:val="decimal"/>
      <w:lvlText w:val="%1."/>
      <w:lvlJc w:val="left"/>
      <w:pPr>
        <w:tabs>
          <w:tab w:val="num" w:pos="0"/>
        </w:tabs>
        <w:ind w:left="450" w:hanging="450"/>
      </w:pPr>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6120" w:hanging="180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3">
    <w:lvl w:ilvl="0">
      <w:start w:val="1"/>
      <w:numFmt w:val="decimal"/>
      <w:lvlText w:val="%1."/>
      <w:lvlJc w:val="left"/>
      <w:pPr>
        <w:tabs>
          <w:tab w:val="num" w:pos="0"/>
        </w:tabs>
        <w:ind w:left="450" w:hanging="450"/>
      </w:pPr>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6120" w:hanging="180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lvl w:ilvl="0">
      <w:start w:val="1"/>
      <w:numFmt w:val="decimal"/>
      <w:lvlText w:val="%1."/>
      <w:lvlJc w:val="left"/>
      <w:pPr>
        <w:tabs>
          <w:tab w:val="num" w:pos="0"/>
        </w:tabs>
        <w:ind w:left="450" w:hanging="450"/>
      </w:pPr>
      <w:rPr/>
    </w:lvl>
    <w:lvl w:ilvl="1">
      <w:start w:val="3"/>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90"/>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160"/>
      <w:jc w:val="both"/>
    </w:pPr>
    <w:rPr>
      <w:rFonts w:ascii="Times New Roman" w:hAnsi="Times New Roman" w:eastAsia="Calibri" w:cs="Tahoma"/>
      <w:color w:val="auto"/>
      <w:kern w:val="0"/>
      <w:sz w:val="28"/>
      <w:szCs w:val="22"/>
      <w:lang w:val="ru-RU" w:eastAsia="en-US" w:bidi="ar-SA"/>
    </w:rPr>
  </w:style>
  <w:style w:type="paragraph" w:styleId="Heading1">
    <w:name w:val="Heading 1"/>
    <w:basedOn w:val="Normal"/>
    <w:next w:val="Normal"/>
    <w:link w:val="1"/>
    <w:qFormat/>
    <w:pPr>
      <w:keepNext w:val="true"/>
      <w:keepLines/>
      <w:numPr>
        <w:ilvl w:val="0"/>
        <w:numId w:val="0"/>
      </w:numPr>
      <w:spacing w:lineRule="auto" w:line="360" w:before="480" w:after="0"/>
      <w:jc w:val="center"/>
      <w:outlineLvl w:val="0"/>
    </w:pPr>
    <w:rPr>
      <w:rFonts w:ascii="Times New Roman" w:hAnsi="Times New Roman" w:eastAsia="Calibri" w:cs="Times New Roman"/>
      <w:b/>
      <w:bCs/>
      <w:color w:val="000000"/>
      <w:sz w:val="28"/>
      <w:szCs w:val="28"/>
    </w:rPr>
  </w:style>
  <w:style w:type="paragraph" w:styleId="Heading2">
    <w:name w:val="Heading 2"/>
    <w:basedOn w:val="Normal"/>
    <w:next w:val="Normal"/>
    <w:link w:val="2"/>
    <w:qFormat/>
    <w:pPr>
      <w:keepNext w:val="true"/>
      <w:keepLines/>
      <w:numPr>
        <w:ilvl w:val="0"/>
        <w:numId w:val="0"/>
      </w:numPr>
      <w:spacing w:before="40" w:after="0"/>
      <w:jc w:val="center"/>
      <w:outlineLvl w:val="1"/>
    </w:pPr>
    <w:rPr>
      <w:rFonts w:ascii="Times New Roman" w:hAnsi="Times New Roman" w:eastAsia="Calibri" w:cs="Tahoma"/>
      <w:b/>
      <w:color w:val="000000"/>
      <w:sz w:val="28"/>
      <w:szCs w:val="26"/>
    </w:rPr>
  </w:style>
  <w:style w:type="character" w:styleId="DefaultParagraphFont">
    <w:name w:val="Default Paragraph Font"/>
    <w:qFormat/>
    <w:rPr/>
  </w:style>
  <w:style w:type="character" w:styleId="1">
    <w:name w:val="Заголовок 1 Знак"/>
    <w:basedOn w:val="DefaultParagraphFont"/>
    <w:qFormat/>
    <w:rPr>
      <w:rFonts w:ascii="Cambria" w:hAnsi="Cambria" w:eastAsia="Calibri" w:cs="Times New Roman"/>
      <w:b/>
      <w:bCs/>
      <w:color w:val="365F91"/>
      <w:sz w:val="28"/>
      <w:szCs w:val="28"/>
    </w:rPr>
  </w:style>
  <w:style w:type="character" w:styleId="Style12">
    <w:name w:val="Абзац списка Знак"/>
    <w:link w:val="ListParagraph"/>
    <w:qFormat/>
    <w:rPr/>
  </w:style>
  <w:style w:type="character" w:styleId="InternetLink">
    <w:name w:val="Internet Link"/>
    <w:basedOn w:val="DefaultParagraphFont"/>
    <w:qFormat/>
    <w:rPr>
      <w:color w:themeColor="hyperlink" w:val="0563C1"/>
      <w:u w:val="single"/>
    </w:rPr>
  </w:style>
  <w:style w:type="character" w:styleId="2">
    <w:name w:val="Заголовок 2 Знак"/>
    <w:basedOn w:val="DefaultParagraphFont"/>
    <w:qFormat/>
    <w:rPr>
      <w:rFonts w:ascii="Calibri Light" w:hAnsi="Calibri Light" w:eastAsia="Calibri" w:cs="Tahoma"/>
      <w:color w:themeColor="accent1" w:themeShade="bf" w:val="2F5496"/>
      <w:sz w:val="26"/>
      <w:szCs w:val="26"/>
    </w:rPr>
  </w:style>
  <w:style w:type="character" w:styleId="Style13">
    <w:name w:val="Обычный (Интернет) Знак"/>
    <w:link w:val="NormalWeb"/>
    <w:qFormat/>
    <w:rPr>
      <w:rFonts w:ascii="Times New Roman" w:hAnsi="Times New Roman" w:eastAsia="Times New Roman" w:cs="Times New Roman"/>
      <w:sz w:val="24"/>
      <w:szCs w:val="24"/>
      <w:lang w:eastAsia="ru-RU"/>
    </w:rPr>
  </w:style>
  <w:style w:type="character" w:styleId="apple-converted-space">
    <w:name w:val="apple-converted-space"/>
    <w:qFormat/>
    <w:rPr>
      <w:rFonts w:cs="Times New Roman"/>
    </w:rPr>
  </w:style>
  <w:style w:type="character" w:styleId="Style14">
    <w:name w:val="Верхний колонтитул Знак"/>
    <w:basedOn w:val="DefaultParagraphFont"/>
    <w:qFormat/>
    <w:rPr/>
  </w:style>
  <w:style w:type="character" w:styleId="Style15">
    <w:name w:val="Нижний колонтитул Знак"/>
    <w:basedOn w:val="DefaultParagraphFont"/>
    <w:qFormat/>
    <w:rPr/>
  </w:style>
  <w:style w:type="character" w:styleId="InternetLink1">
    <w:name w:val="Internet Link1"/>
    <w:qFormat/>
    <w:rPr>
      <w:color w:val="000080"/>
      <w:u w:val="single"/>
    </w:rPr>
  </w:style>
  <w:style w:type="character" w:styleId="Style16">
    <w:name w:val="Ссылка указателя"/>
    <w:qFormat/>
    <w:rPr/>
  </w:style>
  <w:style w:type="character" w:styleId="Style17">
    <w:name w:val="Маркеры"/>
    <w:qFormat/>
    <w:rPr>
      <w:rFonts w:ascii="OpenSymbol" w:hAnsi="OpenSymbol" w:eastAsia="OpenSymbol" w:cs="OpenSymbol"/>
    </w:rPr>
  </w:style>
  <w:style w:type="character" w:styleId="Style18">
    <w:name w:val="Символ нумерации"/>
    <w:qFormat/>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InternetLink5">
    <w:name w:val="Internet Link5"/>
    <w:qFormat/>
    <w:rPr>
      <w:color w:val="000080"/>
      <w:u w:val="single"/>
    </w:rPr>
  </w:style>
  <w:style w:type="character" w:styleId="InternetLink6">
    <w:name w:val="Internet Link6"/>
    <w:qFormat/>
    <w:rPr>
      <w:color w:val="000080"/>
      <w:u w:val="single"/>
    </w:rPr>
  </w:style>
  <w:style w:type="character" w:styleId="InternetLink7">
    <w:name w:val="Internet Link7"/>
    <w:qFormat/>
    <w:rPr>
      <w:color w:val="000080"/>
      <w:u w:val="single"/>
    </w:rPr>
  </w:style>
  <w:style w:type="character" w:styleId="InternetLink8">
    <w:name w:val="Internet Link8"/>
    <w:qFormat/>
    <w:rPr>
      <w:color w:val="000080"/>
      <w:u w:val="single"/>
    </w:rPr>
  </w:style>
  <w:style w:type="character" w:styleId="InternetLink9">
    <w:name w:val="Internet Link9"/>
    <w:qFormat/>
    <w:rPr>
      <w:color w:val="000080"/>
      <w:u w:val="single"/>
    </w:rPr>
  </w:style>
  <w:style w:type="character" w:styleId="InternetLink10">
    <w:name w:val="Internet Link10"/>
    <w:qFormat/>
    <w:rPr>
      <w:color w:val="000080"/>
      <w:u w:val="single"/>
    </w:rPr>
  </w:style>
  <w:style w:type="character" w:styleId="InternetLink11">
    <w:name w:val="Internet Link11"/>
    <w:qFormat/>
    <w:rPr>
      <w:color w:val="000080"/>
      <w:u w:val="single"/>
    </w:rPr>
  </w:style>
  <w:style w:type="character" w:styleId="InternetLink12">
    <w:name w:val="Internet Link12"/>
    <w:qFormat/>
    <w:rPr>
      <w:color w:val="000080"/>
      <w:u w:val="single"/>
    </w:rPr>
  </w:style>
  <w:style w:type="character" w:styleId="Strong">
    <w:name w:val="Strong"/>
    <w:qFormat/>
    <w:rPr>
      <w:b/>
      <w:bCs/>
    </w:rPr>
  </w:style>
  <w:style w:type="character" w:styleId="InternetLink13">
    <w:name w:val="Internet Link13"/>
    <w:qFormat/>
    <w:rPr>
      <w:color w:val="000080"/>
      <w:u w:val="single"/>
    </w:rPr>
  </w:style>
  <w:style w:type="character" w:styleId="InternetLink14">
    <w:name w:val="Internet Link14"/>
    <w:qFormat/>
    <w:rPr>
      <w:color w:val="000080"/>
      <w:u w:val="single"/>
    </w:rPr>
  </w:style>
  <w:style w:type="character" w:styleId="InternetLink15">
    <w:name w:val="Internet Link15"/>
    <w:qFormat/>
    <w:rPr>
      <w:color w:val="000080"/>
      <w:u w:val="single"/>
    </w:rPr>
  </w:style>
  <w:style w:type="character" w:styleId="InternetLink16">
    <w:name w:val="Internet Link16"/>
    <w:qFormat/>
    <w:rPr>
      <w:color w:val="000080"/>
      <w:u w:val="single"/>
    </w:rPr>
  </w:style>
  <w:style w:type="character" w:styleId="InternetLink151">
    <w:name w:val="Internet Link151"/>
    <w:qFormat/>
    <w:rPr>
      <w:rFonts w:ascii="Times New Roman" w:hAnsi="Times New Roman" w:eastAsia="Times New Roman" w:cs="Times New Roman"/>
      <w:color w:val="0563C1"/>
      <w:sz w:val="24"/>
      <w:szCs w:val="24"/>
      <w:u w:val="single"/>
    </w:rPr>
  </w:style>
  <w:style w:type="character" w:styleId="FollowedHyperlink">
    <w:name w:val="FollowedHyperlink"/>
    <w:rPr>
      <w:color w:val="800000"/>
      <w:u w:val="single"/>
    </w:rPr>
  </w:style>
  <w:style w:type="character" w:styleId="InternetLink17">
    <w:name w:val="Internet Link17"/>
    <w:qFormat/>
    <w:rPr>
      <w:color w:val="000080"/>
      <w:u w:val="single"/>
    </w:rPr>
  </w:style>
  <w:style w:type="character" w:styleId="InternetLink18">
    <w:name w:val="Internet Link18"/>
    <w:qFormat/>
    <w:rPr>
      <w:color w:val="000080"/>
      <w:u w:val="single"/>
    </w:rPr>
  </w:style>
  <w:style w:type="character" w:styleId="InternetLink19">
    <w:name w:val="Internet Link19"/>
    <w:qFormat/>
    <w:rPr>
      <w:color w:val="000080"/>
      <w:u w:val="single"/>
    </w:rPr>
  </w:style>
  <w:style w:type="character" w:styleId="InternetLink20">
    <w:name w:val="Internet Link20"/>
    <w:qFormat/>
    <w:rPr>
      <w:color w:val="000080"/>
      <w:u w:val="single"/>
    </w:rPr>
  </w:style>
  <w:style w:type="character" w:styleId="InternetLink21">
    <w:name w:val="Internet Link21"/>
    <w:qFormat/>
    <w:rPr>
      <w:color w:val="000080"/>
      <w:u w:val="single"/>
    </w:rPr>
  </w:style>
  <w:style w:type="character" w:styleId="InternetLink22">
    <w:name w:val="Internet Link22"/>
    <w:qFormat/>
    <w:rPr>
      <w:color w:val="000080"/>
      <w:u w:val="single"/>
    </w:rPr>
  </w:style>
  <w:style w:type="character" w:styleId="InternetLink23">
    <w:name w:val="Internet Link23"/>
    <w:qFormat/>
    <w:rPr>
      <w:color w:val="000080"/>
      <w:u w:val="single"/>
    </w:rPr>
  </w:style>
  <w:style w:type="character" w:styleId="InternetLink24">
    <w:name w:val="Internet Link24"/>
    <w:qFormat/>
    <w:rPr>
      <w:color w:val="000080"/>
      <w:u w:val="single"/>
    </w:rPr>
  </w:style>
  <w:style w:type="character" w:styleId="InternetLink25">
    <w:name w:val="Internet Link25"/>
    <w:qFormat/>
    <w:rPr>
      <w:color w:val="000080"/>
      <w:u w:val="single"/>
    </w:rPr>
  </w:style>
  <w:style w:type="character" w:styleId="InternetLink26">
    <w:name w:val="Internet Link26"/>
    <w:qFormat/>
    <w:rPr>
      <w:color w:val="000080"/>
      <w:u w:val="single"/>
    </w:rPr>
  </w:style>
  <w:style w:type="character" w:styleId="InternetLink27">
    <w:name w:val="Internet Link27"/>
    <w:qFormat/>
    <w:rPr>
      <w:color w:val="000080"/>
      <w:u w:val="single"/>
    </w:rPr>
  </w:style>
  <w:style w:type="character" w:styleId="Hyperlink">
    <w:name w:val="Hyperlink"/>
    <w:rPr>
      <w:color w:val="000080"/>
      <w:u w:val="single"/>
    </w:rPr>
  </w:style>
  <w:style w:type="paragraph" w:styleId="Style19">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0">
    <w:name w:val="Указатель"/>
    <w:basedOn w:val="Normal"/>
    <w:qFormat/>
    <w:pPr>
      <w:suppressLineNumbers/>
    </w:pPr>
    <w:rPr>
      <w:rFonts w:cs="Arial"/>
    </w:rPr>
  </w:style>
  <w:style w:type="paragraph" w:styleId="ListParagraph">
    <w:name w:val="List Paragraph"/>
    <w:basedOn w:val="Normal"/>
    <w:link w:val="Style12"/>
    <w:qFormat/>
    <w:pPr>
      <w:spacing w:before="0" w:after="160"/>
      <w:ind w:left="720"/>
      <w:contextualSpacing/>
    </w:pPr>
    <w:rPr/>
  </w:style>
  <w:style w:type="paragraph" w:styleId="3">
    <w:name w:val="заголовок 3"/>
    <w:basedOn w:val="Normal"/>
    <w:next w:val="Normal"/>
    <w:qFormat/>
    <w:pPr>
      <w:keepNext w:val="true"/>
      <w:widowControl w:val="false"/>
      <w:spacing w:lineRule="auto" w:line="240" w:before="0" w:after="0"/>
      <w:ind w:firstLine="567"/>
      <w:jc w:val="center"/>
    </w:pPr>
    <w:rPr>
      <w:rFonts w:ascii="Times New Roman" w:hAnsi="Times New Roman" w:eastAsia="Times New Roman" w:cs="Times New Roman"/>
      <w:b/>
      <w:bCs/>
      <w:sz w:val="28"/>
      <w:szCs w:val="28"/>
      <w:lang w:eastAsia="ru-RU"/>
    </w:rPr>
  </w:style>
  <w:style w:type="paragraph" w:styleId="IndexHeading">
    <w:name w:val="Index Heading"/>
    <w:basedOn w:val="Style19"/>
    <w:pPr/>
    <w:rPr/>
  </w:style>
  <w:style w:type="paragraph" w:styleId="TOCHeading">
    <w:name w:val="TOC Heading"/>
    <w:basedOn w:val="Heading1"/>
    <w:next w:val="Normal"/>
    <w:qFormat/>
    <w:pPr>
      <w:spacing w:lineRule="auto" w:line="259" w:before="240" w:after="0"/>
      <w:jc w:val="center"/>
      <w:outlineLvl w:val="9"/>
    </w:pPr>
    <w:rPr>
      <w:rFonts w:ascii="Times New Roman" w:hAnsi="Times New Roman" w:cs="Tahoma"/>
      <w:b/>
      <w:bCs w:val="false"/>
      <w:color w:val="000000"/>
      <w:sz w:val="28"/>
      <w:szCs w:val="32"/>
      <w:lang w:eastAsia="ru-RU"/>
    </w:rPr>
  </w:style>
  <w:style w:type="paragraph" w:styleId="TOC1">
    <w:name w:val="TOC 1"/>
    <w:basedOn w:val="Normal"/>
    <w:next w:val="Normal"/>
    <w:autoRedefine/>
    <w:pPr>
      <w:spacing w:lineRule="auto" w:line="240" w:before="0" w:after="0"/>
    </w:pPr>
    <w:rPr/>
  </w:style>
  <w:style w:type="paragraph" w:styleId="TOC2">
    <w:name w:val="TOC 2"/>
    <w:basedOn w:val="Normal"/>
    <w:next w:val="Normal"/>
    <w:autoRedefine/>
    <w:pPr>
      <w:spacing w:before="0" w:after="100"/>
      <w:ind w:left="220"/>
    </w:pPr>
    <w:rPr/>
  </w:style>
  <w:style w:type="paragraph" w:styleId="NormalWeb">
    <w:name w:val="Normal (Web)"/>
    <w:basedOn w:val="Normal"/>
    <w:link w:val="Style13"/>
    <w:qFormat/>
    <w:pPr>
      <w:spacing w:lineRule="auto" w:line="240" w:before="280" w:after="280"/>
    </w:pPr>
    <w:rPr>
      <w:rFonts w:ascii="Times New Roman" w:hAnsi="Times New Roman" w:eastAsia="Times New Roman" w:cs="Times New Roman"/>
      <w:sz w:val="24"/>
      <w:szCs w:val="24"/>
      <w:lang w:eastAsia="ru-RU"/>
    </w:rPr>
  </w:style>
  <w:style w:type="paragraph" w:styleId="Style21">
    <w:name w:val="Колонтитул"/>
    <w:basedOn w:val="Normal"/>
    <w:qFormat/>
    <w:pPr/>
    <w:rPr/>
  </w:style>
  <w:style w:type="paragraph" w:styleId="Header">
    <w:name w:val="Header"/>
    <w:basedOn w:val="Normal"/>
    <w:link w:val="Style14"/>
    <w:pPr>
      <w:tabs>
        <w:tab w:val="clear" w:pos="708"/>
        <w:tab w:val="center" w:pos="4677" w:leader="none"/>
        <w:tab w:val="right" w:pos="9355" w:leader="none"/>
      </w:tabs>
      <w:spacing w:lineRule="auto" w:line="240" w:before="0" w:after="0"/>
    </w:pPr>
    <w:rPr/>
  </w:style>
  <w:style w:type="paragraph" w:styleId="Footer">
    <w:name w:val="Footer"/>
    <w:basedOn w:val="Normal"/>
    <w:link w:val="Style15"/>
    <w:pPr>
      <w:tabs>
        <w:tab w:val="clear" w:pos="708"/>
        <w:tab w:val="center" w:pos="4677" w:leader="none"/>
        <w:tab w:val="right" w:pos="9355" w:leader="none"/>
      </w:tabs>
      <w:spacing w:lineRule="auto" w:line="240" w:before="0" w:after="0"/>
    </w:pPr>
    <w:rPr/>
  </w:style>
  <w:style w:type="paragraph" w:styleId="Style22">
    <w:name w:val="Содержимое таблицы"/>
    <w:basedOn w:val="Normal"/>
    <w:qFormat/>
    <w:pPr>
      <w:widowControl w:val="false"/>
      <w:suppressLineNumbers/>
    </w:pPr>
    <w:rPr/>
  </w:style>
  <w:style w:type="paragraph" w:styleId="Style23">
    <w:name w:val="Объект без заливки"/>
    <w:basedOn w:val="Normal"/>
    <w:qFormat/>
    <w:pPr>
      <w:spacing w:lineRule="atLeast" w:line="0" w:before="0" w:after="0"/>
    </w:pPr>
    <w:rPr>
      <w:rFonts w:ascii="Arial" w:hAnsi="Arial"/>
      <w:b w:val="false"/>
      <w:i w:val="false"/>
      <w:caps w:val="false"/>
      <w:smallCaps w:val="false"/>
      <w:strike w:val="false"/>
      <w:dstrike w:val="false"/>
      <w:outline w:val="false"/>
      <w:shadow w:val="false"/>
      <w:color w:val="auto"/>
      <w:kern w:val="2"/>
      <w:sz w:val="36"/>
      <w:u w:val="none"/>
      <w:em w:val="none"/>
    </w:rPr>
  </w:style>
  <w:style w:type="paragraph" w:styleId="Style24">
    <w:name w:val="Объект без заливки и линий"/>
    <w:basedOn w:val="Normal"/>
    <w:qFormat/>
    <w:pPr>
      <w:spacing w:lineRule="atLeast" w:line="0" w:before="0" w:after="0"/>
    </w:pPr>
    <w:rPr>
      <w:rFonts w:ascii="Arial" w:hAnsi="Arial"/>
      <w:b w:val="false"/>
      <w:i w:val="false"/>
      <w:caps w:val="false"/>
      <w:smallCaps w:val="false"/>
      <w:strike w:val="false"/>
      <w:dstrike w:val="false"/>
      <w:outline w:val="false"/>
      <w:shadow w:val="false"/>
      <w:color w:val="auto"/>
      <w:kern w:val="2"/>
      <w:sz w:val="36"/>
      <w:u w:val="none"/>
      <w:em w:val="none"/>
    </w:rPr>
  </w:style>
  <w:style w:type="paragraph" w:styleId="A4">
    <w:name w:val="A4"/>
    <w:basedOn w:val="Style25"/>
    <w:qFormat/>
    <w:pPr/>
    <w:rPr>
      <w:rFonts w:ascii="Noto Sans" w:hAnsi="Noto Sans"/>
      <w:sz w:val="36"/>
    </w:rPr>
  </w:style>
  <w:style w:type="paragraph" w:styleId="Style25">
    <w:name w:val="Текст"/>
    <w:basedOn w:val="Caption"/>
    <w:qFormat/>
    <w:pPr/>
    <w:rPr/>
  </w:style>
  <w:style w:type="paragraph" w:styleId="4">
    <w:name w:val="Заглавие А4"/>
    <w:basedOn w:val="A4"/>
    <w:qFormat/>
    <w:pPr/>
    <w:rPr>
      <w:rFonts w:ascii="Noto Sans" w:hAnsi="Noto Sans"/>
      <w:sz w:val="88"/>
    </w:rPr>
  </w:style>
  <w:style w:type="paragraph" w:styleId="41">
    <w:name w:val="Заголовок А4"/>
    <w:basedOn w:val="A4"/>
    <w:qFormat/>
    <w:pPr/>
    <w:rPr>
      <w:rFonts w:ascii="Noto Sans" w:hAnsi="Noto Sans"/>
      <w:sz w:val="48"/>
    </w:rPr>
  </w:style>
  <w:style w:type="paragraph" w:styleId="42">
    <w:name w:val="Текст А4"/>
    <w:basedOn w:val="A4"/>
    <w:qFormat/>
    <w:pPr/>
    <w:rPr>
      <w:rFonts w:ascii="Noto Sans" w:hAnsi="Noto Sans"/>
      <w:sz w:val="36"/>
    </w:rPr>
  </w:style>
  <w:style w:type="paragraph" w:styleId="A0">
    <w:name w:val="A0"/>
    <w:basedOn w:val="Style25"/>
    <w:qFormat/>
    <w:pPr/>
    <w:rPr>
      <w:rFonts w:ascii="Noto Sans" w:hAnsi="Noto Sans"/>
      <w:sz w:val="96"/>
    </w:rPr>
  </w:style>
  <w:style w:type="paragraph" w:styleId="0">
    <w:name w:val="Заглавие А0"/>
    <w:basedOn w:val="A0"/>
    <w:qFormat/>
    <w:pPr/>
    <w:rPr>
      <w:rFonts w:ascii="Noto Sans" w:hAnsi="Noto Sans"/>
      <w:sz w:val="192"/>
    </w:rPr>
  </w:style>
  <w:style w:type="paragraph" w:styleId="01">
    <w:name w:val="Заголовок А0"/>
    <w:basedOn w:val="A0"/>
    <w:qFormat/>
    <w:pPr/>
    <w:rPr>
      <w:rFonts w:ascii="Noto Sans" w:hAnsi="Noto Sans"/>
      <w:sz w:val="143"/>
    </w:rPr>
  </w:style>
  <w:style w:type="paragraph" w:styleId="02">
    <w:name w:val="Текст А0"/>
    <w:basedOn w:val="A0"/>
    <w:qFormat/>
    <w:pPr/>
    <w:rPr>
      <w:rFonts w:ascii="Noto Sans" w:hAnsi="Noto Sans"/>
      <w:sz w:val="96"/>
    </w:rPr>
  </w:style>
  <w:style w:type="paragraph" w:styleId="Style26">
    <w:name w:val="Графика"/>
    <w:qFormat/>
    <w:pPr>
      <w:widowControl w:val="false"/>
      <w:suppressAutoHyphens w:val="true"/>
      <w:overflowPunct w:val="true"/>
      <w:bidi w:val="0"/>
      <w:spacing w:before="0" w:after="0"/>
      <w:jc w:val="left"/>
    </w:pPr>
    <w:rPr>
      <w:rFonts w:ascii="Liberation Sans" w:hAnsi="Liberation Sans" w:eastAsia="Tahoma" w:cs="Calibri"/>
      <w:color w:val="auto"/>
      <w:kern w:val="0"/>
      <w:sz w:val="36"/>
      <w:szCs w:val="24"/>
      <w:lang w:val="ru-RU" w:eastAsia="en-US" w:bidi="ar-SA"/>
    </w:rPr>
  </w:style>
  <w:style w:type="paragraph" w:styleId="Style27">
    <w:name w:val="Фигуры"/>
    <w:basedOn w:val="Style26"/>
    <w:qFormat/>
    <w:pPr/>
    <w:rPr>
      <w:rFonts w:ascii="Liberation Sans" w:hAnsi="Liberation Sans"/>
      <w:b/>
      <w:sz w:val="28"/>
    </w:rPr>
  </w:style>
  <w:style w:type="paragraph" w:styleId="Style28">
    <w:name w:val="Заливка"/>
    <w:basedOn w:val="Style27"/>
    <w:qFormat/>
    <w:pPr/>
    <w:rPr>
      <w:rFonts w:ascii="Liberation Sans" w:hAnsi="Liberation Sans"/>
      <w:b/>
      <w:sz w:val="28"/>
    </w:rPr>
  </w:style>
  <w:style w:type="paragraph" w:styleId="Style29">
    <w:name w:val="Заливка синим"/>
    <w:basedOn w:val="Style28"/>
    <w:qFormat/>
    <w:pPr/>
    <w:rPr>
      <w:rFonts w:ascii="Liberation Sans" w:hAnsi="Liberation Sans"/>
      <w:b/>
      <w:color w:val="FFFFFF"/>
      <w:sz w:val="28"/>
    </w:rPr>
  </w:style>
  <w:style w:type="paragraph" w:styleId="Style30">
    <w:name w:val="Заливка зелёным"/>
    <w:basedOn w:val="Style28"/>
    <w:qFormat/>
    <w:pPr/>
    <w:rPr>
      <w:rFonts w:ascii="Liberation Sans" w:hAnsi="Liberation Sans"/>
      <w:b/>
      <w:color w:val="FFFFFF"/>
      <w:sz w:val="28"/>
    </w:rPr>
  </w:style>
  <w:style w:type="paragraph" w:styleId="Style31">
    <w:name w:val="Заливка красным"/>
    <w:basedOn w:val="Style28"/>
    <w:qFormat/>
    <w:pPr/>
    <w:rPr>
      <w:rFonts w:ascii="Liberation Sans" w:hAnsi="Liberation Sans"/>
      <w:b/>
      <w:color w:val="FFFFFF"/>
      <w:sz w:val="28"/>
    </w:rPr>
  </w:style>
  <w:style w:type="paragraph" w:styleId="Style32">
    <w:name w:val="Заливка жёлтым"/>
    <w:basedOn w:val="Style28"/>
    <w:qFormat/>
    <w:pPr/>
    <w:rPr>
      <w:rFonts w:ascii="Liberation Sans" w:hAnsi="Liberation Sans"/>
      <w:b/>
      <w:color w:val="FFFFFF"/>
      <w:sz w:val="28"/>
    </w:rPr>
  </w:style>
  <w:style w:type="paragraph" w:styleId="Style33">
    <w:name w:val="Контур"/>
    <w:basedOn w:val="Style27"/>
    <w:qFormat/>
    <w:pPr/>
    <w:rPr>
      <w:rFonts w:ascii="Liberation Sans" w:hAnsi="Liberation Sans"/>
      <w:b/>
      <w:sz w:val="28"/>
    </w:rPr>
  </w:style>
  <w:style w:type="paragraph" w:styleId="Style34">
    <w:name w:val="Контур синий"/>
    <w:basedOn w:val="Style33"/>
    <w:qFormat/>
    <w:pPr/>
    <w:rPr>
      <w:rFonts w:ascii="Liberation Sans" w:hAnsi="Liberation Sans"/>
      <w:b/>
      <w:color w:val="355269"/>
      <w:sz w:val="28"/>
    </w:rPr>
  </w:style>
  <w:style w:type="paragraph" w:styleId="Style35">
    <w:name w:val="Контур зелёный"/>
    <w:basedOn w:val="Style33"/>
    <w:qFormat/>
    <w:pPr/>
    <w:rPr>
      <w:rFonts w:ascii="Liberation Sans" w:hAnsi="Liberation Sans"/>
      <w:b/>
      <w:color w:val="127622"/>
      <w:sz w:val="28"/>
    </w:rPr>
  </w:style>
  <w:style w:type="paragraph" w:styleId="Style36">
    <w:name w:val="Контур красный"/>
    <w:basedOn w:val="Style33"/>
    <w:qFormat/>
    <w:pPr/>
    <w:rPr>
      <w:rFonts w:ascii="Liberation Sans" w:hAnsi="Liberation Sans"/>
      <w:b/>
      <w:color w:val="C9211E"/>
      <w:sz w:val="28"/>
    </w:rPr>
  </w:style>
  <w:style w:type="paragraph" w:styleId="Style37">
    <w:name w:val="Контур жёлтый"/>
    <w:basedOn w:val="Style33"/>
    <w:qFormat/>
    <w:pPr/>
    <w:rPr>
      <w:rFonts w:ascii="Liberation Sans" w:hAnsi="Liberation Sans"/>
      <w:b/>
      <w:color w:val="B47804"/>
      <w:sz w:val="28"/>
    </w:rPr>
  </w:style>
  <w:style w:type="paragraph" w:styleId="Style38">
    <w:name w:val="Линии"/>
    <w:basedOn w:val="Style26"/>
    <w:qFormat/>
    <w:pPr/>
    <w:rPr>
      <w:rFonts w:ascii="Liberation Sans" w:hAnsi="Liberation Sans"/>
      <w:sz w:val="36"/>
    </w:rPr>
  </w:style>
  <w:style w:type="paragraph" w:styleId="Style39">
    <w:name w:val="Стрелки"/>
    <w:basedOn w:val="Style38"/>
    <w:qFormat/>
    <w:pPr/>
    <w:rPr>
      <w:rFonts w:ascii="Liberation Sans" w:hAnsi="Liberation Sans"/>
      <w:sz w:val="36"/>
    </w:rPr>
  </w:style>
  <w:style w:type="paragraph" w:styleId="Style40">
    <w:name w:val="Штриховая линия"/>
    <w:basedOn w:val="Style38"/>
    <w:qFormat/>
    <w:pPr/>
    <w:rPr>
      <w:rFonts w:ascii="Liberation Sans" w:hAnsi="Liberation Sans"/>
      <w:sz w:val="36"/>
    </w:rPr>
  </w:style>
  <w:style w:type="paragraph" w:styleId="LTGliederung1">
    <w:name w:val="Титульный слайд~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
    <w:name w:val="Титульный слайд~LT~Gliederung 2"/>
    <w:basedOn w:val="LTGliederung1"/>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
    <w:name w:val="Титульный слайд~LT~Gliederung 3"/>
    <w:basedOn w:val="LTGliederung2"/>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
    <w:name w:val="Титульный слайд~LT~Gliederung 4"/>
    <w:basedOn w:val="LTGliederung3"/>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
    <w:name w:val="Титульный слайд~LT~Gliederung 5"/>
    <w:basedOn w:val="LTGliederung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
    <w:name w:val="Титульный слайд~LT~Gliederung 6"/>
    <w:basedOn w:val="LTGliederung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
    <w:name w:val="Титульный слайд~LT~Gliederung 7"/>
    <w:basedOn w:val="LTGliederung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
    <w:name w:val="Титульный слайд~LT~Gliederung 8"/>
    <w:basedOn w:val="LTGliederung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
    <w:name w:val="Титульный слайд~LT~Gliederung 9"/>
    <w:basedOn w:val="LTGliederung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
    <w:name w:val="Титульный слайд~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
    <w:name w:val="Титульный слайд~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
    <w:name w:val="Титульный слайд~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
    <w:name w:val="Титульный слайд~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
    <w:name w:val="Титульный слайд~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default">
    <w:name w:val="default"/>
    <w:qFormat/>
    <w:pPr>
      <w:widowControl w:val="false"/>
      <w:suppressAutoHyphens w:val="true"/>
      <w:overflowPunct w:val="true"/>
      <w:bidi w:val="0"/>
      <w:spacing w:before="0" w:after="0"/>
      <w:jc w:val="left"/>
    </w:pPr>
    <w:rPr>
      <w:rFonts w:ascii="Arial" w:hAnsi="Arial" w:eastAsia="Tahoma" w:cs="Calibri"/>
      <w:color w:val="auto"/>
      <w:kern w:val="2"/>
      <w:sz w:val="36"/>
      <w:szCs w:val="24"/>
      <w:lang w:val="ru-RU" w:eastAsia="en-US" w:bidi="ar-SA"/>
    </w:rPr>
  </w:style>
  <w:style w:type="paragraph" w:styleId="bg-none">
    <w:name w:val="bg-none"/>
    <w:basedOn w:val="default"/>
    <w:qFormat/>
    <w:pPr/>
    <w:rPr>
      <w:rFonts w:ascii="Arial" w:hAnsi="Arial"/>
      <w:color w:val="auto"/>
      <w:kern w:val="2"/>
      <w:sz w:val="36"/>
    </w:rPr>
  </w:style>
  <w:style w:type="paragraph" w:styleId="gray">
    <w:name w:val="gray"/>
    <w:basedOn w:val="default"/>
    <w:qFormat/>
    <w:pPr/>
    <w:rPr>
      <w:rFonts w:ascii="Arial" w:hAnsi="Arial"/>
      <w:color w:val="auto"/>
      <w:kern w:val="2"/>
      <w:sz w:val="36"/>
    </w:rPr>
  </w:style>
  <w:style w:type="paragraph" w:styleId="dark-gray">
    <w:name w:val="dark-gray"/>
    <w:basedOn w:val="default"/>
    <w:qFormat/>
    <w:pPr/>
    <w:rPr>
      <w:rFonts w:ascii="Arial" w:hAnsi="Arial"/>
      <w:color w:val="auto"/>
      <w:kern w:val="2"/>
      <w:sz w:val="36"/>
    </w:rPr>
  </w:style>
  <w:style w:type="paragraph" w:styleId="black">
    <w:name w:val="black"/>
    <w:basedOn w:val="default"/>
    <w:qFormat/>
    <w:pPr/>
    <w:rPr>
      <w:rFonts w:ascii="Arial" w:hAnsi="Arial"/>
      <w:color w:val="FFFFFF"/>
      <w:kern w:val="2"/>
      <w:sz w:val="36"/>
    </w:rPr>
  </w:style>
  <w:style w:type="paragraph" w:styleId="black-with-border">
    <w:name w:val="black-with-border"/>
    <w:basedOn w:val="default"/>
    <w:qFormat/>
    <w:pPr/>
    <w:rPr>
      <w:rFonts w:ascii="Arial" w:hAnsi="Arial"/>
      <w:color w:val="FFFFFF"/>
      <w:kern w:val="2"/>
      <w:sz w:val="36"/>
    </w:rPr>
  </w:style>
  <w:style w:type="paragraph" w:styleId="gray-with-border">
    <w:name w:val="gray-with-border"/>
    <w:basedOn w:val="default"/>
    <w:qFormat/>
    <w:pPr/>
    <w:rPr>
      <w:rFonts w:ascii="Arial" w:hAnsi="Arial"/>
      <w:color w:val="auto"/>
      <w:kern w:val="2"/>
      <w:sz w:val="36"/>
    </w:rPr>
  </w:style>
  <w:style w:type="paragraph" w:styleId="white">
    <w:name w:val="white"/>
    <w:basedOn w:val="default"/>
    <w:qFormat/>
    <w:pPr/>
    <w:rPr>
      <w:rFonts w:ascii="Arial" w:hAnsi="Arial"/>
      <w:color w:val="auto"/>
      <w:kern w:val="2"/>
      <w:sz w:val="36"/>
    </w:rPr>
  </w:style>
  <w:style w:type="paragraph" w:styleId="white-with-border">
    <w:name w:val="white-with-border"/>
    <w:basedOn w:val="default"/>
    <w:qFormat/>
    <w:pPr/>
    <w:rPr>
      <w:rFonts w:ascii="Arial" w:hAnsi="Arial"/>
      <w:color w:val="auto"/>
      <w:kern w:val="2"/>
      <w:sz w:val="36"/>
    </w:rPr>
  </w:style>
  <w:style w:type="paragraph" w:styleId="blue-title">
    <w:name w:val="blue-title"/>
    <w:basedOn w:val="default"/>
    <w:qFormat/>
    <w:pPr/>
    <w:rPr>
      <w:rFonts w:ascii="Arial" w:hAnsi="Arial"/>
      <w:color w:val="FFFFFF"/>
      <w:kern w:val="2"/>
      <w:sz w:val="36"/>
    </w:rPr>
  </w:style>
  <w:style w:type="paragraph" w:styleId="blue-title-with-border">
    <w:name w:val="blue-title-with-border"/>
    <w:basedOn w:val="default"/>
    <w:qFormat/>
    <w:pPr/>
    <w:rPr>
      <w:rFonts w:ascii="Arial" w:hAnsi="Arial"/>
      <w:color w:val="FFFFFF"/>
      <w:kern w:val="2"/>
      <w:sz w:val="36"/>
    </w:rPr>
  </w:style>
  <w:style w:type="paragraph" w:styleId="blue-banded">
    <w:name w:val="blue-banded"/>
    <w:basedOn w:val="default"/>
    <w:qFormat/>
    <w:pPr/>
    <w:rPr>
      <w:rFonts w:ascii="Arial" w:hAnsi="Arial"/>
      <w:color w:val="auto"/>
      <w:kern w:val="2"/>
      <w:sz w:val="36"/>
    </w:rPr>
  </w:style>
  <w:style w:type="paragraph" w:styleId="blue-normal">
    <w:name w:val="blue-normal"/>
    <w:basedOn w:val="default"/>
    <w:qFormat/>
    <w:pPr/>
    <w:rPr>
      <w:rFonts w:ascii="Arial" w:hAnsi="Arial"/>
      <w:color w:val="auto"/>
      <w:kern w:val="2"/>
      <w:sz w:val="36"/>
    </w:rPr>
  </w:style>
  <w:style w:type="paragraph" w:styleId="orange-title">
    <w:name w:val="orange-title"/>
    <w:basedOn w:val="default"/>
    <w:qFormat/>
    <w:pPr/>
    <w:rPr>
      <w:rFonts w:ascii="Arial" w:hAnsi="Arial"/>
      <w:color w:val="FFFFFF"/>
      <w:kern w:val="2"/>
      <w:sz w:val="36"/>
    </w:rPr>
  </w:style>
  <w:style w:type="paragraph" w:styleId="orange-title-with-border">
    <w:name w:val="orange-title-with-border"/>
    <w:basedOn w:val="default"/>
    <w:qFormat/>
    <w:pPr/>
    <w:rPr>
      <w:rFonts w:ascii="Arial" w:hAnsi="Arial"/>
      <w:color w:val="FFFFFF"/>
      <w:kern w:val="2"/>
      <w:sz w:val="36"/>
    </w:rPr>
  </w:style>
  <w:style w:type="paragraph" w:styleId="orange-banded">
    <w:name w:val="orange-banded"/>
    <w:basedOn w:val="default"/>
    <w:qFormat/>
    <w:pPr/>
    <w:rPr>
      <w:rFonts w:ascii="Arial" w:hAnsi="Arial"/>
      <w:color w:val="auto"/>
      <w:kern w:val="2"/>
      <w:sz w:val="36"/>
    </w:rPr>
  </w:style>
  <w:style w:type="paragraph" w:styleId="orange-normal">
    <w:name w:val="orange-normal"/>
    <w:basedOn w:val="default"/>
    <w:qFormat/>
    <w:pPr/>
    <w:rPr>
      <w:rFonts w:ascii="Arial" w:hAnsi="Arial"/>
      <w:color w:val="auto"/>
      <w:kern w:val="2"/>
      <w:sz w:val="36"/>
    </w:rPr>
  </w:style>
  <w:style w:type="paragraph" w:styleId="teal-title">
    <w:name w:val="teal-title"/>
    <w:basedOn w:val="default"/>
    <w:qFormat/>
    <w:pPr/>
    <w:rPr>
      <w:rFonts w:ascii="Arial" w:hAnsi="Arial"/>
      <w:color w:val="FFFFFF"/>
      <w:kern w:val="2"/>
      <w:sz w:val="36"/>
    </w:rPr>
  </w:style>
  <w:style w:type="paragraph" w:styleId="teal-title-with-border">
    <w:name w:val="teal-title-with-border"/>
    <w:basedOn w:val="default"/>
    <w:qFormat/>
    <w:pPr/>
    <w:rPr>
      <w:rFonts w:ascii="Arial" w:hAnsi="Arial"/>
      <w:color w:val="FFFFFF"/>
      <w:kern w:val="2"/>
      <w:sz w:val="36"/>
    </w:rPr>
  </w:style>
  <w:style w:type="paragraph" w:styleId="teal-banded">
    <w:name w:val="teal-banded"/>
    <w:basedOn w:val="default"/>
    <w:qFormat/>
    <w:pPr/>
    <w:rPr>
      <w:rFonts w:ascii="Arial" w:hAnsi="Arial"/>
      <w:color w:val="auto"/>
      <w:kern w:val="2"/>
      <w:sz w:val="36"/>
    </w:rPr>
  </w:style>
  <w:style w:type="paragraph" w:styleId="teal-normal">
    <w:name w:val="teal-normal"/>
    <w:basedOn w:val="default"/>
    <w:qFormat/>
    <w:pPr/>
    <w:rPr>
      <w:rFonts w:ascii="Arial" w:hAnsi="Arial"/>
      <w:color w:val="auto"/>
      <w:kern w:val="2"/>
      <w:sz w:val="36"/>
    </w:rPr>
  </w:style>
  <w:style w:type="paragraph" w:styleId="magenta-title">
    <w:name w:val="magenta-title"/>
    <w:basedOn w:val="default"/>
    <w:qFormat/>
    <w:pPr/>
    <w:rPr>
      <w:rFonts w:ascii="Arial" w:hAnsi="Arial"/>
      <w:color w:val="FFFFFF"/>
      <w:kern w:val="2"/>
      <w:sz w:val="36"/>
    </w:rPr>
  </w:style>
  <w:style w:type="paragraph" w:styleId="magenta-title-with-border">
    <w:name w:val="magenta-title-with-border"/>
    <w:basedOn w:val="default"/>
    <w:qFormat/>
    <w:pPr/>
    <w:rPr>
      <w:rFonts w:ascii="Arial" w:hAnsi="Arial"/>
      <w:color w:val="FFFFFF"/>
      <w:kern w:val="2"/>
      <w:sz w:val="36"/>
    </w:rPr>
  </w:style>
  <w:style w:type="paragraph" w:styleId="magenta-banded">
    <w:name w:val="magenta-banded"/>
    <w:basedOn w:val="default"/>
    <w:qFormat/>
    <w:pPr/>
    <w:rPr>
      <w:rFonts w:ascii="Arial" w:hAnsi="Arial"/>
      <w:color w:val="auto"/>
      <w:kern w:val="2"/>
      <w:sz w:val="36"/>
    </w:rPr>
  </w:style>
  <w:style w:type="paragraph" w:styleId="magenta-normal">
    <w:name w:val="magenta-normal"/>
    <w:basedOn w:val="default"/>
    <w:qFormat/>
    <w:pPr/>
    <w:rPr>
      <w:rFonts w:ascii="Arial" w:hAnsi="Arial"/>
      <w:color w:val="auto"/>
      <w:kern w:val="2"/>
      <w:sz w:val="36"/>
    </w:rPr>
  </w:style>
  <w:style w:type="paragraph" w:styleId="Style41">
    <w:name w:val="Объекты фона"/>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Style42">
    <w:name w:val="Фон"/>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Style43">
    <w:name w:val="Примечания"/>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1">
    <w:name w:val="Структура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21">
    <w:name w:val="Структура 2"/>
    <w:basedOn w:val="11"/>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31">
    <w:name w:val="Структура 3"/>
    <w:basedOn w:val="21"/>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43">
    <w:name w:val="Структура 4"/>
    <w:basedOn w:val="31"/>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5">
    <w:name w:val="Структура 5"/>
    <w:basedOn w:val="4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6">
    <w:name w:val="Структура 6"/>
    <w:basedOn w:val="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7">
    <w:name w:val="Структура 7"/>
    <w:basedOn w:val="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8">
    <w:name w:val="Структура 8"/>
    <w:basedOn w:val="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9">
    <w:name w:val="Структура 9"/>
    <w:basedOn w:val="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Emphasis">
    <w:name w:val="Emphasis"/>
    <w:qFormat/>
    <w:pPr>
      <w:widowControl w:val="false"/>
      <w:suppressAutoHyphens w:val="true"/>
      <w:overflowPunct w:val="true"/>
      <w:bidi w:val="0"/>
      <w:spacing w:before="0" w:after="0"/>
      <w:jc w:val="left"/>
    </w:pPr>
    <w:rPr>
      <w:rFonts w:ascii="Liberation Serif" w:hAnsi="Liberation Serif" w:eastAsia="Tahoma" w:cs="Calibri"/>
      <w:i/>
      <w:color w:val="auto"/>
      <w:kern w:val="0"/>
      <w:sz w:val="24"/>
      <w:szCs w:val="24"/>
      <w:lang w:val="ru-RU" w:eastAsia="en-US" w:bidi="ar-SA"/>
    </w:rPr>
  </w:style>
  <w:style w:type="paragraph" w:styleId="DefaultParagraphFont1">
    <w:name w:val="Default Paragraph Font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InternetLink41">
    <w:name w:val="Internet Link4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ListLabel2341">
    <w:name w:val="ListLabel 23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31">
    <w:name w:val="ListLabel 23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21">
    <w:name w:val="ListLabel 23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11">
    <w:name w:val="ListLabel 23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01">
    <w:name w:val="ListLabel 23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91">
    <w:name w:val="ListLabel 22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81">
    <w:name w:val="ListLabel 22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71">
    <w:name w:val="ListLabel 22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61">
    <w:name w:val="ListLabel 22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51">
    <w:name w:val="ListLabel 22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41">
    <w:name w:val="ListLabel 22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31">
    <w:name w:val="ListLabel 22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221">
    <w:name w:val="ListLabel 22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11">
    <w:name w:val="ListLabel 22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01">
    <w:name w:val="ListLabel 22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91">
    <w:name w:val="ListLabel 21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81">
    <w:name w:val="ListLabel 21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71">
    <w:name w:val="ListLabel 21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61">
    <w:name w:val="ListLabel 21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51">
    <w:name w:val="ListLabel 21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41">
    <w:name w:val="ListLabel 21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31">
    <w:name w:val="ListLabel 21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21">
    <w:name w:val="ListLabel 21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11">
    <w:name w:val="ListLabel 21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01">
    <w:name w:val="ListLabel 21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91">
    <w:name w:val="ListLabel 20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81">
    <w:name w:val="ListLabel 20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071">
    <w:name w:val="ListLabel 20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61">
    <w:name w:val="ListLabel 20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51">
    <w:name w:val="ListLabel 20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041">
    <w:name w:val="ListLabel 20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31">
    <w:name w:val="ListLabel 20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21">
    <w:name w:val="ListLabel 20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011">
    <w:name w:val="ListLabel 20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01">
    <w:name w:val="ListLabel 20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91">
    <w:name w:val="ListLabel 19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981">
    <w:name w:val="ListLabel 19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71">
    <w:name w:val="ListLabel 19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61">
    <w:name w:val="ListLabel 196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951">
    <w:name w:val="ListLabel 19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41">
    <w:name w:val="ListLabel 19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31">
    <w:name w:val="ListLabel 19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921">
    <w:name w:val="ListLabel 19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11">
    <w:name w:val="ListLabel 19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01">
    <w:name w:val="ListLabel 19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91">
    <w:name w:val="ListLabel 18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81">
    <w:name w:val="ListLabel 18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71">
    <w:name w:val="ListLabel 18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61">
    <w:name w:val="ListLabel 18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51">
    <w:name w:val="ListLabel 18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41">
    <w:name w:val="ListLabel 18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31">
    <w:name w:val="ListLabel 18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21">
    <w:name w:val="ListLabel 18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11">
    <w:name w:val="ListLabel 18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01">
    <w:name w:val="ListLabel 18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91">
    <w:name w:val="ListLabel 17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81">
    <w:name w:val="ListLabel 17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771">
    <w:name w:val="ListLabel 17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61">
    <w:name w:val="ListLabel 17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51">
    <w:name w:val="ListLabel 17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741">
    <w:name w:val="ListLabel 17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31">
    <w:name w:val="ListLabel 17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21">
    <w:name w:val="ListLabel 17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711">
    <w:name w:val="ListLabel 17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01">
    <w:name w:val="ListLabel 17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91">
    <w:name w:val="ListLabel 16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681">
    <w:name w:val="ListLabel 16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71">
    <w:name w:val="ListLabel 16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61">
    <w:name w:val="ListLabel 166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651">
    <w:name w:val="ListLabel 16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41">
    <w:name w:val="ListLabel 16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31">
    <w:name w:val="ListLabel 16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621">
    <w:name w:val="ListLabel 16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11">
    <w:name w:val="ListLabel 16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01">
    <w:name w:val="ListLabel 16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91">
    <w:name w:val="ListLabel 15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81">
    <w:name w:val="ListLabel 15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71">
    <w:name w:val="ListLabel 15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61">
    <w:name w:val="ListLabel 15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51">
    <w:name w:val="ListLabel 15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41">
    <w:name w:val="ListLabel 15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31">
    <w:name w:val="ListLabel 15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21">
    <w:name w:val="ListLabel 15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11">
    <w:name w:val="ListLabel 15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01">
    <w:name w:val="ListLabel 15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91">
    <w:name w:val="ListLabel 14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81">
    <w:name w:val="ListLabel 14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471">
    <w:name w:val="ListLabel 14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61">
    <w:name w:val="ListLabel 14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51">
    <w:name w:val="ListLabel 14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441">
    <w:name w:val="ListLabel 14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31">
    <w:name w:val="ListLabel 14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21">
    <w:name w:val="ListLabel 14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411">
    <w:name w:val="ListLabel 14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01">
    <w:name w:val="ListLabel 14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91">
    <w:name w:val="ListLabel 13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381">
    <w:name w:val="ListLabel 13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71">
    <w:name w:val="ListLabel 13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61">
    <w:name w:val="ListLabel 136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351">
    <w:name w:val="ListLabel 13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41">
    <w:name w:val="ListLabel 13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31">
    <w:name w:val="ListLabel 13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321">
    <w:name w:val="ListLabel 13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11">
    <w:name w:val="ListLabel 13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01">
    <w:name w:val="ListLabel 13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91">
    <w:name w:val="ListLabel 12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81">
    <w:name w:val="ListLabel 12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71">
    <w:name w:val="ListLabel 12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61">
    <w:name w:val="ListLabel 12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51">
    <w:name w:val="ListLabel 12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41">
    <w:name w:val="ListLabel 12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31">
    <w:name w:val="ListLabel 12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21">
    <w:name w:val="ListLabel 12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11">
    <w:name w:val="ListLabel 12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01">
    <w:name w:val="ListLabel 12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91">
    <w:name w:val="ListLabel 11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81">
    <w:name w:val="ListLabel 11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171">
    <w:name w:val="ListLabel 11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61">
    <w:name w:val="ListLabel 11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51">
    <w:name w:val="ListLabel 11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141">
    <w:name w:val="ListLabel 11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31">
    <w:name w:val="ListLabel 11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21">
    <w:name w:val="ListLabel 11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111">
    <w:name w:val="ListLabel 11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01">
    <w:name w:val="ListLabel 11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091">
    <w:name w:val="ListLabel 10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081">
    <w:name w:val="ListLabel 10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71">
    <w:name w:val="ListLabel 10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61">
    <w:name w:val="ListLabel 10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51">
    <w:name w:val="ListLabel 10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41">
    <w:name w:val="ListLabel 10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31">
    <w:name w:val="ListLabel 10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21">
    <w:name w:val="ListLabel 10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11">
    <w:name w:val="ListLabel 10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01">
    <w:name w:val="ListLabel 10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991">
    <w:name w:val="ListLabel 99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981">
    <w:name w:val="ListLabel 98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971">
    <w:name w:val="ListLabel 9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961">
    <w:name w:val="ListLabel 96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951">
    <w:name w:val="ListLabel 95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941">
    <w:name w:val="ListLabel 9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931">
    <w:name w:val="ListLabel 93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921">
    <w:name w:val="ListLabel 92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911">
    <w:name w:val="ListLabel 9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901">
    <w:name w:val="ListLabel 9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91">
    <w:name w:val="ListLabel 8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81">
    <w:name w:val="ListLabel 8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71">
    <w:name w:val="ListLabel 8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61">
    <w:name w:val="ListLabel 8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51">
    <w:name w:val="ListLabel 8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41">
    <w:name w:val="ListLabel 8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31">
    <w:name w:val="ListLabel 8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21">
    <w:name w:val="ListLabel 8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11">
    <w:name w:val="ListLabel 8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01">
    <w:name w:val="ListLabel 8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91">
    <w:name w:val="ListLabel 7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81">
    <w:name w:val="ListLabel 7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71">
    <w:name w:val="ListLabel 7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61">
    <w:name w:val="ListLabel 7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51">
    <w:name w:val="ListLabel 7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41">
    <w:name w:val="ListLabel 7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31">
    <w:name w:val="ListLabel 7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21">
    <w:name w:val="ListLabel 72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711">
    <w:name w:val="ListLabel 71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701">
    <w:name w:val="ListLabel 7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91">
    <w:name w:val="ListLabel 69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681">
    <w:name w:val="ListLabel 68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671">
    <w:name w:val="ListLabel 6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61">
    <w:name w:val="ListLabel 66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651">
    <w:name w:val="ListLabel 65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641">
    <w:name w:val="ListLabel 6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31">
    <w:name w:val="ListLabel 6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621">
    <w:name w:val="ListLabel 6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611">
    <w:name w:val="ListLabel 6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601">
    <w:name w:val="ListLabel 6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91">
    <w:name w:val="ListLabel 5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81">
    <w:name w:val="ListLabel 5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71">
    <w:name w:val="ListLabel 5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61">
    <w:name w:val="ListLabel 5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51">
    <w:name w:val="ListLabel 5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41">
    <w:name w:val="ListLabel 5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31">
    <w:name w:val="ListLabel 5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21">
    <w:name w:val="ListLabel 5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11">
    <w:name w:val="ListLabel 5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01">
    <w:name w:val="ListLabel 5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91">
    <w:name w:val="ListLabel 4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81">
    <w:name w:val="ListLabel 4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71">
    <w:name w:val="ListLabel 4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61">
    <w:name w:val="ListLabel 4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51">
    <w:name w:val="ListLabel 45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441">
    <w:name w:val="ListLabel 44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431">
    <w:name w:val="ListLabel 4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421">
    <w:name w:val="ListLabel 42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411">
    <w:name w:val="ListLabel 41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401">
    <w:name w:val="ListLabel 4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391">
    <w:name w:val="ListLabel 39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381">
    <w:name w:val="ListLabel 38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371">
    <w:name w:val="ListLabel 3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361">
    <w:name w:val="ListLabel 3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51">
    <w:name w:val="ListLabel 3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411">
    <w:name w:val="ListLabel 34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31">
    <w:name w:val="ListLabel 3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211">
    <w:name w:val="ListLabel 32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11">
    <w:name w:val="ListLabel 3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011">
    <w:name w:val="ListLabel 30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911">
    <w:name w:val="ListLabel 29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811">
    <w:name w:val="ListLabel 28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711">
    <w:name w:val="ListLabel 271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611">
    <w:name w:val="ListLabel 261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2511">
    <w:name w:val="ListLabel 25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411">
    <w:name w:val="ListLabel 241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351">
    <w:name w:val="ListLabel 235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2210">
    <w:name w:val="ListLabel 22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10">
    <w:name w:val="ListLabel 21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010">
    <w:name w:val="ListLabel 20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910">
    <w:name w:val="ListLabel 19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10">
    <w:name w:val="ListLabel 18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1710">
    <w:name w:val="ListLabel 17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610">
    <w:name w:val="ListLabel 16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10">
    <w:name w:val="ListLabel 15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1410">
    <w:name w:val="ListLabel 14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310">
    <w:name w:val="ListLabel 13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10">
    <w:name w:val="ListLabel 12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1110">
    <w:name w:val="ListLabel 11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010">
    <w:name w:val="ListLabel 1010"/>
    <w:qFormat/>
    <w:pPr>
      <w:widowControl w:val="false"/>
      <w:suppressAutoHyphens w:val="true"/>
      <w:overflowPunct w:val="true"/>
      <w:bidi w:val="0"/>
      <w:spacing w:before="0" w:after="0"/>
      <w:jc w:val="left"/>
    </w:pPr>
    <w:rPr>
      <w:rFonts w:ascii="Times New Roman" w:hAnsi="Times New Roman" w:eastAsia="Tahoma" w:cs="Calibri"/>
      <w:color w:val="auto"/>
      <w:kern w:val="0"/>
      <w:sz w:val="24"/>
      <w:szCs w:val="24"/>
      <w:lang w:val="ru-RU" w:eastAsia="en-US" w:bidi="ar-SA"/>
    </w:rPr>
  </w:style>
  <w:style w:type="paragraph" w:styleId="ListLabel910">
    <w:name w:val="ListLabel 9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810">
    <w:name w:val="ListLabel 8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710">
    <w:name w:val="ListLabel 7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10">
    <w:name w:val="ListLabel 6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510">
    <w:name w:val="ListLabel 5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410">
    <w:name w:val="ListLabel 4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310">
    <w:name w:val="ListLabel 3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361">
    <w:name w:val="ListLabel 236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100">
    <w:name w:val="ListLabel 110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InternetLink51">
    <w:name w:val="Internet Link5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InternetLink211">
    <w:name w:val="Internet Link21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12">
    <w:name w:val="Символ нумерации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13">
    <w:name w:val="Маркеры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14">
    <w:name w:val="Ссылка указателя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InternetLink111">
    <w:name w:val="Internet Link11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15">
    <w:name w:val="Нижний колонтитул Знак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16">
    <w:name w:val="Верхний колонтитул Знак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apple-converted-space1">
    <w:name w:val="apple-converted-space1"/>
    <w:qFormat/>
    <w:pPr>
      <w:widowControl w:val="false"/>
      <w:suppressAutoHyphens w:val="true"/>
      <w:overflowPunct w:val="true"/>
      <w:bidi w:val="0"/>
      <w:spacing w:before="0" w:after="0"/>
      <w:jc w:val="left"/>
    </w:pPr>
    <w:rPr>
      <w:rFonts w:ascii="Times New Roman" w:hAnsi="Times New Roman" w:eastAsia="Tahoma" w:cs="Calibri"/>
      <w:color w:val="auto"/>
      <w:kern w:val="0"/>
      <w:sz w:val="24"/>
      <w:szCs w:val="24"/>
      <w:lang w:val="ru-RU" w:eastAsia="en-US" w:bidi="ar-SA"/>
    </w:rPr>
  </w:style>
  <w:style w:type="paragraph" w:styleId="17">
    <w:name w:val="Обычный (Интернет) Знак1"/>
    <w:qFormat/>
    <w:pPr>
      <w:widowControl w:val="false"/>
      <w:suppressAutoHyphens w:val="true"/>
      <w:overflowPunct w:val="true"/>
      <w:bidi w:val="0"/>
      <w:spacing w:before="0" w:after="0"/>
      <w:jc w:val="left"/>
    </w:pPr>
    <w:rPr>
      <w:rFonts w:ascii="Times New Roman" w:hAnsi="Times New Roman" w:eastAsia="Tahoma" w:cs="Calibri"/>
      <w:color w:val="auto"/>
      <w:kern w:val="0"/>
      <w:sz w:val="24"/>
      <w:szCs w:val="24"/>
      <w:lang w:val="ru-RU" w:eastAsia="en-US" w:bidi="ar-SA"/>
    </w:rPr>
  </w:style>
  <w:style w:type="paragraph" w:styleId="211">
    <w:name w:val="Заголовок 2 Знак1"/>
    <w:qFormat/>
    <w:pPr>
      <w:widowControl w:val="false"/>
      <w:suppressAutoHyphens w:val="true"/>
      <w:overflowPunct w:val="true"/>
      <w:bidi w:val="0"/>
      <w:spacing w:before="0" w:after="0"/>
      <w:jc w:val="left"/>
    </w:pPr>
    <w:rPr>
      <w:rFonts w:ascii="Calibri Light" w:hAnsi="Calibri Light" w:eastAsia="Tahoma" w:cs="Calibri"/>
      <w:color w:val="2F5496"/>
      <w:kern w:val="0"/>
      <w:sz w:val="26"/>
      <w:szCs w:val="24"/>
      <w:lang w:val="ru-RU" w:eastAsia="en-US" w:bidi="ar-SA"/>
    </w:rPr>
  </w:style>
  <w:style w:type="paragraph" w:styleId="InternetLink31">
    <w:name w:val="Internet Link31"/>
    <w:qFormat/>
    <w:pPr>
      <w:widowControl w:val="false"/>
      <w:suppressAutoHyphens w:val="true"/>
      <w:overflowPunct w:val="true"/>
      <w:bidi w:val="0"/>
      <w:spacing w:before="0" w:after="0"/>
      <w:jc w:val="left"/>
    </w:pPr>
    <w:rPr>
      <w:rFonts w:ascii="Liberation Serif" w:hAnsi="Liberation Serif" w:eastAsia="Tahoma" w:cs="Calibri"/>
      <w:color w:val="0563C1"/>
      <w:kern w:val="0"/>
      <w:sz w:val="24"/>
      <w:szCs w:val="24"/>
      <w:u w:val="single"/>
      <w:lang w:val="ru-RU" w:eastAsia="en-US" w:bidi="ar-SA"/>
    </w:rPr>
  </w:style>
  <w:style w:type="paragraph" w:styleId="18">
    <w:name w:val="Абзац списка Знак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111">
    <w:name w:val="Заголовок 1 Знак1"/>
    <w:qFormat/>
    <w:pPr>
      <w:widowControl w:val="false"/>
      <w:suppressAutoHyphens w:val="true"/>
      <w:overflowPunct w:val="true"/>
      <w:bidi w:val="0"/>
      <w:spacing w:before="0" w:after="0"/>
      <w:jc w:val="left"/>
    </w:pPr>
    <w:rPr>
      <w:rFonts w:ascii="Cambria" w:hAnsi="Cambria" w:eastAsia="Tahoma" w:cs="Calibri"/>
      <w:b/>
      <w:color w:val="365F91"/>
      <w:kern w:val="0"/>
      <w:sz w:val="28"/>
      <w:szCs w:val="24"/>
      <w:lang w:val="ru-RU" w:eastAsia="en-US" w:bidi="ar-SA"/>
    </w:rPr>
  </w:style>
  <w:style w:type="paragraph" w:styleId="LTGliederung11">
    <w:name w:val="Заголовок и вертикальный текст~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1">
    <w:name w:val="Заголовок и вертикальный текст~LT~Gliederung 2"/>
    <w:basedOn w:val="LTGliederung11"/>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1">
    <w:name w:val="Заголовок и вертикальный текст~LT~Gliederung 3"/>
    <w:basedOn w:val="LTGliederung21"/>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1">
    <w:name w:val="Заголовок и вертикальный текст~LT~Gliederung 4"/>
    <w:basedOn w:val="LTGliederung31"/>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1">
    <w:name w:val="Заголовок и вертикальный текст~LT~Gliederung 5"/>
    <w:basedOn w:val="LTGliederung4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1">
    <w:name w:val="Заголовок и вертикальный текст~LT~Gliederung 6"/>
    <w:basedOn w:val="LTGliederung5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1">
    <w:name w:val="Заголовок и вертикальный текст~LT~Gliederung 7"/>
    <w:basedOn w:val="LTGliederung6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1">
    <w:name w:val="Заголовок и вертикальный текст~LT~Gliederung 8"/>
    <w:basedOn w:val="LTGliederung7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1">
    <w:name w:val="Заголовок и вертикальный текст~LT~Gliederung 9"/>
    <w:basedOn w:val="LTGliederung8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1">
    <w:name w:val="Заголовок и вертикальный текст~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1">
    <w:name w:val="Заголовок и вертикальный текст~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1">
    <w:name w:val="Заголовок и вертикальный текст~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1">
    <w:name w:val="Заголовок и вертикальный текст~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1">
    <w:name w:val="Заголовок и вертикальный текст~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2">
    <w:name w:val="Вертикальный заголовок и текст~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2">
    <w:name w:val="Вертикальный заголовок и текст~LT~Gliederung 2"/>
    <w:basedOn w:val="LTGliederung12"/>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2">
    <w:name w:val="Вертикальный заголовок и текст~LT~Gliederung 3"/>
    <w:basedOn w:val="LTGliederung22"/>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2">
    <w:name w:val="Вертикальный заголовок и текст~LT~Gliederung 4"/>
    <w:basedOn w:val="LTGliederung32"/>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2">
    <w:name w:val="Вертикальный заголовок и текст~LT~Gliederung 5"/>
    <w:basedOn w:val="LTGliederung4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2">
    <w:name w:val="Вертикальный заголовок и текст~LT~Gliederung 6"/>
    <w:basedOn w:val="LTGliederung5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2">
    <w:name w:val="Вертикальный заголовок и текст~LT~Gliederung 7"/>
    <w:basedOn w:val="LTGliederung6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2">
    <w:name w:val="Вертикальный заголовок и текст~LT~Gliederung 8"/>
    <w:basedOn w:val="LTGliederung7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2">
    <w:name w:val="Вертикальный заголовок и текст~LT~Gliederung 9"/>
    <w:basedOn w:val="LTGliederung8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2">
    <w:name w:val="Вертикальный заголовок и текст~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2">
    <w:name w:val="Вертикальный заголовок и текст~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2">
    <w:name w:val="Вертикальный заголовок и текст~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2">
    <w:name w:val="Вертикальный заголовок и текст~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2">
    <w:name w:val="Вертикальный заголовок и текст~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3">
    <w:name w:val="Заголовок и объект~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3">
    <w:name w:val="Заголовок и объект~LT~Gliederung 2"/>
    <w:basedOn w:val="LTGliederung13"/>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3">
    <w:name w:val="Заголовок и объект~LT~Gliederung 3"/>
    <w:basedOn w:val="LTGliederung23"/>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3">
    <w:name w:val="Заголовок и объект~LT~Gliederung 4"/>
    <w:basedOn w:val="LTGliederung33"/>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3">
    <w:name w:val="Заголовок и объект~LT~Gliederung 5"/>
    <w:basedOn w:val="LTGliederung4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3">
    <w:name w:val="Заголовок и объект~LT~Gliederung 6"/>
    <w:basedOn w:val="LTGliederung5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3">
    <w:name w:val="Заголовок и объект~LT~Gliederung 7"/>
    <w:basedOn w:val="LTGliederung6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3">
    <w:name w:val="Заголовок и объект~LT~Gliederung 8"/>
    <w:basedOn w:val="LTGliederung7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3">
    <w:name w:val="Заголовок и объект~LT~Gliederung 9"/>
    <w:basedOn w:val="LTGliederung8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3">
    <w:name w:val="Заголовок и объект~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3">
    <w:name w:val="Заголовок и объект~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3">
    <w:name w:val="Заголовок и объект~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3">
    <w:name w:val="Заголовок и объект~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3">
    <w:name w:val="Заголовок и объект~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4">
    <w:name w:val="Заголовок раздела~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4">
    <w:name w:val="Заголовок раздела~LT~Gliederung 2"/>
    <w:basedOn w:val="LTGliederung14"/>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4">
    <w:name w:val="Заголовок раздела~LT~Gliederung 3"/>
    <w:basedOn w:val="LTGliederung24"/>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4">
    <w:name w:val="Заголовок раздела~LT~Gliederung 4"/>
    <w:basedOn w:val="LTGliederung34"/>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4">
    <w:name w:val="Заголовок раздела~LT~Gliederung 5"/>
    <w:basedOn w:val="LTGliederung4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4">
    <w:name w:val="Заголовок раздела~LT~Gliederung 6"/>
    <w:basedOn w:val="LTGliederung5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4">
    <w:name w:val="Заголовок раздела~LT~Gliederung 7"/>
    <w:basedOn w:val="LTGliederung6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4">
    <w:name w:val="Заголовок раздела~LT~Gliederung 8"/>
    <w:basedOn w:val="LTGliederung7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4">
    <w:name w:val="Заголовок раздела~LT~Gliederung 9"/>
    <w:basedOn w:val="LTGliederung8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4">
    <w:name w:val="Заголовок раздела~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4">
    <w:name w:val="Заголовок раздела~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4">
    <w:name w:val="Заголовок раздела~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4">
    <w:name w:val="Заголовок раздела~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4">
    <w:name w:val="Заголовок раздела~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5">
    <w:name w:val="Два объекта~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5">
    <w:name w:val="Два объекта~LT~Gliederung 2"/>
    <w:basedOn w:val="LTGliederung15"/>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5">
    <w:name w:val="Два объекта~LT~Gliederung 3"/>
    <w:basedOn w:val="LTGliederung25"/>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5">
    <w:name w:val="Два объекта~LT~Gliederung 4"/>
    <w:basedOn w:val="LTGliederung35"/>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5">
    <w:name w:val="Два объекта~LT~Gliederung 5"/>
    <w:basedOn w:val="LTGliederung4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5">
    <w:name w:val="Два объекта~LT~Gliederung 6"/>
    <w:basedOn w:val="LTGliederung5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5">
    <w:name w:val="Два объекта~LT~Gliederung 7"/>
    <w:basedOn w:val="LTGliederung6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5">
    <w:name w:val="Два объекта~LT~Gliederung 8"/>
    <w:basedOn w:val="LTGliederung7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5">
    <w:name w:val="Два объекта~LT~Gliederung 9"/>
    <w:basedOn w:val="LTGliederung8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5">
    <w:name w:val="Два объекта~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5">
    <w:name w:val="Два объекта~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5">
    <w:name w:val="Два объекта~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5">
    <w:name w:val="Два объекта~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5">
    <w:name w:val="Два объекта~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6">
    <w:name w:val="Сравнение~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6">
    <w:name w:val="Сравнение~LT~Gliederung 2"/>
    <w:basedOn w:val="LTGliederung16"/>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6">
    <w:name w:val="Сравнение~LT~Gliederung 3"/>
    <w:basedOn w:val="LTGliederung26"/>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6">
    <w:name w:val="Сравнение~LT~Gliederung 4"/>
    <w:basedOn w:val="LTGliederung36"/>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6">
    <w:name w:val="Сравнение~LT~Gliederung 5"/>
    <w:basedOn w:val="LTGliederung4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6">
    <w:name w:val="Сравнение~LT~Gliederung 6"/>
    <w:basedOn w:val="LTGliederung5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6">
    <w:name w:val="Сравнение~LT~Gliederung 7"/>
    <w:basedOn w:val="LTGliederung6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6">
    <w:name w:val="Сравнение~LT~Gliederung 8"/>
    <w:basedOn w:val="LTGliederung7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6">
    <w:name w:val="Сравнение~LT~Gliederung 9"/>
    <w:basedOn w:val="LTGliederung8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6">
    <w:name w:val="Сравнение~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6">
    <w:name w:val="Сравнение~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6">
    <w:name w:val="Сравнение~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6">
    <w:name w:val="Сравнение~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6">
    <w:name w:val="Сравнение~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7">
    <w:name w:val="Только заголовок~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7">
    <w:name w:val="Только заголовок~LT~Gliederung 2"/>
    <w:basedOn w:val="LTGliederung17"/>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7">
    <w:name w:val="Только заголовок~LT~Gliederung 3"/>
    <w:basedOn w:val="LTGliederung27"/>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7">
    <w:name w:val="Только заголовок~LT~Gliederung 4"/>
    <w:basedOn w:val="LTGliederung37"/>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7">
    <w:name w:val="Только заголовок~LT~Gliederung 5"/>
    <w:basedOn w:val="LTGliederung4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7">
    <w:name w:val="Только заголовок~LT~Gliederung 6"/>
    <w:basedOn w:val="LTGliederung5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7">
    <w:name w:val="Только заголовок~LT~Gliederung 7"/>
    <w:basedOn w:val="LTGliederung6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7">
    <w:name w:val="Только заголовок~LT~Gliederung 8"/>
    <w:basedOn w:val="LTGliederung7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7">
    <w:name w:val="Только заголовок~LT~Gliederung 9"/>
    <w:basedOn w:val="LTGliederung8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7">
    <w:name w:val="Только заголовок~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7">
    <w:name w:val="Только заголовок~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7">
    <w:name w:val="Только заголовок~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7">
    <w:name w:val="Только заголовок~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7">
    <w:name w:val="Только заголовок~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8">
    <w:name w:val="Пустой слайд~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8">
    <w:name w:val="Пустой слайд~LT~Gliederung 2"/>
    <w:basedOn w:val="LTGliederung18"/>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8">
    <w:name w:val="Пустой слайд~LT~Gliederung 3"/>
    <w:basedOn w:val="LTGliederung28"/>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8">
    <w:name w:val="Пустой слайд~LT~Gliederung 4"/>
    <w:basedOn w:val="LTGliederung38"/>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8">
    <w:name w:val="Пустой слайд~LT~Gliederung 5"/>
    <w:basedOn w:val="LTGliederung4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8">
    <w:name w:val="Пустой слайд~LT~Gliederung 6"/>
    <w:basedOn w:val="LTGliederung5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8">
    <w:name w:val="Пустой слайд~LT~Gliederung 7"/>
    <w:basedOn w:val="LTGliederung6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8">
    <w:name w:val="Пустой слайд~LT~Gliederung 8"/>
    <w:basedOn w:val="LTGliederung7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8">
    <w:name w:val="Пустой слайд~LT~Gliederung 9"/>
    <w:basedOn w:val="LTGliederung8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8">
    <w:name w:val="Пустой слайд~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8">
    <w:name w:val="Пустой слайд~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8">
    <w:name w:val="Пустой слайд~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8">
    <w:name w:val="Пустой слайд~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8">
    <w:name w:val="Пустой слайд~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9">
    <w:name w:val="Объект с подписью~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9">
    <w:name w:val="Объект с подписью~LT~Gliederung 2"/>
    <w:basedOn w:val="LTGliederung19"/>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9">
    <w:name w:val="Объект с подписью~LT~Gliederung 3"/>
    <w:basedOn w:val="LTGliederung29"/>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9">
    <w:name w:val="Объект с подписью~LT~Gliederung 4"/>
    <w:basedOn w:val="LTGliederung39"/>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9">
    <w:name w:val="Объект с подписью~LT~Gliederung 5"/>
    <w:basedOn w:val="LTGliederung4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9">
    <w:name w:val="Объект с подписью~LT~Gliederung 6"/>
    <w:basedOn w:val="LTGliederung5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9">
    <w:name w:val="Объект с подписью~LT~Gliederung 7"/>
    <w:basedOn w:val="LTGliederung6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9">
    <w:name w:val="Объект с подписью~LT~Gliederung 8"/>
    <w:basedOn w:val="LTGliederung7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9">
    <w:name w:val="Объект с подписью~LT~Gliederung 9"/>
    <w:basedOn w:val="LTGliederung8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9">
    <w:name w:val="Объект с подписью~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9">
    <w:name w:val="Объект с подписью~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9">
    <w:name w:val="Объект с подписью~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9">
    <w:name w:val="Объект с подписью~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9">
    <w:name w:val="Объект с подписью~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10">
    <w:name w:val="Рисунок с подписью~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10">
    <w:name w:val="Рисунок с подписью~LT~Gliederung 2"/>
    <w:basedOn w:val="LTGliederung110"/>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10">
    <w:name w:val="Рисунок с подписью~LT~Gliederung 3"/>
    <w:basedOn w:val="LTGliederung210"/>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10">
    <w:name w:val="Рисунок с подписью~LT~Gliederung 4"/>
    <w:basedOn w:val="LTGliederung310"/>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10">
    <w:name w:val="Рисунок с подписью~LT~Gliederung 5"/>
    <w:basedOn w:val="LTGliederung4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10">
    <w:name w:val="Рисунок с подписью~LT~Gliederung 6"/>
    <w:basedOn w:val="LTGliederung5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10">
    <w:name w:val="Рисунок с подписью~LT~Gliederung 7"/>
    <w:basedOn w:val="LTGliederung6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10">
    <w:name w:val="Рисунок с подписью~LT~Gliederung 8"/>
    <w:basedOn w:val="LTGliederung7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10">
    <w:name w:val="Рисунок с подписью~LT~Gliederung 9"/>
    <w:basedOn w:val="LTGliederung8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10">
    <w:name w:val="Рисунок с подписью~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10">
    <w:name w:val="Рисунок с подписью~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10">
    <w:name w:val="Рисунок с подписью~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10">
    <w:name w:val="Рисунок с подписью~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10">
    <w:name w:val="Рисунок с подписью~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Style44">
    <w:name w:val="ВКР_Шрифт_Размер_Отступ"/>
    <w:basedOn w:val="Normal"/>
    <w:qFormat/>
    <w:pPr/>
    <w:rPr>
      <w:rFonts w:eastAsia="Calibri"/>
    </w:rPr>
  </w:style>
  <w:style w:type="paragraph" w:styleId="Style45">
    <w:name w:val="Заголовок таблицы"/>
    <w:basedOn w:val="Style22"/>
    <w:qFormat/>
    <w:pPr>
      <w:suppressLineNumbers/>
      <w:jc w:val="center"/>
    </w:pPr>
    <w:rPr>
      <w:b/>
      <w:bCs/>
    </w:rPr>
  </w:style>
  <w:style w:type="paragraph" w:styleId="Style46">
    <w:name w:val="Текст в заданном формате"/>
    <w:basedOn w:val="Normal"/>
    <w:qFormat/>
    <w:pPr>
      <w:spacing w:before="0" w:after="0"/>
    </w:pPr>
    <w:rPr>
      <w:rFonts w:ascii="Liberation Mono" w:hAnsi="Liberation Mono" w:eastAsia="Liberation Mono" w:cs="Liberation Mono"/>
      <w:sz w:val="20"/>
      <w:szCs w:val="20"/>
    </w:rPr>
  </w:style>
  <w:style w:type="numbering" w:styleId="Style47">
    <w:name w:val="Без списка"/>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2.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872</TotalTime>
  <Application>LibreOffice/24.2.4.2$Windows_X86_64 LibreOffice_project/51a6219feb6075d9a4c46691dcfe0cd9c4fff3c2</Application>
  <AppVersion>15.0000</AppVersion>
  <Pages>54</Pages>
  <Words>7077</Words>
  <Characters>50229</Characters>
  <CharactersWithSpaces>56684</CharactersWithSpaces>
  <Paragraphs>645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2018-06-03T19:43:00Z</dcterms:created>
  <dc:creator>user</dc:creator>
  <dc:description/>
  <dc:language>ru-RU</dc:language>
  <cp:lastModifiedBy/>
  <cp:lastPrinted>2018-06-04T12:42:00Z</cp:lastPrinted>
  <dcterms:modified xsi:type="dcterms:W3CDTF">2026-06-03T08:23:15Z</dcterms:modified>
  <cp:revision>237</cp:revision>
  <dc:subject/>
  <dc:title/>
</cp:coreProperties>
</file>

<file path=docProps/custom.xml><?xml version="1.0" encoding="utf-8"?>
<Properties xmlns="http://schemas.openxmlformats.org/officeDocument/2006/custom-properties" xmlns:vt="http://schemas.openxmlformats.org/officeDocument/2006/docPropsVTypes"/>
</file>