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jc w:val="center"/>
            <w:rPr>
              <w:rFonts w:ascii="Times New Roman" w:hAnsi="Times New Roman" w:cs="Tahoma"/>
              <w:b w:val="false"/>
              <w:bCs w:val="false"/>
              <w:color w:val="000000"/>
              <w:sz w:val="28"/>
              <w:szCs w:val="32"/>
              <w:lang w:eastAsia="ru-RU"/>
            </w:rPr>
          </w:pPr>
          <w:r>
            <w:rPr>
              <w:rFonts w:cs="Tahoma"/>
              <w:b w:val="false"/>
              <w:bCs w:val="false"/>
              <w:color w:val="000000"/>
              <w:sz w:val="28"/>
              <w:szCs w:val="32"/>
              <w:lang w:eastAsia="ru-RU"/>
            </w:rPr>
            <w:t>Содержание</w:t>
          </w:r>
        </w:p>
        <w:p>
          <w:pPr>
            <w:pStyle w:val="TOC1"/>
            <w:tabs>
              <w:tab w:val="clear" w:pos="708"/>
              <w:tab w:val="right" w:pos="9355" w:leader="dot"/>
            </w:tabs>
            <w:rPr/>
          </w:pPr>
          <w:r>
            <w:fldChar w:fldCharType="begin"/>
          </w:r>
          <w:r>
            <w:rPr>
              <w:rStyle w:val="Style16"/>
            </w:rPr>
            <w:instrText xml:space="preserve"> TOC \o "1-3" \h</w:instrText>
          </w:r>
          <w:r>
            <w:rPr>
              <w:rStyle w:val="Style16"/>
            </w:rPr>
            <w:fldChar w:fldCharType="separate"/>
          </w:r>
          <w:hyperlink w:anchor="__RefHeading___Toc22169_2829662935">
            <w:r>
              <w:rPr>
                <w:rStyle w:val="Style16"/>
              </w:rPr>
              <w:t>Введение</w:t>
              <w:tab/>
              <w:t>2</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5</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53</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54</w:t>
            </w:r>
          </w:hyperlink>
        </w:p>
        <w:p>
          <w:pPr>
            <w:pStyle w:val="TOC1"/>
            <w:tabs>
              <w:tab w:val="clear" w:pos="708"/>
              <w:tab w:val="right" w:pos="9355" w:leader="dot"/>
            </w:tabs>
            <w:rPr/>
          </w:pPr>
          <w:hyperlink w:anchor="__RefHeading___Toc22211_2829662935">
            <w:r>
              <w:rPr>
                <w:rStyle w:val="Style16"/>
              </w:rPr>
              <w:t>Заключение</w:t>
              <w:tab/>
              <w:t>59</w:t>
            </w:r>
          </w:hyperlink>
        </w:p>
        <w:p>
          <w:pPr>
            <w:pStyle w:val="TOC1"/>
            <w:tabs>
              <w:tab w:val="clear" w:pos="708"/>
              <w:tab w:val="right" w:pos="9355" w:leader="dot"/>
            </w:tabs>
            <w:rPr/>
          </w:pPr>
          <w:hyperlink w:anchor="__RefHeading___Toc22213_2829662935">
            <w:r>
              <w:rPr>
                <w:rStyle w:val="Style16"/>
              </w:rPr>
              <w:t>Список литературы</w:t>
              <w:tab/>
              <w:t>61</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Объектом исследования в выпускной квалификационной работе является торговая организация ООО «Авангард».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Предмет исследования –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 xml:space="preserve">Целью выпускной квалификационной работы является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ООО «Авангард»</w:t>
      </w:r>
      <w:r>
        <w:rPr>
          <w:rFonts w:eastAsia="Times New Roman" w:cs="Times New Roman"/>
          <w:sz w:val="28"/>
          <w:szCs w:val="28"/>
        </w:rPr>
        <w:t>.</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Для достижения поставленной цели в работе необходимо решить следующие задачи:</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изучить методы и модели анализа данных для оценки благонадежности поставщика товаров;</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описать характеристика деятельности и организационную структуру управления ООО «Авангард»;</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анализ бизнес процесса закупки товаров и выбора поставщика и сформировать предложения по автоматизации;</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сравнительный анализ рынка аналогичного ПО;</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разработать информационную системы для рассматриваемого бизнес процесса;</w:t>
      </w:r>
    </w:p>
    <w:p>
      <w:pPr>
        <w:pStyle w:val="ListParagraph"/>
        <w:numPr>
          <w:ilvl w:val="0"/>
          <w:numId w:val="12"/>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оценить экономическую эффективность проекта.</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8"/>
        </w:numPr>
        <w:jc w:val="center"/>
        <w:rPr>
          <w:rFonts w:ascii="Times New Roman" w:hAnsi="Times New Roman" w:eastAsia="Cambria"/>
          <w:b w:val="false"/>
          <w:color w:val="auto"/>
        </w:rPr>
      </w:pPr>
      <w:bookmarkStart w:id="3" w:name="__RefHeading___Toc22171_2829662935"/>
      <w:bookmarkStart w:id="4" w:name="_Toc515886984"/>
      <w:bookmarkStart w:id="5" w:name="_Hlk51521730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fill="FFFFFF" w:val="clear"/>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fill="FFFFFF" w:val="clear"/>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fill="FFFFFF" w:val="clear"/>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fill="FFFFFF" w:val="clear"/>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2"/>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fill="FFFFFF" w:val="clear"/>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fill="FFFFFF" w:val="clear"/>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fill="FFFFFF" w:val="clear"/>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fill="FFFFFF" w:val="clear"/>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false"/>
        <w:spacing w:lineRule="auto" w:line="360"/>
        <w:ind w:hanging="0" w:left="0"/>
        <w:jc w:val="center"/>
        <w:rPr/>
      </w:pPr>
      <w:r>
        <w:rPr/>
      </w:r>
      <w:r>
        <w:br w:type="page"/>
      </w:r>
    </w:p>
    <w:p>
      <w:pPr>
        <w:pStyle w:val="Normal"/>
        <w:numPr>
          <w:ilvl w:val="1"/>
          <w:numId w:val="8"/>
        </w:numPr>
        <w:spacing w:before="0" w:after="160"/>
        <w:jc w:val="center"/>
        <w:rPr/>
      </w:pPr>
      <w:bookmarkStart w:id="7" w:name="__RefHeading___Toc22173_2829662935"/>
      <w:bookmarkStart w:id="8" w:name="_Toc515886985"/>
      <w:bookmarkEnd w:id="7"/>
      <w:r>
        <w:rPr/>
        <w:t>Характеристика деятельности ООО «Авангард»</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ООО  «Авангард» – компания, основным видом деятельности которой является розничная торговля сувенирной продукции. Формой собственности компании «Авангард» является общество с ограниченной ответственностью.</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24 марта 2011 г. регистратором Межрайонной инспекции Федеральной налоговой службы № 46 в городе Санкт-Петербург. В состав компании входит 5 магазинов, в которых осуществляется процесс продажи товаров, и центральный офис, в который поступает полная информация со всех подчиненных ему объектов. Каждая торговая точка расположена в том же городе, где находится основное отделение компании.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9"/>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8"/>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ООО «Авангард»</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«ООО «Авангард»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ООО «Авангард».</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4"/>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4"/>
      <w:bookmarkStart w:id="14" w:name="OLE_LINK25"/>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4_Копия_1"/>
      <w:bookmarkStart w:id="16" w:name="OLE_LINK25_Копия_1"/>
      <w:bookmarkStart w:id="17" w:name="OLE_LINK24_Копия_1"/>
      <w:bookmarkStart w:id="18" w:name="OLE_LINK25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ООО «Авангард» представлена на рисунке 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6"/>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7"/>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1"/>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ООО «Авангард»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1"/>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1"/>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2"/>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fill="FFFFFF" w:val="clear"/>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добавления программных модулей</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Да, как администратор, так и пользователь</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Нет</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fill="FFFFFF" w:val="clear"/>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1"/>
        </w:numPr>
        <w:jc w:val="center"/>
        <w:rPr>
          <w:rFonts w:ascii="Times New Roman" w:hAnsi="Times New Roman" w:cs="Times New Roman"/>
          <w:color w:val="auto"/>
          <w:sz w:val="28"/>
          <w:szCs w:val="28"/>
        </w:rPr>
      </w:pPr>
      <w:bookmarkStart w:id="29" w:name="__RefHeading___Toc22185_2829662935"/>
      <w:bookmarkStart w:id="30" w:name="_Toc509339939"/>
      <w:bookmarkStart w:id="31" w:name="_Toc509264823"/>
      <w:bookmarkStart w:id="32" w:name="_Toc484799749"/>
      <w:bookmarkStart w:id="33" w:name="_Toc510113486"/>
      <w:bookmarkStart w:id="34" w:name="_Toc515886991"/>
      <w:bookmarkStart w:id="35" w:name="_Toc509663655"/>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7"/>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7"/>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8"/>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9"/>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9"/>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10"/>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10"/>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10"/>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10"/>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9.</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8"/>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fill="FFFFFF" w:val="clear"/>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3"/>
        </w:numPr>
        <w:shd w:fill="FFFFFF" w:val="clear"/>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3"/>
        </w:numPr>
        <w:shd w:fill="FFFFFF" w:val="clear"/>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3"/>
        </w:numPr>
        <w:shd w:fill="FFFFFF" w:val="clear"/>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fill="FFFFFF" w:val="clear"/>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fill="FFFFFF" w:val="clear"/>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fill="FFFFFF" w:val="clear"/>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fill="FFFFFF" w:val="clear"/>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1435100</wp:posOffset>
                </wp:positionH>
                <wp:positionV relativeFrom="paragraph">
                  <wp:posOffset>1819910</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3pt;margin-top:143.2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4359275</wp:posOffset>
                </wp:positionH>
                <wp:positionV relativeFrom="paragraph">
                  <wp:posOffset>1819910</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3.25pt;margin-top:143.2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9"/>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fill="FFFFFF" w:val="clear"/>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fill="FFFFFF" w:val="clear"/>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fill="FFFFFF" w:val="clear"/>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fill="FFFFFF" w:val="clear"/>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fill="FFFFFF" w:val="clear"/>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514667811"/>
      <w:bookmarkStart w:id="88" w:name="_Toc515886995"/>
      <w:bookmarkStart w:id="89" w:name="_Toc484799750"/>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0"/>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1"/>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fill="FFFFFF" w:val="clear"/>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fill="FFFFFF" w:val="clear"/>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fill="FFFFFF" w:val="clear"/>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2"/>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5"/>
      <w:bookmarkStart w:id="93" w:name="OLE_LINK66"/>
      <w:bookmarkStart w:id="94" w:name="OLE_LINK64"/>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50"/>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3"/>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w:t>
      </w:r>
      <w:r>
        <w:rPr>
          <w:rFonts w:cs="Times New Roman"/>
          <w:sz w:val="28"/>
          <w:szCs w:val="28"/>
          <w:lang w:eastAsia="ru-RU"/>
        </w:rPr>
        <w:t>Поставщики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4"/>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8"/>
      <w:bookmarkStart w:id="125" w:name="OLE_LINK67"/>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4"/>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4"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5"/>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6"/>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7"/>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8"/>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19"/>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3.9 – </w:t>
      </w:r>
      <w:r>
        <w:rPr>
          <w:rFonts w:cs="Times New Roman"/>
          <w:sz w:val="28"/>
          <w:szCs w:val="28"/>
          <w:lang w:eastAsia="ru-RU"/>
        </w:rPr>
        <w:t>Форма</w:t>
      </w:r>
      <w:r>
        <w:rPr>
          <w:rFonts w:cs="Times New Roman"/>
          <w:sz w:val="28"/>
          <w:szCs w:val="28"/>
          <w:lang w:eastAsia="ru-RU"/>
        </w:rPr>
        <w:t xml:space="preserve">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-1080135</wp:posOffset>
            </wp:positionH>
            <wp:positionV relativeFrom="paragraph">
              <wp:posOffset>8255</wp:posOffset>
            </wp:positionV>
            <wp:extent cx="4069080" cy="3391535"/>
            <wp:effectExtent l="0" t="0" r="0" b="0"/>
            <wp:wrapTopAndBottom/>
            <wp:docPr id="24" name="Изображение7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Копия 1" descr=""/>
                    <pic:cNvPicPr>
                      <a:picLocks noChangeAspect="1" noChangeArrowheads="1"/>
                    </pic:cNvPicPr>
                  </pic:nvPicPr>
                  <pic:blipFill>
                    <a:blip r:embed="rId20"/>
                    <a:stretch>
                      <a:fillRect/>
                    </a:stretch>
                  </pic:blipFill>
                  <pic:spPr bwMode="auto">
                    <a:xfrm>
                      <a:off x="0" y="0"/>
                      <a:ext cx="4069080" cy="3391535"/>
                    </a:xfrm>
                    <a:prstGeom prst="rect">
                      <a:avLst/>
                    </a:prstGeom>
                  </pic:spPr>
                </pic:pic>
              </a:graphicData>
            </a:graphic>
          </wp:anchor>
        </w:drawing>
        <w:drawing>
          <wp:anchor behindDoc="0" distT="0" distB="0" distL="0" distR="0" simplePos="0" locked="0" layoutInCell="0" allowOverlap="1" relativeHeight="27">
            <wp:simplePos x="0" y="0"/>
            <wp:positionH relativeFrom="column">
              <wp:posOffset>2892425</wp:posOffset>
            </wp:positionH>
            <wp:positionV relativeFrom="paragraph">
              <wp:posOffset>55880</wp:posOffset>
            </wp:positionV>
            <wp:extent cx="3587115" cy="3077210"/>
            <wp:effectExtent l="0" t="0" r="0" b="0"/>
            <wp:wrapTopAndBottom/>
            <wp:docPr id="25" name="Изображение8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8 Копия 1" descr=""/>
                    <pic:cNvPicPr>
                      <a:picLocks noChangeAspect="1" noChangeArrowheads="1"/>
                    </pic:cNvPicPr>
                  </pic:nvPicPr>
                  <pic:blipFill>
                    <a:blip r:embed="rId21"/>
                    <a:stretch>
                      <a:fillRect/>
                    </a:stretch>
                  </pic:blipFill>
                  <pic:spPr bwMode="auto">
                    <a:xfrm>
                      <a:off x="0" y="0"/>
                      <a:ext cx="3587115" cy="307721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8">
            <wp:simplePos x="0" y="0"/>
            <wp:positionH relativeFrom="column">
              <wp:posOffset>42545</wp:posOffset>
            </wp:positionH>
            <wp:positionV relativeFrom="paragraph">
              <wp:posOffset>42545</wp:posOffset>
            </wp:positionV>
            <wp:extent cx="5940425" cy="2131695"/>
            <wp:effectExtent l="0" t="0" r="0" b="0"/>
            <wp:wrapTopAndBottom/>
            <wp:docPr id="26"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9" descr=""/>
                    <pic:cNvPicPr>
                      <a:picLocks noChangeAspect="1" noChangeArrowheads="1"/>
                    </pic:cNvPicPr>
                  </pic:nvPicPr>
                  <pic:blipFill>
                    <a:blip r:embed="rId22"/>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9">
            <wp:simplePos x="0" y="0"/>
            <wp:positionH relativeFrom="column">
              <wp:posOffset>0</wp:posOffset>
            </wp:positionH>
            <wp:positionV relativeFrom="paragraph">
              <wp:posOffset>201295</wp:posOffset>
            </wp:positionV>
            <wp:extent cx="5940425" cy="2141220"/>
            <wp:effectExtent l="0" t="0" r="0" b="0"/>
            <wp:wrapTopAndBottom/>
            <wp:docPr id="27"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10" descr=""/>
                    <pic:cNvPicPr>
                      <a:picLocks noChangeAspect="1" noChangeArrowheads="1"/>
                    </pic:cNvPicPr>
                  </pic:nvPicPr>
                  <pic:blipFill>
                    <a:blip r:embed="rId23"/>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3.12 – </w:t>
      </w:r>
      <w:r>
        <w:rPr>
          <w:rFonts w:cs="Times New Roman"/>
          <w:sz w:val="28"/>
          <w:szCs w:val="28"/>
          <w:lang w:eastAsia="ru-RU"/>
        </w:rPr>
        <w:t>Рейтинг поставщиков</w:t>
      </w:r>
    </w:p>
    <w:p>
      <w:pPr>
        <w:pStyle w:val="Normal"/>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.1.3. Регистры накопления</w:t>
      </w:r>
      <w:bookmarkEnd w:id="210"/>
    </w:p>
    <w:p>
      <w:pPr>
        <w:pStyle w:val="Normal"/>
        <w:spacing w:lineRule="auto" w:line="360" w:before="0" w:after="0"/>
        <w:ind w:firstLine="709"/>
        <w:jc w:val="both"/>
        <w:rPr>
          <w:rFonts w:ascii="Times New Roman" w:hAnsi="Times New Roman" w:cs="Times New Roman"/>
          <w:sz w:val="28"/>
          <w:szCs w:val="28"/>
        </w:rPr>
      </w:pPr>
      <w:bookmarkStart w:id="211" w:name="OLE_LINK6"/>
      <w:bookmarkStart w:id="212" w:name="OLE_LINK7"/>
      <w:bookmarkEnd w:id="211"/>
      <w:bookmarkEnd w:id="212"/>
      <w:r>
        <w:rPr>
          <w:rFonts w:cs="Times New Roman"/>
          <w:sz w:val="28"/>
          <w:szCs w:val="28"/>
        </w:rPr>
        <w:t>Р</w:t>
      </w:r>
      <w:bookmarkStart w:id="213" w:name="OLE_LINK5"/>
      <w:bookmarkStart w:id="214" w:name="OLE_LINK4"/>
      <w:r>
        <w:rPr>
          <w:rFonts w:cs="Times New Roman"/>
          <w:sz w:val="28"/>
          <w:szCs w:val="28"/>
        </w:rPr>
        <w:t>егистры накопления -</w:t>
      </w:r>
      <w:r>
        <w:rPr>
          <w:rFonts w:cs="Times New Roman"/>
          <w:sz w:val="28"/>
          <w:szCs w:val="28"/>
          <w:shd w:fill="FFFFFF" w:val="clear"/>
        </w:rPr>
        <w:t xml:space="preserve"> это таблицы для накопления оперативных данных и получения сводной информации.</w:t>
      </w:r>
    </w:p>
    <w:p>
      <w:pPr>
        <w:pStyle w:val="ListParagraph"/>
        <w:spacing w:lineRule="auto" w:line="360" w:before="0" w:after="0"/>
        <w:ind w:firstLine="709" w:left="0"/>
        <w:contextualSpacing/>
        <w:rPr>
          <w:rFonts w:ascii="Times New Roman" w:hAnsi="Times New Roman"/>
          <w:sz w:val="28"/>
          <w:szCs w:val="28"/>
        </w:rPr>
      </w:pPr>
      <w:bookmarkStart w:id="215" w:name="OLE_LINK7_Копия_1"/>
      <w:bookmarkStart w:id="216" w:name="OLE_LINK6_Копия_1"/>
      <w:bookmarkStart w:id="217" w:name="OLE_LINK1"/>
      <w:bookmarkStart w:id="218" w:name="OLE_LINK2"/>
      <w:bookmarkStart w:id="219" w:name="OLE_LINK3"/>
      <w:bookmarkEnd w:id="213"/>
      <w:bookmarkEnd w:id="214"/>
      <w:bookmarkEnd w:id="215"/>
      <w:bookmarkEnd w:id="216"/>
      <w:bookmarkEnd w:id="217"/>
      <w:bookmarkEnd w:id="218"/>
      <w:bookmarkEnd w:id="219"/>
      <w:r>
        <w:rPr>
          <w:sz w:val="28"/>
          <w:szCs w:val="28"/>
        </w:rPr>
        <w:t>Структура и свойства реквизитов регистров сведений и накоплении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накопления</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2_Копия_1"/>
      <w:bookmarkStart w:id="232" w:name="OLE_LINK3_Копия_1"/>
      <w:bookmarkStart w:id="233" w:name="OLE_LINK1_Копия_1"/>
      <w:bookmarkStart w:id="234" w:name="OLE_LINK2_Копия_1"/>
      <w:bookmarkStart w:id="235" w:name="OLE_LINK3_Копия_1"/>
      <w:bookmarkStart w:id="236" w:name="OLE_LINK1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 накопления «Результаты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8"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38" descr=""/>
                    <pic:cNvPicPr>
                      <a:picLocks noChangeAspect="1" noChangeArrowheads="1"/>
                    </pic:cNvPicPr>
                  </pic:nvPicPr>
                  <pic:blipFill>
                    <a:blip r:embed="rId24"/>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накопления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0">
            <wp:simplePos x="0" y="0"/>
            <wp:positionH relativeFrom="column">
              <wp:posOffset>0</wp:posOffset>
            </wp:positionH>
            <wp:positionV relativeFrom="paragraph">
              <wp:posOffset>190500</wp:posOffset>
            </wp:positionV>
            <wp:extent cx="5940425" cy="969010"/>
            <wp:effectExtent l="0" t="0" r="0" b="0"/>
            <wp:wrapTopAndBottom/>
            <wp:docPr id="29"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1" descr=""/>
                    <pic:cNvPicPr>
                      <a:picLocks noChangeAspect="1" noChangeArrowheads="1"/>
                    </pic:cNvPicPr>
                  </pic:nvPicPr>
                  <pic:blipFill>
                    <a:blip r:embed="rId25"/>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накопления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940425" cy="1803400"/>
            <wp:effectExtent l="0" t="0" r="0" b="0"/>
            <wp:wrapTopAndBottom/>
            <wp:docPr id="30"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2" descr=""/>
                    <pic:cNvPicPr>
                      <a:picLocks noChangeAspect="1" noChangeArrowheads="1"/>
                    </pic:cNvPicPr>
                  </pic:nvPicPr>
                  <pic:blipFill>
                    <a:blip r:embed="rId26"/>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4"/>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4"/>
        </w:numPr>
        <w:rPr/>
      </w:pPr>
      <w:bookmarkStart w:id="243" w:name="__RefHeading___Toc3380_4046097046"/>
      <w:bookmarkEnd w:id="243"/>
      <w:r>
        <w:rPr/>
        <w:t>Генерация синтетического обучающего набора данных.</w:t>
      </w:r>
    </w:p>
    <w:p>
      <w:pPr>
        <w:pStyle w:val="Normal"/>
        <w:numPr>
          <w:ilvl w:val="0"/>
          <w:numId w:val="14"/>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4"/>
        </w:numPr>
        <w:rPr/>
      </w:pPr>
      <w:bookmarkStart w:id="245" w:name="__RefHeading___Toc3384_4046097046"/>
      <w:bookmarkEnd w:id="245"/>
      <w:r>
        <w:rPr/>
        <w:t>Применение техник балансировки данных (SMOTE).</w:t>
      </w:r>
    </w:p>
    <w:p>
      <w:pPr>
        <w:pStyle w:val="Normal"/>
        <w:numPr>
          <w:ilvl w:val="0"/>
          <w:numId w:val="14"/>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5"/>
        </w:numPr>
        <w:rPr/>
      </w:pPr>
      <w:bookmarkStart w:id="254" w:name="__RefHeading___Toc3402_4046097046"/>
      <w:bookmarkEnd w:id="254"/>
      <w:r>
        <w:rPr/>
        <w:t>Общее количество негативных факторов.</w:t>
      </w:r>
    </w:p>
    <w:p>
      <w:pPr>
        <w:pStyle w:val="Normal"/>
        <w:numPr>
          <w:ilvl w:val="0"/>
          <w:numId w:val="15"/>
        </w:numPr>
        <w:rPr/>
      </w:pPr>
      <w:bookmarkStart w:id="255" w:name="__RefHeading___Toc3404_4046097046"/>
      <w:bookmarkEnd w:id="255"/>
      <w:r>
        <w:rPr/>
        <w:t>Индекс стабильности поставщика.</w:t>
      </w:r>
    </w:p>
    <w:p>
      <w:pPr>
        <w:pStyle w:val="Normal"/>
        <w:numPr>
          <w:ilvl w:val="0"/>
          <w:numId w:val="15"/>
        </w:numPr>
        <w:rPr/>
      </w:pPr>
      <w:bookmarkStart w:id="256" w:name="__RefHeading___Toc3406_4046097046"/>
      <w:bookmarkEnd w:id="256"/>
      <w:r>
        <w:rPr/>
        <w:t>Взаимодействия между ключевыми рисковыми факторами.</w:t>
      </w:r>
    </w:p>
    <w:p>
      <w:pPr>
        <w:pStyle w:val="Normal"/>
        <w:numPr>
          <w:ilvl w:val="0"/>
          <w:numId w:val="15"/>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r>
    </w:p>
    <w:p>
      <w:pPr>
        <w:pStyle w:val="Normal"/>
        <w:rPr/>
      </w:pPr>
      <w:bookmarkStart w:id="259" w:name="__RefHeading___Toc3412_4046097046"/>
      <w:bookmarkEnd w:id="259"/>
      <w:r>
        <w:rPr/>
        <w:tab/>
        <w:t>Метод create_super_ensemble:</w:t>
      </w:r>
    </w:p>
    <w:p>
      <w:pPr>
        <w:pStyle w:val="Normal"/>
        <w:rPr/>
      </w:pPr>
      <w:bookmarkStart w:id="260" w:name="__RefHeading___Toc3414_4046097046"/>
      <w:bookmarkEnd w:id="260"/>
      <w:r>
        <w:rPr/>
        <w:tab/>
        <w:t>Реализует ансамблевую модель на основе стекинга (StackingClassifier). В качестве базовых моделей используются:</w:t>
      </w:r>
    </w:p>
    <w:p>
      <w:pPr>
        <w:pStyle w:val="Normal"/>
        <w:numPr>
          <w:ilvl w:val="0"/>
          <w:numId w:val="16"/>
        </w:numPr>
        <w:rPr/>
      </w:pPr>
      <w:bookmarkStart w:id="261" w:name="__RefHeading___Toc3416_4046097046"/>
      <w:bookmarkEnd w:id="261"/>
      <w:r>
        <w:rPr/>
        <w:t>RandomForestClassifier с балансировкой классов.</w:t>
      </w:r>
    </w:p>
    <w:p>
      <w:pPr>
        <w:pStyle w:val="Normal"/>
        <w:numPr>
          <w:ilvl w:val="0"/>
          <w:numId w:val="16"/>
        </w:numPr>
        <w:rPr/>
      </w:pPr>
      <w:bookmarkStart w:id="262" w:name="__RefHeading___Toc3418_4046097046"/>
      <w:bookmarkEnd w:id="262"/>
      <w:r>
        <w:rPr/>
        <w:t>BalancedRandomForestClassifier.</w:t>
      </w:r>
    </w:p>
    <w:p>
      <w:pPr>
        <w:pStyle w:val="Normal"/>
        <w:numPr>
          <w:ilvl w:val="0"/>
          <w:numId w:val="16"/>
        </w:numPr>
        <w:rPr/>
      </w:pPr>
      <w:bookmarkStart w:id="263" w:name="__RefHeading___Toc3420_4046097046"/>
      <w:bookmarkEnd w:id="263"/>
      <w:r>
        <w:rPr/>
        <w:t>XGBoost.</w:t>
      </w:r>
    </w:p>
    <w:p>
      <w:pPr>
        <w:pStyle w:val="Normal"/>
        <w:numPr>
          <w:ilvl w:val="0"/>
          <w:numId w:val="16"/>
        </w:numPr>
        <w:rPr/>
      </w:pPr>
      <w:bookmarkStart w:id="264" w:name="__RefHeading___Toc3422_4046097046"/>
      <w:bookmarkEnd w:id="264"/>
      <w:r>
        <w:rPr/>
        <w:t>GradientBoostingClassifier.</w:t>
      </w:r>
    </w:p>
    <w:p>
      <w:pPr>
        <w:pStyle w:val="Normal"/>
        <w:rPr/>
      </w:pPr>
      <w:bookmarkStart w:id="265" w:name="__RefHeading___Toc3424_4046097046"/>
      <w:bookmarkEnd w:id="265"/>
      <w:r>
        <w:rPr/>
        <w:tab/>
        <w:t>В качестве метамодели применяется логистическая регрессия. Такой подход позволяет объединить сильные стороны различных алгоритмов и повысить общую точность прогнозирования.</w:t>
      </w:r>
    </w:p>
    <w:p>
      <w:pPr>
        <w:pStyle w:val="Normal"/>
        <w:rPr/>
      </w:pPr>
      <w:bookmarkStart w:id="266" w:name="__RefHeading___Toc3426_4046097046"/>
      <w:bookmarkEnd w:id="266"/>
      <w:r>
        <w:rPr/>
        <w:tab/>
        <w:t>Метод train_high_accuracy_model:</w:t>
      </w:r>
    </w:p>
    <w:p>
      <w:pPr>
        <w:pStyle w:val="Normal"/>
        <w:rPr/>
      </w:pPr>
      <w:bookmarkStart w:id="267" w:name="__RefHeading___Toc3428_4046097046"/>
      <w:bookmarkEnd w:id="267"/>
      <w:r>
        <w:rPr/>
        <w:tab/>
        <w:t>Осуществляет полный цикл обучения модели:</w:t>
      </w:r>
    </w:p>
    <w:p>
      <w:pPr>
        <w:pStyle w:val="Normal"/>
        <w:numPr>
          <w:ilvl w:val="0"/>
          <w:numId w:val="17"/>
        </w:numPr>
        <w:rPr/>
      </w:pPr>
      <w:bookmarkStart w:id="268" w:name="__RefHeading___Toc3430_4046097046"/>
      <w:bookmarkEnd w:id="268"/>
      <w:r>
        <w:rPr/>
        <w:t>Генерация синтетического набора данных.</w:t>
      </w:r>
    </w:p>
    <w:p>
      <w:pPr>
        <w:pStyle w:val="Normal"/>
        <w:numPr>
          <w:ilvl w:val="0"/>
          <w:numId w:val="17"/>
        </w:numPr>
        <w:rPr/>
      </w:pPr>
      <w:bookmarkStart w:id="269" w:name="__RefHeading___Toc3432_4046097046"/>
      <w:bookmarkEnd w:id="269"/>
      <w:r>
        <w:rPr/>
        <w:t>Расширение признакового пространства.</w:t>
      </w:r>
    </w:p>
    <w:p>
      <w:pPr>
        <w:pStyle w:val="Normal"/>
        <w:numPr>
          <w:ilvl w:val="0"/>
          <w:numId w:val="17"/>
        </w:numPr>
        <w:rPr/>
      </w:pPr>
      <w:bookmarkStart w:id="270" w:name="__RefHeading___Toc3434_4046097046"/>
      <w:bookmarkEnd w:id="270"/>
      <w:r>
        <w:rPr/>
        <w:t>Балансировка классов с помощью SMOTE.</w:t>
      </w:r>
    </w:p>
    <w:p>
      <w:pPr>
        <w:pStyle w:val="Normal"/>
        <w:numPr>
          <w:ilvl w:val="0"/>
          <w:numId w:val="17"/>
        </w:numPr>
        <w:rPr/>
      </w:pPr>
      <w:bookmarkStart w:id="271" w:name="__RefHeading___Toc3436_4046097046"/>
      <w:bookmarkEnd w:id="271"/>
      <w:r>
        <w:rPr/>
        <w:t>Разделение данных на обучающую и тестовую выборки.</w:t>
      </w:r>
    </w:p>
    <w:p>
      <w:pPr>
        <w:pStyle w:val="Normal"/>
        <w:numPr>
          <w:ilvl w:val="0"/>
          <w:numId w:val="17"/>
        </w:numPr>
        <w:rPr/>
      </w:pPr>
      <w:bookmarkStart w:id="272" w:name="__RefHeading___Toc3438_4046097046"/>
      <w:bookmarkEnd w:id="272"/>
      <w:r>
        <w:rPr/>
        <w:t>Масштабирование и преобразование признаков.</w:t>
      </w:r>
    </w:p>
    <w:p>
      <w:pPr>
        <w:pStyle w:val="Normal"/>
        <w:numPr>
          <w:ilvl w:val="0"/>
          <w:numId w:val="17"/>
        </w:numPr>
        <w:rPr/>
      </w:pPr>
      <w:bookmarkStart w:id="273" w:name="__RefHeading___Toc3440_4046097046"/>
      <w:bookmarkEnd w:id="273"/>
      <w:r>
        <w:rPr/>
        <w:t>Обучение ансамблевой модели.</w:t>
      </w:r>
    </w:p>
    <w:p>
      <w:pPr>
        <w:pStyle w:val="Normal"/>
        <w:numPr>
          <w:ilvl w:val="0"/>
          <w:numId w:val="17"/>
        </w:numPr>
        <w:rPr/>
      </w:pPr>
      <w:bookmarkStart w:id="274" w:name="__RefHeading___Toc3442_4046097046"/>
      <w:bookmarkEnd w:id="274"/>
      <w:r>
        <w:rPr/>
        <w:t>Оценка качества модели на тестовых данных.</w:t>
      </w:r>
    </w:p>
    <w:p>
      <w:pPr>
        <w:pStyle w:val="Normal"/>
        <w:rPr/>
      </w:pPr>
      <w:bookmarkStart w:id="275" w:name="__RefHeading___Toc3444_4046097046"/>
      <w:bookmarkEnd w:id="275"/>
      <w:r>
        <w:rPr/>
        <w:tab/>
        <w:t>Метод predict_risk:</w:t>
      </w:r>
    </w:p>
    <w:p>
      <w:pPr>
        <w:pStyle w:val="Normal"/>
        <w:rPr/>
      </w:pPr>
      <w:bookmarkStart w:id="276" w:name="__RefHeading___Toc3446_4046097046"/>
      <w:bookmarkEnd w:id="276"/>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77" w:name="__RefHeading___Toc3448_4046097046"/>
      <w:bookmarkEnd w:id="277"/>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p>
    <w:p>
      <w:pPr>
        <w:pStyle w:val="Normal"/>
        <w:rPr/>
      </w:pPr>
      <w:r>
        <w:rPr/>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78" w:name="__RefHeading___Toc3450_4046097046"/>
      <w:bookmarkEnd w:id="278"/>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79" w:name="__RefHeading___Toc3452_4046097046"/>
      <w:bookmarkEnd w:id="279"/>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80" w:name="__RefHeading___Toc3454_4046097046"/>
      <w:bookmarkEnd w:id="280"/>
      <w:r>
        <w:drawing>
          <wp:anchor behindDoc="0" distT="0" distB="0" distL="0" distR="0" simplePos="0" locked="0" layoutInCell="0" allowOverlap="1" relativeHeight="32">
            <wp:simplePos x="0" y="0"/>
            <wp:positionH relativeFrom="column">
              <wp:posOffset>1092200</wp:posOffset>
            </wp:positionH>
            <wp:positionV relativeFrom="paragraph">
              <wp:posOffset>70485</wp:posOffset>
            </wp:positionV>
            <wp:extent cx="3755390" cy="4862195"/>
            <wp:effectExtent l="0" t="0" r="0" b="0"/>
            <wp:wrapTopAndBottom/>
            <wp:docPr id="31"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13" descr=""/>
                    <pic:cNvPicPr>
                      <a:picLocks noChangeAspect="1" noChangeArrowheads="1"/>
                    </pic:cNvPicPr>
                  </pic:nvPicPr>
                  <pic:blipFill>
                    <a:blip r:embed="rId27"/>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81" w:name="__RefHeading___Toc3456_4046097046"/>
      <w:bookmarkEnd w:id="281"/>
      <w:r>
        <w:rPr>
          <w:b w:val="false"/>
          <w:color w:val="auto"/>
        </w:rPr>
        <w:tab/>
        <w:t>Архитектура Python-сервиса включает следующие основные компоненты (Рисунок 3.16):</w:t>
      </w:r>
    </w:p>
    <w:p>
      <w:pPr>
        <w:pStyle w:val="Normal"/>
        <w:rPr/>
      </w:pPr>
      <w:bookmarkStart w:id="282" w:name="__RefHeading___Toc3458_4046097046"/>
      <w:bookmarkEnd w:id="282"/>
      <w:r>
        <w:rPr/>
        <w:tab/>
      </w:r>
      <w:r>
        <w:rPr>
          <w:lang w:val="ru-RU"/>
        </w:rPr>
        <w:t>Переменные окружения (</w:t>
      </w:r>
      <w:r>
        <w:rPr/>
        <w:t xml:space="preserve">env.py </w:t>
      </w:r>
      <w:r>
        <w:rPr>
          <w:lang w:val="ru-RU"/>
        </w:rPr>
        <w:t>и .</w:t>
      </w:r>
      <w:r>
        <w:rPr/>
        <w:t xml:space="preserve">env) </w:t>
      </w:r>
      <w:r>
        <w:rPr>
          <w:lang w:val="ru-RU"/>
        </w:rPr>
        <w:t>нужны для:\</w:t>
      </w:r>
    </w:p>
    <w:p>
      <w:pPr>
        <w:pStyle w:val="Normal"/>
        <w:numPr>
          <w:ilvl w:val="0"/>
          <w:numId w:val="18"/>
        </w:numPr>
        <w:rPr/>
      </w:pPr>
      <w:bookmarkStart w:id="283" w:name="__RefHeading___Toc3460_4046097046"/>
      <w:bookmarkEnd w:id="283"/>
      <w:r>
        <w:rPr>
          <w:lang w:val="ru-RU"/>
        </w:rPr>
        <w:t xml:space="preserve">Хранения переменных окружения (ключ </w:t>
      </w:r>
      <w:r>
        <w:rPr>
          <w:b w:val="false"/>
          <w:color w:val="auto"/>
          <w:lang w:val="ru-RU"/>
        </w:rPr>
        <w:t>API "Репутация")</w:t>
      </w:r>
    </w:p>
    <w:p>
      <w:pPr>
        <w:pStyle w:val="Normal"/>
        <w:ind w:hanging="0" w:left="720"/>
        <w:rPr/>
      </w:pPr>
      <w:bookmarkStart w:id="284" w:name="__RefHeading___Toc3462_4046097046"/>
      <w:bookmarkEnd w:id="284"/>
      <w:r>
        <w:rPr>
          <w:lang w:val="ru-RU"/>
        </w:rPr>
        <w:t xml:space="preserve">Логирование событий </w:t>
      </w:r>
      <w:r>
        <w:rPr/>
        <w:t>Python-</w:t>
      </w:r>
      <w:r>
        <w:rPr>
          <w:lang w:val="ru-RU"/>
        </w:rPr>
        <w:t>сервиса (</w:t>
      </w:r>
      <w:r>
        <w:rPr/>
        <w:t>log.py</w:t>
      </w:r>
      <w:r>
        <w:rPr>
          <w:lang w:val="ru-RU"/>
        </w:rPr>
        <w:t>) позволяют производить</w:t>
      </w:r>
      <w:r>
        <w:rPr/>
        <w:t>:</w:t>
      </w:r>
    </w:p>
    <w:p>
      <w:pPr>
        <w:pStyle w:val="Normal"/>
        <w:numPr>
          <w:ilvl w:val="0"/>
          <w:numId w:val="18"/>
        </w:numPr>
        <w:rPr/>
      </w:pPr>
      <w:bookmarkStart w:id="285" w:name="__RefHeading___Toc3464_4046097046"/>
      <w:bookmarkEnd w:id="285"/>
      <w:r>
        <w:rPr/>
        <w:t>Отслеживание, анализ и отладку работы системы</w:t>
      </w:r>
    </w:p>
    <w:p>
      <w:pPr>
        <w:pStyle w:val="Normal"/>
        <w:numPr>
          <w:ilvl w:val="0"/>
          <w:numId w:val="18"/>
        </w:numPr>
        <w:rPr/>
      </w:pPr>
      <w:r>
        <w:rPr/>
        <w:t>Находить и исправлять ошибки, контролировать процессы</w:t>
        <w:tab/>
      </w:r>
    </w:p>
    <w:p>
      <w:pPr>
        <w:pStyle w:val="Normal"/>
        <w:rPr/>
      </w:pPr>
      <w:bookmarkStart w:id="286" w:name="__RefHeading___Toc3470_4046097046"/>
      <w:bookmarkEnd w:id="286"/>
      <w:r>
        <w:rPr/>
        <w:tab/>
      </w:r>
    </w:p>
    <w:p>
      <w:pPr>
        <w:pStyle w:val="Normal"/>
        <w:rPr/>
      </w:pPr>
      <w:r>
        <w:rPr/>
        <w:tab/>
        <w:t>FastAPI-приложение (app.py) выступает в качестве точки входа и обеспечивает:</w:t>
      </w:r>
    </w:p>
    <w:p>
      <w:pPr>
        <w:pStyle w:val="Normal"/>
        <w:numPr>
          <w:ilvl w:val="0"/>
          <w:numId w:val="24"/>
        </w:numPr>
        <w:rPr/>
      </w:pPr>
      <w:bookmarkStart w:id="287" w:name="__RefHeading___Toc3472_4046097046"/>
      <w:bookmarkEnd w:id="287"/>
      <w:r>
        <w:rPr/>
        <w:t>Обработку HTTP-запросов от клиентской части на 1С</w:t>
      </w:r>
    </w:p>
    <w:p>
      <w:pPr>
        <w:pStyle w:val="Normal"/>
        <w:numPr>
          <w:ilvl w:val="0"/>
          <w:numId w:val="24"/>
        </w:numPr>
        <w:rPr/>
      </w:pPr>
      <w:bookmarkStart w:id="288" w:name="__RefHeading___Toc3474_4046097046"/>
      <w:bookmarkEnd w:id="288"/>
      <w:r>
        <w:rPr/>
        <w:t>Управление жизненным циклом приложения через контекстные менеджеры</w:t>
      </w:r>
    </w:p>
    <w:p>
      <w:pPr>
        <w:pStyle w:val="Normal"/>
        <w:numPr>
          <w:ilvl w:val="0"/>
          <w:numId w:val="24"/>
        </w:numPr>
        <w:rPr/>
      </w:pPr>
      <w:bookmarkStart w:id="289" w:name="__RefHeading___Toc3476_4046097046"/>
      <w:bookmarkEnd w:id="289"/>
      <w:r>
        <w:rPr/>
        <w:t>Настройку CORS-политик для кросс-доменных запросов</w:t>
      </w:r>
    </w:p>
    <w:p>
      <w:pPr>
        <w:pStyle w:val="Normal"/>
        <w:numPr>
          <w:ilvl w:val="0"/>
          <w:numId w:val="24"/>
        </w:numPr>
        <w:rPr/>
      </w:pPr>
      <w:bookmarkStart w:id="290" w:name="__RefHeading___Toc3478_4046097046"/>
      <w:bookmarkEnd w:id="290"/>
      <w:r>
        <w:rPr/>
        <w:t>Маршрутизацию запросов к соответствующим обработчикам</w:t>
      </w:r>
    </w:p>
    <w:p>
      <w:pPr>
        <w:pStyle w:val="Normal"/>
        <w:rPr/>
      </w:pPr>
      <w:r>
        <w:rPr/>
      </w:r>
    </w:p>
    <w:p>
      <w:pPr>
        <w:pStyle w:val="Normal"/>
        <w:rPr/>
      </w:pPr>
      <w:bookmarkStart w:id="291" w:name="__RefHeading___Toc3480_4046097046"/>
      <w:bookmarkEnd w:id="291"/>
      <w:r>
        <w:rPr/>
        <w:tab/>
        <w:t>Модуль HTTP-запросов (queries.py) предоставляет:</w:t>
      </w:r>
    </w:p>
    <w:p>
      <w:pPr>
        <w:pStyle w:val="Normal"/>
        <w:numPr>
          <w:ilvl w:val="0"/>
          <w:numId w:val="19"/>
        </w:numPr>
        <w:rPr/>
      </w:pPr>
      <w:bookmarkStart w:id="292" w:name="__RefHeading___Toc3482_4046097046"/>
      <w:bookmarkEnd w:id="292"/>
      <w:r>
        <w:rPr/>
        <w:t>Асинхронные клиенты для выполнения HTTP-запросов</w:t>
      </w:r>
    </w:p>
    <w:p>
      <w:pPr>
        <w:pStyle w:val="Normal"/>
        <w:numPr>
          <w:ilvl w:val="0"/>
          <w:numId w:val="19"/>
        </w:numPr>
        <w:rPr/>
      </w:pPr>
      <w:bookmarkStart w:id="293" w:name="__RefHeading___Toc3484_4046097046"/>
      <w:bookmarkEnd w:id="293"/>
      <w:r>
        <w:rPr/>
        <w:t>Обработку ошибок и таймаутов при работе с внешними API</w:t>
      </w:r>
    </w:p>
    <w:p>
      <w:pPr>
        <w:pStyle w:val="Normal"/>
        <w:numPr>
          <w:ilvl w:val="0"/>
          <w:numId w:val="19"/>
        </w:numPr>
        <w:rPr/>
      </w:pPr>
      <w:bookmarkStart w:id="294" w:name="__RefHeading___Toc3486_4046097046"/>
      <w:bookmarkEnd w:id="294"/>
      <w:r>
        <w:rPr/>
        <w:t>Унифицированный интерфейс для взаимодействия с различными сервисами</w:t>
      </w:r>
    </w:p>
    <w:p>
      <w:pPr>
        <w:pStyle w:val="Normal"/>
        <w:rPr/>
      </w:pPr>
      <w:r>
        <w:rPr/>
      </w:r>
    </w:p>
    <w:p>
      <w:pPr>
        <w:pStyle w:val="Normal"/>
        <w:rPr/>
      </w:pPr>
      <w:bookmarkStart w:id="295" w:name="__RefHeading___Toc3488_4046097046"/>
      <w:bookmarkEnd w:id="295"/>
      <w:r>
        <w:rPr/>
        <w:tab/>
        <w:t>Модуль роутинга (routers.py) определяет конечные точки API, где:</w:t>
      </w:r>
    </w:p>
    <w:p>
      <w:pPr>
        <w:pStyle w:val="Normal"/>
        <w:numPr>
          <w:ilvl w:val="0"/>
          <w:numId w:val="25"/>
        </w:numPr>
        <w:rPr/>
      </w:pPr>
      <w:bookmarkStart w:id="296" w:name="__RefHeading___Toc3490_4046097046"/>
      <w:bookmarkEnd w:id="296"/>
      <w:r>
        <w:rPr/>
        <w:t>Реализован эндпоинт /api/v1/check для обработки POST-запросов</w:t>
      </w:r>
    </w:p>
    <w:p>
      <w:pPr>
        <w:pStyle w:val="Normal"/>
        <w:numPr>
          <w:ilvl w:val="0"/>
          <w:numId w:val="25"/>
        </w:numPr>
        <w:rPr/>
      </w:pPr>
      <w:bookmarkStart w:id="297" w:name="__RefHeading___Toc3492_4046097046"/>
      <w:bookmarkEnd w:id="297"/>
      <w:r>
        <w:rPr/>
        <w:t>Организован пайплайн обработки данных: получение → преобразование → анализ → возврат результатов</w:t>
      </w:r>
    </w:p>
    <w:p>
      <w:pPr>
        <w:pStyle w:val="Normal"/>
        <w:numPr>
          <w:ilvl w:val="0"/>
          <w:numId w:val="25"/>
        </w:numPr>
        <w:rPr/>
      </w:pPr>
      <w:bookmarkStart w:id="298" w:name="__RefHeading___Toc3494_4046097046"/>
      <w:bookmarkEnd w:id="298"/>
      <w:r>
        <w:rPr/>
        <w:t>Обеспечена интеграция с внешними сервисами и ML-моделью</w:t>
      </w:r>
    </w:p>
    <w:p>
      <w:pPr>
        <w:pStyle w:val="Normal"/>
        <w:rPr/>
      </w:pPr>
      <w:bookmarkStart w:id="299" w:name="__RefHeading___Toc3496_4046097046"/>
      <w:bookmarkEnd w:id="299"/>
      <w:r>
        <w:rPr/>
        <w:tab/>
        <w:t>Утилиты обработки данных (utils.py) содержат:</w:t>
      </w:r>
    </w:p>
    <w:p>
      <w:pPr>
        <w:pStyle w:val="Normal"/>
        <w:numPr>
          <w:ilvl w:val="0"/>
          <w:numId w:val="20"/>
        </w:numPr>
        <w:rPr/>
      </w:pPr>
      <w:bookmarkStart w:id="300" w:name="__RefHeading___Toc3498_4046097046"/>
      <w:bookmarkEnd w:id="300"/>
      <w:r>
        <w:rPr/>
        <w:t>Функции для взаимодействия с API сервиса "Репутация"</w:t>
      </w:r>
    </w:p>
    <w:p>
      <w:pPr>
        <w:pStyle w:val="Normal"/>
        <w:numPr>
          <w:ilvl w:val="0"/>
          <w:numId w:val="20"/>
        </w:numPr>
        <w:rPr/>
      </w:pPr>
      <w:bookmarkStart w:id="301" w:name="__RefHeading___Toc3500_4046097046"/>
      <w:bookmarkEnd w:id="301"/>
      <w:r>
        <w:rPr/>
        <w:t>Алгоритмы преобразования сырых данных в признаки для ML-модели</w:t>
      </w:r>
    </w:p>
    <w:p>
      <w:pPr>
        <w:pStyle w:val="Normal"/>
        <w:numPr>
          <w:ilvl w:val="0"/>
          <w:numId w:val="20"/>
        </w:numPr>
        <w:rPr/>
      </w:pPr>
      <w:bookmarkStart w:id="302" w:name="__RefHeading___Toc3502_4046097046"/>
      <w:bookmarkEnd w:id="302"/>
      <w:r>
        <w:rPr/>
        <w:t>Методы извлечения и нормализации данных о компаниях</w:t>
      </w:r>
    </w:p>
    <w:p>
      <w:pPr>
        <w:pStyle w:val="Normal"/>
        <w:numPr>
          <w:ilvl w:val="0"/>
          <w:numId w:val="20"/>
        </w:numPr>
        <w:rPr/>
      </w:pPr>
      <w:bookmarkStart w:id="303" w:name="__RefHeading___Toc3504_4046097046"/>
      <w:bookmarkEnd w:id="303"/>
      <w:r>
        <w:rPr/>
        <w:t>Логику обработки ответов от внешних сервисов</w:t>
      </w:r>
    </w:p>
    <w:p>
      <w:pPr>
        <w:pStyle w:val="Normal"/>
        <w:rPr/>
      </w:pPr>
      <w:r>
        <w:rPr/>
      </w:r>
    </w:p>
    <w:p>
      <w:pPr>
        <w:pStyle w:val="Normal"/>
        <w:rPr/>
      </w:pPr>
      <w:bookmarkStart w:id="304" w:name="__RefHeading___Toc3506_4046097046"/>
      <w:bookmarkEnd w:id="304"/>
      <w:r>
        <w:rPr/>
        <w:tab/>
        <w:t>Модель машинного обучения (model.py) представляет собой ядро системы оценки и включает:</w:t>
      </w:r>
    </w:p>
    <w:p>
      <w:pPr>
        <w:pStyle w:val="Normal"/>
        <w:numPr>
          <w:ilvl w:val="0"/>
          <w:numId w:val="26"/>
        </w:numPr>
        <w:rPr/>
      </w:pPr>
      <w:bookmarkStart w:id="305" w:name="__RefHeading___Toc3508_4046097046"/>
      <w:bookmarkEnd w:id="305"/>
      <w:r>
        <w:rPr/>
        <w:t>Класс SupplierRiskModel для работы с ансамблевой моделью классификации</w:t>
      </w:r>
    </w:p>
    <w:p>
      <w:pPr>
        <w:pStyle w:val="Normal"/>
        <w:numPr>
          <w:ilvl w:val="0"/>
          <w:numId w:val="26"/>
        </w:numPr>
        <w:rPr/>
      </w:pPr>
      <w:bookmarkStart w:id="306" w:name="__RefHeading___Toc3510_4046097046"/>
      <w:bookmarkEnd w:id="306"/>
      <w:r>
        <w:rPr/>
        <w:t>Методы предобработки данных и извлечения признаков</w:t>
      </w:r>
    </w:p>
    <w:p>
      <w:pPr>
        <w:pStyle w:val="Normal"/>
        <w:numPr>
          <w:ilvl w:val="0"/>
          <w:numId w:val="26"/>
        </w:numPr>
        <w:rPr/>
      </w:pPr>
      <w:bookmarkStart w:id="307" w:name="__RefHeading___Toc3512_4046097046"/>
      <w:bookmarkEnd w:id="307"/>
      <w:r>
        <w:rPr/>
        <w:t>Алгоритмы расчета интегральных показателей риска</w:t>
      </w:r>
    </w:p>
    <w:p>
      <w:pPr>
        <w:pStyle w:val="Normal"/>
        <w:numPr>
          <w:ilvl w:val="0"/>
          <w:numId w:val="26"/>
        </w:numPr>
        <w:rPr/>
      </w:pPr>
      <w:bookmarkStart w:id="308" w:name="__RefHeading___Toc3514_4046097046"/>
      <w:bookmarkEnd w:id="308"/>
      <w:r>
        <w:rPr/>
        <w:t>Механизмы валидации и оценки качества предсказаний</w:t>
      </w:r>
      <w:r>
        <w:br w:type="page"/>
      </w:r>
    </w:p>
    <w:p>
      <w:pPr>
        <w:pStyle w:val="Normal"/>
        <w:spacing w:before="0" w:after="160"/>
        <w:rPr/>
      </w:pPr>
      <w:bookmarkStart w:id="309" w:name="__RefHeading___Toc3516_4046097046"/>
      <w:bookmarkEnd w:id="309"/>
      <w:r>
        <w:rPr/>
        <w:tab/>
        <w:t>Поставщик модели (model_provider.py) обеспечивает:</w:t>
      </w:r>
    </w:p>
    <w:p>
      <w:pPr>
        <w:pStyle w:val="Normal"/>
        <w:numPr>
          <w:ilvl w:val="0"/>
          <w:numId w:val="20"/>
        </w:numPr>
        <w:rPr/>
      </w:pPr>
      <w:bookmarkStart w:id="310" w:name="__RefHeading___Toc3518_4046097046"/>
      <w:bookmarkEnd w:id="310"/>
      <w:r>
        <w:rPr/>
        <w:t>Загрузку предобученных моделей из сериализованных файлов</w:t>
      </w:r>
    </w:p>
    <w:p>
      <w:pPr>
        <w:pStyle w:val="Normal"/>
        <w:numPr>
          <w:ilvl w:val="0"/>
          <w:numId w:val="20"/>
        </w:numPr>
        <w:rPr/>
      </w:pPr>
      <w:bookmarkStart w:id="311" w:name="__RefHeading___Toc3520_4046097046"/>
      <w:bookmarkEnd w:id="311"/>
      <w:r>
        <w:rPr/>
        <w:t>Управление жизненным циклом ML-моделей в производственной среде</w:t>
      </w:r>
    </w:p>
    <w:p>
      <w:pPr>
        <w:pStyle w:val="Normal"/>
        <w:numPr>
          <w:ilvl w:val="0"/>
          <w:numId w:val="20"/>
        </w:numPr>
        <w:rPr/>
      </w:pPr>
      <w:bookmarkStart w:id="312" w:name="__RefHeading___Toc3522_4046097046"/>
      <w:bookmarkEnd w:id="312"/>
      <w:r>
        <w:rPr/>
        <w:t>Изоляцию логики работы с моделями для упрощения поддержки</w:t>
      </w:r>
    </w:p>
    <w:p>
      <w:pPr>
        <w:pStyle w:val="Normal"/>
        <w:ind w:hanging="0" w:left="720"/>
        <w:rPr/>
      </w:pPr>
      <w:r>
        <w:rPr/>
      </w:r>
    </w:p>
    <w:p>
      <w:pPr>
        <w:pStyle w:val="Normal"/>
        <w:rPr/>
      </w:pPr>
      <w:r>
        <w:rPr/>
      </w:r>
    </w:p>
    <w:p>
      <w:pPr>
        <w:pStyle w:val="Normal"/>
        <w:rPr/>
      </w:pPr>
      <w:bookmarkStart w:id="313" w:name="__RefHeading___Toc3524_4046097046"/>
      <w:bookmarkEnd w:id="313"/>
      <w:r>
        <w:rPr/>
        <w:tab/>
        <w:t>Взаимодействие компонентов в процессе оценки поставщика происходит по следующему алгоритму:</w:t>
      </w:r>
    </w:p>
    <w:p>
      <w:pPr>
        <w:pStyle w:val="Normal"/>
        <w:numPr>
          <w:ilvl w:val="0"/>
          <w:numId w:val="21"/>
        </w:numPr>
        <w:rPr/>
      </w:pPr>
      <w:bookmarkStart w:id="314" w:name="__RefHeading___Toc3526_4046097046"/>
      <w:bookmarkEnd w:id="314"/>
      <w:r>
        <w:rPr/>
        <w:t>Клиентское приложение на 1С формирует JSON-запрос с ИНН поставщиков</w:t>
      </w:r>
    </w:p>
    <w:p>
      <w:pPr>
        <w:pStyle w:val="Normal"/>
        <w:numPr>
          <w:ilvl w:val="0"/>
          <w:numId w:val="21"/>
        </w:numPr>
        <w:rPr/>
      </w:pPr>
      <w:bookmarkStart w:id="315" w:name="__RefHeading___Toc3528_4046097046"/>
      <w:bookmarkEnd w:id="315"/>
      <w:r>
        <w:rPr/>
        <w:t>FastAPI-сервер принимает запрос и передает его в обработчик роутера</w:t>
      </w:r>
    </w:p>
    <w:p>
      <w:pPr>
        <w:pStyle w:val="Normal"/>
        <w:numPr>
          <w:ilvl w:val="0"/>
          <w:numId w:val="21"/>
        </w:numPr>
        <w:rPr/>
      </w:pPr>
      <w:bookmarkStart w:id="316" w:name="__RefHeading___Toc3530_4046097046"/>
      <w:bookmarkEnd w:id="316"/>
      <w:r>
        <w:rPr/>
        <w:t>Модуль утилит выполняет асинхронные запросы к API "Репутация"</w:t>
      </w:r>
    </w:p>
    <w:p>
      <w:pPr>
        <w:pStyle w:val="Normal"/>
        <w:numPr>
          <w:ilvl w:val="0"/>
          <w:numId w:val="21"/>
        </w:numPr>
        <w:rPr/>
      </w:pPr>
      <w:bookmarkStart w:id="317" w:name="__RefHeading___Toc3532_4046097046"/>
      <w:bookmarkEnd w:id="317"/>
      <w:r>
        <w:rPr/>
        <w:t>Полученные данные преобразуются в структурированные признаки</w:t>
      </w:r>
    </w:p>
    <w:p>
      <w:pPr>
        <w:pStyle w:val="Normal"/>
        <w:numPr>
          <w:ilvl w:val="0"/>
          <w:numId w:val="21"/>
        </w:numPr>
        <w:rPr/>
      </w:pPr>
      <w:bookmarkStart w:id="318" w:name="__RefHeading___Toc3534_4046097046"/>
      <w:bookmarkEnd w:id="318"/>
      <w:r>
        <w:rPr/>
        <w:t>ML-модель анализирует признаки и генерирует оценку надежности</w:t>
      </w:r>
    </w:p>
    <w:p>
      <w:pPr>
        <w:pStyle w:val="Normal"/>
        <w:numPr>
          <w:ilvl w:val="0"/>
          <w:numId w:val="21"/>
        </w:numPr>
        <w:rPr/>
      </w:pPr>
      <w:bookmarkStart w:id="319" w:name="__RefHeading___Toc3536_4046097046"/>
      <w:bookmarkEnd w:id="319"/>
      <w:r>
        <w:rPr/>
        <w:t>Результаты форматируются и возвращаются в 1С для отображения</w:t>
      </w:r>
    </w:p>
    <w:p>
      <w:pPr>
        <w:pStyle w:val="Normal"/>
        <w:rPr/>
      </w:pPr>
      <w:r>
        <w:rPr/>
      </w:r>
    </w:p>
    <w:p>
      <w:pPr>
        <w:pStyle w:val="Normal"/>
        <w:rPr/>
      </w:pPr>
      <w:bookmarkStart w:id="320" w:name="__RefHeading___Toc3538_4046097046"/>
      <w:bookmarkEnd w:id="320"/>
      <w:r>
        <w:rPr/>
        <w:tab/>
        <w:t>Преимущества выбранной архитектуры:</w:t>
      </w:r>
    </w:p>
    <w:p>
      <w:pPr>
        <w:pStyle w:val="Normal"/>
        <w:numPr>
          <w:ilvl w:val="0"/>
          <w:numId w:val="22"/>
        </w:numPr>
        <w:rPr/>
      </w:pPr>
      <w:bookmarkStart w:id="321" w:name="__RefHeading___Toc3540_4046097046"/>
      <w:bookmarkEnd w:id="321"/>
      <w:r>
        <w:rPr/>
        <w:t>Модульность: каждый компонент отвечает за конкретную задачу</w:t>
      </w:r>
    </w:p>
    <w:p>
      <w:pPr>
        <w:pStyle w:val="Normal"/>
        <w:numPr>
          <w:ilvl w:val="0"/>
          <w:numId w:val="22"/>
        </w:numPr>
        <w:rPr/>
      </w:pPr>
      <w:bookmarkStart w:id="322" w:name="__RefHeading___Toc3542_4046097046"/>
      <w:bookmarkEnd w:id="322"/>
      <w:r>
        <w:rPr/>
        <w:t>Масштабируемость: возможность независимого масштабирования компонентов</w:t>
      </w:r>
    </w:p>
    <w:p>
      <w:pPr>
        <w:pStyle w:val="Normal"/>
        <w:numPr>
          <w:ilvl w:val="0"/>
          <w:numId w:val="22"/>
        </w:numPr>
        <w:rPr/>
      </w:pPr>
      <w:bookmarkStart w:id="323" w:name="__RefHeading___Toc3544_4046097046"/>
      <w:bookmarkEnd w:id="323"/>
      <w:r>
        <w:rPr/>
        <w:t>Поддерживаемость: четкое разделение ответственности между модулями</w:t>
      </w:r>
    </w:p>
    <w:p>
      <w:pPr>
        <w:pStyle w:val="Normal"/>
        <w:numPr>
          <w:ilvl w:val="0"/>
          <w:numId w:val="22"/>
        </w:numPr>
        <w:rPr/>
      </w:pPr>
      <w:bookmarkStart w:id="324" w:name="__RefHeading___Toc3546_4046097046"/>
      <w:bookmarkEnd w:id="324"/>
      <w:r>
        <w:rPr/>
        <w:t>Интегрируемость: REST API позволяет легко интегрироваться с различными системами</w:t>
      </w:r>
    </w:p>
    <w:p>
      <w:pPr>
        <w:pStyle w:val="Normal"/>
        <w:rPr/>
      </w:pPr>
      <w:r>
        <w:rPr/>
      </w:r>
    </w:p>
    <w:p>
      <w:pPr>
        <w:pStyle w:val="Normal"/>
        <w:rPr/>
      </w:pPr>
      <w:bookmarkStart w:id="325" w:name="__RefHeading___Toc3548_4046097046"/>
      <w:bookmarkEnd w:id="325"/>
      <w:r>
        <w:rPr/>
        <w:tab/>
        <w:t>Экономическая эффективность решения обеспечивается за счет:</w:t>
      </w:r>
    </w:p>
    <w:p>
      <w:pPr>
        <w:pStyle w:val="Normal"/>
        <w:numPr>
          <w:ilvl w:val="0"/>
          <w:numId w:val="23"/>
        </w:numPr>
        <w:rPr/>
      </w:pPr>
      <w:bookmarkStart w:id="326" w:name="__RefHeading___Toc3550_4046097046"/>
      <w:bookmarkEnd w:id="326"/>
      <w:r>
        <w:rPr/>
        <w:t>Использования API "Репутация" с оплатой по запросам (2,5 рубля за проверку)</w:t>
      </w:r>
    </w:p>
    <w:p>
      <w:pPr>
        <w:pStyle w:val="Normal"/>
        <w:numPr>
          <w:ilvl w:val="0"/>
          <w:numId w:val="23"/>
        </w:numPr>
        <w:rPr/>
      </w:pPr>
      <w:bookmarkStart w:id="327" w:name="__RefHeading___Toc3552_4046097046"/>
      <w:bookmarkEnd w:id="327"/>
      <w:r>
        <w:rPr/>
        <w:t>Отсутствия ограничений на количество проверяемых организаций</w:t>
      </w:r>
    </w:p>
    <w:p>
      <w:pPr>
        <w:pStyle w:val="Normal"/>
        <w:numPr>
          <w:ilvl w:val="0"/>
          <w:numId w:val="23"/>
        </w:numPr>
        <w:rPr/>
      </w:pPr>
      <w:bookmarkStart w:id="328" w:name="__RefHeading___Toc3554_4046097046"/>
      <w:bookmarkEnd w:id="328"/>
      <w:r>
        <w:rPr/>
        <w:t>Минимизации затрат на инфраструктуру благодаря облачной архитектуре</w:t>
      </w:r>
    </w:p>
    <w:p>
      <w:pPr>
        <w:pStyle w:val="Normal"/>
        <w:rPr/>
      </w:pPr>
      <w:r>
        <w:rPr/>
      </w:r>
    </w:p>
    <w:p>
      <w:pPr>
        <w:pStyle w:val="Normal"/>
        <w:rPr/>
      </w:pPr>
      <w:bookmarkStart w:id="329" w:name="__RefHeading___Toc3556_4046097046"/>
      <w:bookmarkEnd w:id="329"/>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330" w:name="__RefHeading___Toc22201_2829662935"/>
      <w:bookmarkEnd w:id="330"/>
      <w:r>
        <w:rPr>
          <w:b w:val="false"/>
          <w:color w:val="auto"/>
          <w:lang w:val="ru-RU"/>
        </w:rPr>
        <w:t>4.</w:t>
      </w:r>
      <w:r>
        <w:rPr>
          <w:b w:val="false"/>
          <w:color w:val="auto"/>
          <w:lang w:val="en-US"/>
        </w:rPr>
        <w:t xml:space="preserve"> </w:t>
      </w:r>
      <w:bookmarkStart w:id="331" w:name="_Toc509339948"/>
      <w:bookmarkStart w:id="332" w:name="_Toc509663666"/>
      <w:bookmarkStart w:id="333" w:name="_Toc515887000"/>
      <w:bookmarkStart w:id="334" w:name="_Toc483260915"/>
      <w:r>
        <w:rPr>
          <w:b w:val="false"/>
          <w:color w:val="auto"/>
        </w:rPr>
        <w:t>Тестирование и опытная эксплуатация информационной системы</w:t>
      </w:r>
      <w:bookmarkEnd w:id="331"/>
      <w:bookmarkEnd w:id="332"/>
      <w:bookmarkEnd w:id="333"/>
      <w:bookmarkEnd w:id="334"/>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335" w:name="OLE_LINK86"/>
      <w:r>
        <w:rPr>
          <w:rFonts w:cs="Times New Roman"/>
          <w:sz w:val="28"/>
          <w:szCs w:val="28"/>
        </w:rPr>
        <w:t>В процессе проведения локальной отладки разработанного модуля были выполнены следующие тесты:</w:t>
      </w:r>
      <w:bookmarkEnd w:id="335"/>
    </w:p>
    <w:p>
      <w:pPr>
        <w:pStyle w:val="Normal"/>
        <w:numPr>
          <w:ilvl w:val="0"/>
          <w:numId w:val="27"/>
        </w:numPr>
        <w:suppressAutoHyphens w:val="true"/>
        <w:spacing w:lineRule="auto" w:line="360" w:before="0" w:after="0"/>
        <w:jc w:val="both"/>
        <w:rPr/>
      </w:pPr>
      <w:r>
        <w:rPr>
          <w:rFonts w:cs="Times New Roman"/>
          <w:sz w:val="28"/>
          <w:szCs w:val="28"/>
        </w:rPr>
        <w:t>З</w:t>
      </w:r>
      <w:r>
        <w:rPr>
          <w:rFonts w:cs="Times New Roman"/>
          <w:sz w:val="28"/>
          <w:szCs w:val="28"/>
        </w:rPr>
        <w:t>агрузка программы;</w:t>
      </w:r>
    </w:p>
    <w:p>
      <w:pPr>
        <w:pStyle w:val="Normal"/>
        <w:numPr>
          <w:ilvl w:val="0"/>
          <w:numId w:val="27"/>
        </w:numPr>
        <w:suppressAutoHyphens w:val="true"/>
        <w:spacing w:lineRule="auto" w:line="360" w:before="0" w:after="0"/>
        <w:jc w:val="both"/>
        <w:rPr/>
      </w:pPr>
      <w:r>
        <w:rPr>
          <w:rFonts w:cs="Times New Roman"/>
          <w:sz w:val="28"/>
          <w:szCs w:val="28"/>
        </w:rPr>
        <w:t>В</w:t>
      </w:r>
      <w:r>
        <w:rPr>
          <w:rFonts w:cs="Times New Roman"/>
          <w:sz w:val="28"/>
          <w:szCs w:val="28"/>
        </w:rPr>
        <w:t>вод пустого поля ИНН;</w:t>
      </w:r>
    </w:p>
    <w:p>
      <w:pPr>
        <w:pStyle w:val="Normal"/>
        <w:numPr>
          <w:ilvl w:val="0"/>
          <w:numId w:val="27"/>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27"/>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27"/>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27"/>
        </w:numPr>
        <w:rPr/>
      </w:pPr>
      <w:r>
        <w:rPr/>
        <w:t>Анализ сформированной выборки поставщиков</w:t>
      </w:r>
    </w:p>
    <w:p>
      <w:pPr>
        <w:pStyle w:val="Normal"/>
        <w:numPr>
          <w:ilvl w:val="0"/>
          <w:numId w:val="27"/>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336"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336"/>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337" w:name="__RefHeading___Toc22203_2829662935"/>
      <w:bookmarkEnd w:id="337"/>
      <w:r>
        <w:rPr>
          <w:b w:val="false"/>
          <w:color w:val="auto"/>
          <w:lang w:val="ru-RU"/>
        </w:rPr>
        <w:t>5</w:t>
      </w:r>
      <w:bookmarkStart w:id="338" w:name="_Toc515887001"/>
      <w:r>
        <w:rPr>
          <w:b w:val="false"/>
          <w:color w:val="auto"/>
          <w:lang w:val="en-US"/>
        </w:rPr>
        <w:t xml:space="preserve">. </w:t>
      </w:r>
      <w:r>
        <w:rPr>
          <w:b w:val="false"/>
          <w:color w:val="auto"/>
        </w:rPr>
        <w:t>Оценка экономической эффективности проекта</w:t>
      </w:r>
      <w:bookmarkEnd w:id="338"/>
    </w:p>
    <w:p>
      <w:pPr>
        <w:pStyle w:val="Normal"/>
        <w:jc w:val="center"/>
        <w:rPr>
          <w:rFonts w:ascii="Times New Roman" w:hAnsi="Times New Roman"/>
          <w:b w:val="false"/>
          <w:color w:val="auto"/>
        </w:rPr>
      </w:pPr>
      <w:bookmarkStart w:id="339" w:name="__RefHeading___Toc22205_2829662935"/>
      <w:bookmarkEnd w:id="339"/>
      <w:r>
        <w:rPr>
          <w:b w:val="false"/>
          <w:color w:val="auto"/>
        </w:rPr>
        <w:t xml:space="preserve">5.1. </w:t>
      </w:r>
      <w:bookmarkStart w:id="340" w:name="_Toc515887002"/>
      <w:bookmarkStart w:id="341" w:name="_Toc484018865"/>
      <w:r>
        <w:rPr>
          <w:b w:val="false"/>
          <w:color w:val="auto"/>
        </w:rPr>
        <w:t>Расчет затрат на разработку</w:t>
      </w:r>
      <w:bookmarkEnd w:id="340"/>
      <w:bookmarkEnd w:id="341"/>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4"/>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4"/>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5"/>
        <w:gridCol w:w="4598"/>
        <w:gridCol w:w="2346"/>
      </w:tblGrid>
      <w:tr>
        <w:trPr>
          <w:trHeight w:val="200" w:hRule="atLeast"/>
        </w:trPr>
        <w:tc>
          <w:tcPr>
            <w:tcW w:w="24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6"/>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6"/>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42" w:name="__RefHeading___Toc22207_2829662935"/>
      <w:bookmarkEnd w:id="342"/>
      <w:r>
        <w:rPr>
          <w:b w:val="false"/>
          <w:color w:val="auto"/>
        </w:rPr>
        <w:t xml:space="preserve">5.2. </w:t>
      </w:r>
      <w:bookmarkStart w:id="343" w:name="_Toc484018866"/>
      <w:bookmarkStart w:id="344" w:name="_Toc515887003"/>
      <w:r>
        <w:rPr>
          <w:b w:val="false"/>
          <w:color w:val="auto"/>
        </w:rPr>
        <w:t>Содержание и эксплуатация вычислительное техники</w:t>
      </w:r>
      <w:bookmarkEnd w:id="343"/>
      <w:bookmarkEnd w:id="344"/>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10"/>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1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45" w:name="__RefHeading___Toc22209_2829662935"/>
      <w:bookmarkEnd w:id="345"/>
      <w:r>
        <w:rPr>
          <w:b w:val="false"/>
          <w:color w:val="auto"/>
        </w:rPr>
        <w:t xml:space="preserve">5.3. </w:t>
      </w:r>
      <w:bookmarkStart w:id="346" w:name="_Toc515887004"/>
      <w:bookmarkStart w:id="347" w:name="_Toc484018867"/>
      <w:r>
        <w:rPr>
          <w:b w:val="false"/>
          <w:color w:val="auto"/>
        </w:rPr>
        <w:t>Экономический эффект</w:t>
      </w:r>
      <w:bookmarkEnd w:id="346"/>
      <w:bookmarkEnd w:id="347"/>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1"/>
        <w:gridCol w:w="1983"/>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48" w:name="__RefHeading___Toc22211_2829662935"/>
      <w:bookmarkStart w:id="349" w:name="_Toc515887005"/>
      <w:bookmarkEnd w:id="348"/>
      <w:r>
        <w:rPr>
          <w:b w:val="false"/>
          <w:color w:val="auto"/>
        </w:rPr>
        <w:t>Заключение</w:t>
      </w:r>
      <w:bookmarkEnd w:id="349"/>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w:t>
      </w:r>
      <w:bookmarkStart w:id="350" w:name="OLE_LINK196"/>
      <w:bookmarkStart w:id="351" w:name="OLE_LINK197"/>
      <w:bookmarkStart w:id="352" w:name="OLE_LINK198"/>
      <w:r>
        <w:rPr>
          <w:rFonts w:eastAsia="Times New Roman" w:cs="Times New Roman"/>
          <w:sz w:val="28"/>
          <w:szCs w:val="28"/>
        </w:rPr>
        <w:t>ООО</w:t>
      </w:r>
      <w:bookmarkEnd w:id="350"/>
      <w:bookmarkEnd w:id="351"/>
      <w:bookmarkEnd w:id="352"/>
      <w:r>
        <w:rPr>
          <w:rFonts w:eastAsia="Times New Roman" w:cs="Times New Roman"/>
          <w:sz w:val="28"/>
          <w:szCs w:val="28"/>
        </w:rPr>
        <w:t xml:space="preserve"> «Авангард», разработано и внедрено проектное решение по автоматизации </w:t>
      </w:r>
      <w:bookmarkStart w:id="353" w:name="OLE_LINK199"/>
      <w:bookmarkStart w:id="354" w:name="OLE_LINK200"/>
      <w:r>
        <w:rPr>
          <w:sz w:val="28"/>
          <w:szCs w:val="28"/>
        </w:rPr>
        <w:t xml:space="preserve">процесса </w:t>
      </w:r>
      <w:bookmarkEnd w:id="353"/>
      <w:bookmarkEnd w:id="354"/>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ООО «Авангард</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55" w:name="__RefHeading___Toc22213_2829662935"/>
      <w:bookmarkStart w:id="356" w:name="_Toc515887006"/>
      <w:bookmarkEnd w:id="355"/>
      <w:r>
        <w:rPr>
          <w:b w:val="false"/>
          <w:color w:val="auto"/>
        </w:rPr>
        <w:t>Список литературы</w:t>
      </w:r>
      <w:bookmarkEnd w:id="356"/>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p>
      <w:pPr>
        <w:pStyle w:val="ListParagraph"/>
        <w:numPr>
          <w:ilvl w:val="0"/>
          <w:numId w:val="13"/>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Методические указания по определению экономической эффективности научно-исследовательских работ и новой техники / Е.В. Габитова, В.В. Данилкин, Т.Ю. Старкова, под ред. В.В. Данилкина. – Челябинск: Издательский центр ЮУрГУ, 2011. – 40 с.</w:t>
      </w:r>
    </w:p>
    <w:sectPr>
      <w:footerReference w:type="even" r:id="rId28"/>
      <w:footerReference w:type="default" r:id="rId29"/>
      <w:footerReference w:type="first" r:id="rId30"/>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cc"/>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6">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7">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9">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0">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1">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3">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kinsoku w:val="true"/>
      <w:overflowPunct w:val="true"/>
      <w:autoSpaceDE w:val="true"/>
      <w:bidi w:val="0"/>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kinsoku w:val="true"/>
      <w:overflowPunct w:val="true"/>
      <w:autoSpaceDE w:val="true"/>
      <w:bidi w:val="0"/>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kinsoku w:val="true"/>
      <w:overflowPunct w:val="true"/>
      <w:autoSpaceDE w:val="true"/>
      <w:bidi w:val="0"/>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InternetLink4">
    <w:name w:val="Internet Link4"/>
    <w:qFormat/>
    <w:pPr>
      <w:widowControl w:val="false"/>
      <w:kinsoku w:val="true"/>
      <w:overflowPunct w:val="true"/>
      <w:autoSpaceDE w:val="true"/>
      <w:bidi w:val="0"/>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41">
    <w:name w:val="ListLabel 34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21">
    <w:name w:val="ListLabel 32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301">
    <w:name w:val="ListLabel 30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41">
    <w:name w:val="ListLabel 241"/>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235">
    <w:name w:val="ListLabel 235"/>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kinsoku w:val="true"/>
      <w:overflowPunct w:val="true"/>
      <w:autoSpaceDE w:val="true"/>
      <w:bidi w:val="0"/>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kinsoku w:val="true"/>
      <w:overflowPunct w:val="true"/>
      <w:autoSpaceDE w:val="true"/>
      <w:bidi w:val="0"/>
    </w:pPr>
    <w:rPr>
      <w:rFonts w:ascii="Wingdings" w:hAnsi="Wingdings" w:eastAsia="Tahoma" w:cs="Calibri"/>
      <w:color w:val="auto"/>
      <w:kern w:val="0"/>
      <w:sz w:val="24"/>
      <w:szCs w:val="24"/>
      <w:lang w:val="ru-RU" w:eastAsia="en-US" w:bidi="ar-SA"/>
    </w:rPr>
  </w:style>
  <w:style w:type="paragraph" w:styleId="ListLabel236">
    <w:name w:val="ListLabel 236"/>
    <w:qFormat/>
    <w:pPr>
      <w:widowControl w:val="false"/>
      <w:kinsoku w:val="true"/>
      <w:overflowPunct w:val="true"/>
      <w:autoSpaceDE w:val="true"/>
      <w:bidi w:val="0"/>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kinsoku w:val="true"/>
      <w:overflowPunct w:val="true"/>
      <w:autoSpaceDE w:val="true"/>
      <w:bidi w:val="0"/>
    </w:pPr>
    <w:rPr>
      <w:rFonts w:ascii="Symbol" w:hAnsi="Symbol" w:eastAsia="Tahoma" w:cs="Calibri"/>
      <w:color w:val="auto"/>
      <w:kern w:val="0"/>
      <w:sz w:val="24"/>
      <w:szCs w:val="24"/>
      <w:lang w:val="ru-RU" w:eastAsia="en-US" w:bidi="ar-SA"/>
    </w:rPr>
  </w:style>
  <w:style w:type="paragraph" w:styleId="InternetLink5">
    <w:name w:val="Internet Link5"/>
    <w:qFormat/>
    <w:pPr>
      <w:widowControl w:val="false"/>
      <w:kinsoku w:val="true"/>
      <w:overflowPunct w:val="true"/>
      <w:autoSpaceDE w:val="true"/>
      <w:bidi w:val="0"/>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kinsoku w:val="true"/>
      <w:overflowPunct w:val="true"/>
      <w:autoSpaceDE w:val="true"/>
      <w:bidi w:val="0"/>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kinsoku w:val="true"/>
      <w:overflowPunct w:val="true"/>
      <w:autoSpaceDE w:val="true"/>
      <w:bidi w:val="0"/>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InternetLink11">
    <w:name w:val="Internet Link11"/>
    <w:qFormat/>
    <w:pPr>
      <w:widowControl w:val="false"/>
      <w:kinsoku w:val="true"/>
      <w:overflowPunct w:val="true"/>
      <w:autoSpaceDE w:val="true"/>
      <w:bidi w:val="0"/>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kinsoku w:val="true"/>
      <w:overflowPunct w:val="true"/>
      <w:autoSpaceDE w:val="true"/>
      <w:bidi w:val="0"/>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kinsoku w:val="true"/>
      <w:overflowPunct w:val="true"/>
      <w:autoSpaceDE w:val="true"/>
      <w:bidi w:val="0"/>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kinsoku w:val="true"/>
      <w:overflowPunct w:val="true"/>
      <w:autoSpaceDE w:val="true"/>
      <w:bidi w:val="0"/>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kinsoku w:val="true"/>
      <w:overflowPunct w:val="true"/>
      <w:autoSpaceDE w:val="true"/>
      <w:bidi w:val="0"/>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kinsoku w:val="true"/>
      <w:overflowPunct w:val="true"/>
      <w:autoSpaceDE w:val="true"/>
      <w:bidi w:val="0"/>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kinsoku w:val="true"/>
      <w:overflowPunct w:val="true"/>
      <w:autoSpaceDE w:val="true"/>
      <w:bidi w:val="0"/>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kinsoku w:val="true"/>
      <w:overflowPunct w:val="true"/>
      <w:autoSpaceDE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kinsoku w:val="true"/>
      <w:overflowPunct w:val="true"/>
      <w:autoSpaceDE w:val="true"/>
      <w:bidi w:val="0"/>
      <w:spacing w:lineRule="atLeast" w:line="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kinsoku w:val="true"/>
      <w:overflowPunct w:val="true"/>
      <w:autoSpaceDE w:val="true"/>
      <w:bidi w:val="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kinsoku w:val="true"/>
      <w:overflowPunct w:val="true"/>
      <w:autoSpaceDE w:val="true"/>
      <w:bidi w:val="0"/>
      <w:ind w:hanging="340" w:left="340"/>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kinsoku w:val="true"/>
      <w:overflowPunct w:val="true"/>
      <w:autoSpaceDE w:val="true"/>
      <w:bidi w:val="0"/>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324</TotalTime>
  <Application>LibreOffice/24.2.4.2$Windows_X86_64 LibreOffice_project/51a6219feb6075d9a4c46691dcfe0cd9c4fff3c2</Application>
  <AppVersion>15.0000</AppVersion>
  <Pages>63</Pages>
  <Words>8868</Words>
  <Characters>62657</Characters>
  <CharactersWithSpaces>71053</CharactersWithSpaces>
  <Paragraphs>679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2025-12-06T23:48:19Z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file>