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media/image1.jpeg" ContentType="image/jpeg"/>
  <Override PartName="/word/media/image3.png" ContentType="image/png"/>
  <Override PartName="/word/media/image2.png" ContentType="image/png"/>
  <Override PartName="/word/media/image4.png" ContentType="image/png"/>
  <Override PartName="/word/media/image5.png" ContentType="image/png"/>
  <Override PartName="/word/media/image6.png" ContentType="image/png"/>
  <Override PartName="/word/media/image8.jpeg" ContentType="image/jpeg"/>
  <Override PartName="/word/media/image7.png" ContentType="image/png"/>
  <Override PartName="/word/media/image9.png" ContentType="image/png"/>
  <Override PartName="/word/media/image10.png" ContentType="image/png"/>
  <Override PartName="/word/media/image11.png" ContentType="image/png"/>
  <Override PartName="/word/media/image12.png" ContentType="image/png"/>
  <Override PartName="/word/media/image13.png" ContentType="image/png"/>
  <Override PartName="/word/media/image14.png" ContentType="image/png"/>
  <Override PartName="/word/media/image15.png" ContentType="image/png"/>
  <Override PartName="/word/media/image16.png" ContentType="image/png"/>
  <Override PartName="/word/media/image17.png" ContentType="image/png"/>
  <Override PartName="/word/media/image18.png" ContentType="image/png"/>
  <Override PartName="/word/media/image19.png" ContentType="image/png"/>
  <Override PartName="/word/media/image20.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footer2.xml" ContentType="application/vnd.openxmlformats-officedocument.wordprocessingml.footer+xml"/>
  <Override PartName="/word/numbering.xml" ContentType="application/vnd.openxmlformats-officedocument.wordprocessingml.numbering+xml"/>
  <Override PartName="/word/footer3.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sdt>
      <w:sdtPr>
        <w:docPartObj>
          <w:docPartGallery w:val="Table of Contents"/>
          <w:docPartUnique w:val="true"/>
        </w:docPartObj>
      </w:sdtPr>
      <w:sdtContent>
        <w:p>
          <w:pPr>
            <w:pStyle w:val="TOCHeading"/>
            <w:spacing w:lineRule="auto" w:line="259" w:before="240" w:after="0"/>
            <w:ind w:hanging="0" w:left="0"/>
            <w:jc w:val="center"/>
            <w:rPr>
              <w:rFonts w:ascii="Times New Roman" w:hAnsi="Times New Roman" w:cs="Tahoma"/>
              <w:b w:val="false"/>
              <w:bCs w:val="false"/>
              <w:color w:val="000000"/>
              <w:sz w:val="28"/>
              <w:szCs w:val="32"/>
              <w:lang w:eastAsia="ru-RU"/>
            </w:rPr>
          </w:pPr>
          <w:r>
            <w:rPr>
              <w:rFonts w:cs="Tahoma"/>
              <w:b w:val="false"/>
              <w:bCs w:val="false"/>
              <w:color w:val="000000"/>
              <w:sz w:val="28"/>
              <w:szCs w:val="32"/>
              <w:lang w:eastAsia="ru-RU"/>
            </w:rPr>
            <w:t>Содержание</w:t>
          </w:r>
        </w:p>
        <w:p>
          <w:pPr>
            <w:pStyle w:val="TOC1"/>
            <w:tabs>
              <w:tab w:val="clear" w:pos="708"/>
              <w:tab w:val="right" w:pos="9355" w:leader="dot"/>
            </w:tabs>
            <w:rPr/>
          </w:pPr>
          <w:r>
            <w:fldChar w:fldCharType="begin"/>
          </w:r>
          <w:r>
            <w:rPr>
              <w:rStyle w:val="Style16"/>
            </w:rPr>
            <w:instrText xml:space="preserve"> TOC \o "1-3" \h</w:instrText>
          </w:r>
          <w:r>
            <w:rPr>
              <w:rStyle w:val="Style16"/>
            </w:rPr>
            <w:fldChar w:fldCharType="separate"/>
          </w:r>
          <w:hyperlink w:anchor="__RefHeading___Toc22169_2829662935">
            <w:r>
              <w:rPr>
                <w:rStyle w:val="Style16"/>
              </w:rPr>
              <w:t>Введение</w:t>
            </w:r>
            <w:r>
              <w:rPr>
                <w:rStyle w:val="Style16"/>
              </w:rPr>
              <w:tab/>
              <w:t>2</w:t>
            </w:r>
          </w:hyperlink>
        </w:p>
        <w:p>
          <w:pPr>
            <w:pStyle w:val="TOC1"/>
            <w:tabs>
              <w:tab w:val="clear" w:pos="708"/>
              <w:tab w:val="right" w:pos="9355" w:leader="dot"/>
            </w:tabs>
            <w:rPr/>
          </w:pPr>
          <w:hyperlink w:anchor="__RefHeading___Toc37927_2829662935">
            <w:r>
              <w:rPr>
                <w:rStyle w:val="Style16"/>
              </w:rPr>
              <w:t>1. Теоретическая основа исследования</w:t>
              <w:tab/>
              <w:t>5</w:t>
            </w:r>
          </w:hyperlink>
        </w:p>
        <w:p>
          <w:pPr>
            <w:pStyle w:val="TOC1"/>
            <w:tabs>
              <w:tab w:val="clear" w:pos="708"/>
              <w:tab w:val="right" w:pos="9355" w:leader="dot"/>
            </w:tabs>
            <w:rPr/>
          </w:pPr>
          <w:hyperlink w:anchor="__RefHeading___Toc22187_2829662935">
            <w:r>
              <w:rPr>
                <w:rStyle w:val="Style16"/>
              </w:rPr>
              <w:t>2. Архитектурное решение</w:t>
              <w:tab/>
              <w:t>30</w:t>
            </w:r>
          </w:hyperlink>
        </w:p>
        <w:p>
          <w:pPr>
            <w:pStyle w:val="TOC1"/>
            <w:tabs>
              <w:tab w:val="clear" w:pos="708"/>
              <w:tab w:val="right" w:pos="9355" w:leader="dot"/>
            </w:tabs>
            <w:rPr/>
          </w:pPr>
          <w:hyperlink w:anchor="__RefHeading___Toc37925_2829662935">
            <w:r>
              <w:rPr>
                <w:rStyle w:val="Style16"/>
              </w:rPr>
              <w:t>3. Техническая реализация</w:t>
              <w:tab/>
              <w:t>34</w:t>
            </w:r>
          </w:hyperlink>
        </w:p>
        <w:p>
          <w:pPr>
            <w:pStyle w:val="TOC1"/>
            <w:tabs>
              <w:tab w:val="clear" w:pos="708"/>
              <w:tab w:val="right" w:pos="9355" w:leader="dot"/>
            </w:tabs>
            <w:rPr/>
          </w:pPr>
          <w:hyperlink w:anchor="__RefHeading___Toc22201_2829662935">
            <w:r>
              <w:rPr>
                <w:rStyle w:val="Style16"/>
              </w:rPr>
              <w:t>4. Тестирование и опытная эксплуатация информационной системы</w:t>
              <w:tab/>
              <w:t>53</w:t>
            </w:r>
          </w:hyperlink>
        </w:p>
        <w:p>
          <w:pPr>
            <w:pStyle w:val="TOC1"/>
            <w:tabs>
              <w:tab w:val="clear" w:pos="708"/>
              <w:tab w:val="right" w:pos="9355" w:leader="dot"/>
            </w:tabs>
            <w:rPr/>
          </w:pPr>
          <w:hyperlink w:anchor="__RefHeading___Toc22203_2829662935">
            <w:r>
              <w:rPr>
                <w:rStyle w:val="Style16"/>
              </w:rPr>
              <w:t>5. Оценка экономической эффективности проекта</w:t>
              <w:tab/>
              <w:t>54</w:t>
            </w:r>
          </w:hyperlink>
        </w:p>
        <w:p>
          <w:pPr>
            <w:pStyle w:val="TOC1"/>
            <w:tabs>
              <w:tab w:val="clear" w:pos="708"/>
              <w:tab w:val="right" w:pos="9355" w:leader="dot"/>
            </w:tabs>
            <w:rPr/>
          </w:pPr>
          <w:hyperlink w:anchor="__RefHeading___Toc22211_2829662935">
            <w:r>
              <w:rPr>
                <w:rStyle w:val="Style16"/>
              </w:rPr>
              <w:t>Заключение</w:t>
              <w:tab/>
              <w:t>59</w:t>
            </w:r>
          </w:hyperlink>
        </w:p>
        <w:p>
          <w:pPr>
            <w:pStyle w:val="TOC1"/>
            <w:tabs>
              <w:tab w:val="clear" w:pos="708"/>
              <w:tab w:val="right" w:pos="9355" w:leader="dot"/>
            </w:tabs>
            <w:rPr/>
          </w:pPr>
          <w:hyperlink w:anchor="__RefHeading___Toc22213_2829662935">
            <w:r>
              <w:rPr>
                <w:rStyle w:val="Style16"/>
              </w:rPr>
              <w:t>Список литературы</w:t>
              <w:tab/>
              <w:t>61</w:t>
            </w:r>
          </w:hyperlink>
          <w:r>
            <w:rPr>
              <w:rStyle w:val="Style16"/>
            </w:rPr>
            <w:fldChar w:fldCharType="end"/>
          </w:r>
        </w:p>
      </w:sdtContent>
    </w:sdt>
    <w:p>
      <w:pPr>
        <w:pStyle w:val="Normal"/>
        <w:rPr>
          <w:rFonts w:ascii="Times New Roman" w:hAnsi="Times New Roman" w:eastAsia="Cambria" w:cs="Times New Roman"/>
          <w:bCs/>
          <w:sz w:val="28"/>
          <w:szCs w:val="28"/>
        </w:rPr>
      </w:pPr>
      <w:r>
        <w:rPr>
          <w:rFonts w:eastAsia="Cambria" w:cs="Times New Roman"/>
          <w:bCs/>
          <w:sz w:val="28"/>
          <w:szCs w:val="28"/>
        </w:rPr>
      </w:r>
      <w:r>
        <w:br w:type="page"/>
      </w:r>
    </w:p>
    <w:p>
      <w:pPr>
        <w:pStyle w:val="Heading1"/>
        <w:spacing w:before="0" w:after="240"/>
        <w:ind w:hanging="0" w:left="0"/>
        <w:jc w:val="center"/>
        <w:rPr>
          <w:rFonts w:ascii="Times New Roman" w:hAnsi="Times New Roman" w:eastAsia="Cambria"/>
          <w:b w:val="false"/>
          <w:color w:val="auto"/>
        </w:rPr>
      </w:pPr>
      <w:bookmarkStart w:id="0" w:name="__RefHeading___Toc22169_2829662935"/>
      <w:bookmarkStart w:id="1" w:name="_Toc515886983"/>
      <w:bookmarkEnd w:id="0"/>
      <w:r>
        <w:rPr>
          <w:rFonts w:eastAsia="Cambria"/>
          <w:b w:val="false"/>
          <w:color w:val="auto"/>
        </w:rPr>
        <w:t>Введение</w:t>
      </w:r>
      <w:bookmarkEnd w:id="1"/>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тема, связанная с оценкой благонадежности поставщика, остается актуальной. Главной задачей сетевой торговли является обеспечение постоянного наличия и восполнения товарного ассортимента. В условиях конкуренции и стремительного развития рынка часто возникает необходимость в быстром и правильном выборе поставщика, работа с которым в конечном итоге принесла бы наибольший доход. Надежность поставщика является важным компонентом успеха и устойчивости компании. Как правило, надежные связи с поставщиками нарабатываются годами.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Для определения собственной стратегии в отношении поставщиков необходимо выполнить несколько этапов работ, а именно, проанализировать номенклатуру закупаемой продукции, определить роль поставщика для организации, оценить работу контрагента для установления продолжительного сотрудничества.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Ограниченность во времени – основная трудность, с которой сталкиваются компании в процессе поиска надежного партнера. Для того  чтобы найти подходящего поставщика, необходимо провести полноценное исследование: определиться с параметрами поиска, изучить имеющиеся источники информации, которых может быть огромное количество. В итоге, такой мониторинг может занять до нескольких месяцев, так как нужные сведения не всегда бывают в открытом доступе, а сами организации зачастую не сразу отвечают на запросы. Но, как правило, решение нужно принимать быстро, в течение нескольких дней или даже часов, и у компании просто нет времени на длительный поиск и изучение.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Главной проблемой при оценке благонадежности поставщика является отсутствие единого критерия оценивания. Эффективность закупочной деятельности во многом зависит от правильного выбора источника поставок. Поэтому каждая розничная организация стремится обеспечить долгосрочные договорные взаимоотношения с контрагентом. Но чтобы заключать договор сотрудничества на длительный период времени, компания должна быть уверена в качестве работы поставщика. Вследствие чего, торговые организации обращаются к анализу контрагентов, информацией о которых уже располагает компания.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заказу, может быть использована не только в узконаправленных целях предприятия, но и для проведения анализа контрагентов. [1]</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сегодняшних темпах роста использования информационных технологий в производстве и потреблении, количество информации в мире, по прогнозам исследователей, будет ежегодно удваиваться. Общее количество виртуальных и физических серверов вырастет предположительно в десятки раз. Таким образом, крайне остро встаёт вопрос эффективности использования накопленных данных, применения результатов их анализа в торговле и других сферах.</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основе вышесказанного, было принято решение о внедрении программного модуля, благодаря которому можно оценить благонадежность поставщика, а также, с помощью которого система на основе интеллектуального анализа данных предоставит информацию о важности контрагента и позволит выбрать альтернативного. В результате реализации такого функционала, оценка благонадежности поставщика станет простой задачей, не требующей затрат времени и средств.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Объектом исследования в выпускной квалификационной работе является торговая организация ООО «Авангард».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Предмет исследования – закупочная деятельность организации, в частности процесс </w:t>
      </w:r>
      <w:r>
        <w:rPr>
          <w:rFonts w:cs="Times New Roman"/>
          <w:color w:val="000000"/>
          <w:sz w:val="28"/>
          <w:szCs w:val="28"/>
          <w:shd w:fill="FFFFFF" w:val="clear"/>
        </w:rPr>
        <w:t>оценки благонадежности и выбора поставщика товаров</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sz w:val="28"/>
          <w:szCs w:val="28"/>
        </w:rPr>
        <w:t xml:space="preserve">Целью выпускной квалификационной работы является </w:t>
      </w:r>
      <w:r>
        <w:rPr>
          <w:rFonts w:cs="Times New Roman"/>
          <w:color w:val="000000"/>
          <w:sz w:val="28"/>
          <w:szCs w:val="28"/>
          <w:shd w:fill="FFFFFF" w:val="clear"/>
        </w:rPr>
        <w:t xml:space="preserve">разработка информационной системы оценки благонадежности поставщика товаров </w:t>
      </w:r>
      <w:r>
        <w:rPr>
          <w:rFonts w:eastAsia="Times New Roman" w:cs="Times New Roman"/>
          <w:sz w:val="28"/>
          <w:szCs w:val="28"/>
        </w:rPr>
        <w:t xml:space="preserve">для повышения качества и эффективности труда сотрудников </w:t>
      </w:r>
      <w:r>
        <w:rPr>
          <w:rFonts w:cs="Times New Roman"/>
          <w:color w:val="000000"/>
          <w:sz w:val="28"/>
          <w:szCs w:val="28"/>
          <w:shd w:fill="FFFFFF" w:val="clear"/>
        </w:rPr>
        <w:t>организации ООО «Авангард»</w:t>
      </w:r>
      <w:r>
        <w:rPr>
          <w:rFonts w:eastAsia="Times New Roman" w:cs="Times New Roman"/>
          <w:sz w:val="28"/>
          <w:szCs w:val="28"/>
        </w:rPr>
        <w:t>.</w:t>
      </w:r>
    </w:p>
    <w:p>
      <w:pPr>
        <w:pStyle w:val="Normal"/>
        <w:spacing w:lineRule="auto" w:line="360" w:before="0" w:after="0"/>
        <w:ind w:firstLine="709"/>
        <w:jc w:val="both"/>
        <w:rPr>
          <w:rFonts w:ascii="Times New Roman" w:hAnsi="Times New Roman" w:eastAsia="Times New Roman" w:cs="Times New Roman"/>
          <w:sz w:val="28"/>
          <w:szCs w:val="28"/>
        </w:rPr>
      </w:pPr>
      <w:r>
        <w:rPr>
          <w:rFonts w:eastAsia="Times New Roman" w:cs="Times New Roman"/>
          <w:sz w:val="28"/>
          <w:szCs w:val="28"/>
        </w:rPr>
        <w:t>Для достижения поставленной цели в работе необходимо решить следующие задачи:</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изучить методы и модели анализа данных для оценки благонадежности поставщика товаров;</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описать характеристика деятельности и организационную структуру управления ООО «Авангард»;</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провести анализ бизнес процесса закупки товаров и выбора поставщика и сформировать предложения по автоматизации;</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провести сравнительный анализ рынка аналогичного ПО;</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разработать информационную системы для рассматриваемого бизнес процесса;</w:t>
      </w:r>
    </w:p>
    <w:p>
      <w:pPr>
        <w:pStyle w:val="ListParagraph"/>
        <w:numPr>
          <w:ilvl w:val="0"/>
          <w:numId w:val="11"/>
        </w:numPr>
        <w:spacing w:lineRule="auto" w:line="360" w:before="0" w:after="0"/>
        <w:ind w:firstLine="709" w:left="0"/>
        <w:contextualSpacing/>
        <w:jc w:val="both"/>
        <w:rPr>
          <w:rFonts w:ascii="Times New Roman" w:hAnsi="Times New Roman" w:eastAsia="Times New Roman" w:cs="Times New Roman"/>
          <w:sz w:val="28"/>
          <w:szCs w:val="28"/>
        </w:rPr>
      </w:pPr>
      <w:r>
        <w:rPr>
          <w:rFonts w:eastAsia="Times New Roman" w:cs="Times New Roman"/>
          <w:sz w:val="28"/>
          <w:szCs w:val="28"/>
        </w:rPr>
        <w:t>оценить экономическую эффективность проекта.</w:t>
      </w:r>
    </w:p>
    <w:p>
      <w:pPr>
        <w:pStyle w:val="Normal"/>
        <w:spacing w:lineRule="auto" w:line="360" w:before="0" w:after="0"/>
        <w:jc w:val="both"/>
        <w:rPr>
          <w:rFonts w:ascii="Times New Roman" w:hAnsi="Times New Roman" w:eastAsia="Times New Roman" w:cs="Times New Roman"/>
          <w:sz w:val="28"/>
          <w:szCs w:val="28"/>
        </w:rPr>
      </w:pPr>
      <w:r>
        <w:rPr>
          <w:rFonts w:eastAsia="Times New Roman" w:cs="Times New Roman"/>
          <w:sz w:val="28"/>
          <w:szCs w:val="28"/>
        </w:rPr>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r>
        <w:br w:type="page"/>
      </w:r>
    </w:p>
    <w:p>
      <w:pPr>
        <w:pStyle w:val="Heading1"/>
        <w:spacing w:before="0" w:after="240"/>
        <w:ind w:hanging="0" w:left="0"/>
        <w:jc w:val="center"/>
        <w:rPr/>
      </w:pPr>
      <w:bookmarkStart w:id="2" w:name="__RefHeading___Toc37927_2829662935"/>
      <w:bookmarkEnd w:id="2"/>
      <w:r>
        <w:rPr/>
        <w:t>1. Теоретическая основа исследования</w:t>
      </w:r>
    </w:p>
    <w:p>
      <w:pPr>
        <w:pStyle w:val="Normal"/>
        <w:numPr>
          <w:ilvl w:val="1"/>
          <w:numId w:val="7"/>
        </w:numPr>
        <w:jc w:val="center"/>
        <w:rPr>
          <w:rFonts w:ascii="Times New Roman" w:hAnsi="Times New Roman" w:eastAsia="Cambria"/>
          <w:b w:val="false"/>
          <w:color w:val="auto"/>
        </w:rPr>
      </w:pPr>
      <w:bookmarkStart w:id="3" w:name="__RefHeading___Toc22171_2829662935"/>
      <w:bookmarkStart w:id="4" w:name="_Toc515886984"/>
      <w:bookmarkStart w:id="5" w:name="_Hlk515217304"/>
      <w:bookmarkStart w:id="6" w:name="_Toc483760664"/>
      <w:bookmarkEnd w:id="3"/>
      <w:r>
        <w:rPr/>
        <w:t>Методы и модели анализа данных</w:t>
      </w:r>
      <w:bookmarkEnd w:id="6"/>
      <w:r>
        <w:rPr/>
        <w:t xml:space="preserve"> для оценки благонадежности поставщика товаров</w:t>
      </w:r>
      <w:bookmarkEnd w:id="4"/>
      <w:bookmarkEnd w:id="5"/>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обойтись без информационных технологий в сфере торговли сложно. С ростом объемов торговли увеличивается число требований к информационным потокам данных организации, которые сопровождают движения товаров и, как следствие, позволяют принимать правильные управленческие решения.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Торговля – это та сфера человеческой деятельности, где необходима автоматизированная система учета. С ростом масштабов торговых предприятий растет ассортимент продукции, число покупателей, число поставок. Поэтому управлять торговым предприятием без автоматизации практически невозможно.</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Согласно данным валового внутреннего продукта, сфера торговли в РФ считается одной из самых больших бюджет содержащих структур всей страны в целом, которые составляют 22%. Что касается розничной торговли, то она является самым быстро развивающимся сектором экономики.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Согласно ГОСТ Р 51303-2013 «Торговля. Термины и определения» розничная торговля - вид торговой деятельности, связанный с приобретением и продажей товаров для использования их в личных, семейных, домашних и иных целях, не связанных с осуществлением предпринимательской деятельности. В последнее время большая часть современного бизнеса приобретает сетевой характер, и розничная торговля не является исключением. [2]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Закупка товаров в сфере розничной торговли производится большими партиями, поэтому каждому предприятию необходимо тщательно выбирать поставщика, чтобы иметь конкурентные преимущества, ведь главной задачей сетевой торговли является обеспечение постоянного наличия и восполнения товарного ассортимента. [3]</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Одной из тенденций развития информационных систем розничной торговли является внедрение продуктов, которые подразумевают эффективный обмен информацией внутри предприятия, а также способных структурировать и анализировать данные, осуществляя при этом организацию совместной работы с документами.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На сегодняшний день существует большое количество поставщиков одинаковых товаров и услуг, что приводит в основном к выбору тех, которые могли бы обеспечить успешную деятельность организации. Значимость выбора контрагента объясняется не только функционированием на рынке поставщиков одинакового ассортимента, но и высоким уровнем партнерства с заказчиком. [4]</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Существуют два основных критерия выбора поставщика, на которые в первую очередь обращают внимание при выборе контрагента: стоимость приобретения продукции и услуг, качество обслуживания.</w:t>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Анализ взаимоотношений с тем или иным поставщиком рассматривается с точки зрения нескольких дисциплин: коммерческой деятельности, экономики, организации материально-технического обеспечения, предпринимательства. </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Чаще всего, для выявления группы надежных контрагентов используют балльную систему, которая позволяет принять правильное решение, чтобы осуществить выбор. Для составления такой системы требуются взвешенные оценки экспертов, отобранные критерии и большое количество времени.</w:t>
      </w:r>
    </w:p>
    <w:p>
      <w:pPr>
        <w:pStyle w:val="Normal"/>
        <w:shd w:val="clear" w:fill="FFFFFF"/>
        <w:spacing w:lineRule="auto" w:line="360" w:before="0" w:after="0"/>
        <w:ind w:firstLine="709"/>
        <w:contextualSpacing/>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В связи с огромным ростом объемов информации, а также необходимостью постоянного ее анализа растет спрос на системы, способные это осуществить. Потребность в анализе уже полученных данных для прогнозирования будущих действий существует не только для начинающих предпринимателей, но и для холдинговых компаний, существующих на рынке уже несколько лет. Сбор и анализ информации в сроки, максимально приближенные к режиму реального времени, позволяют регулировать работу компании, а также учесть изменения внешних факторов раньше, чем это сделают конкуренты. Процессы анализа информации и принятии решений приобретают сегодня всё более автоматизированный характер, позволяя привлекать большие объёмы ценных данных и экономить временные ресурсы. [5]</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shd w:fill="FFFFFF" w:val="clear"/>
          <w:lang w:eastAsia="ru-RU"/>
        </w:rPr>
        <w:t>В реальной жизни, представляется куда менее эффективным собирать большие объёмы данных на протяжении нескольких лет, обращаясь к информации время от времени, тогда как возможно извлечение выгоды даже из того материала, который кажется, на первый взгляд, не востребованным. Так, большая часть информации, заносимая в базу данных по конкретному товару или поставщику, может быть использована не только в узконаправленных целях предприятия, но и для проведения анализа эффективности торговых операций в целом. [6]</w:t>
      </w:r>
    </w:p>
    <w:p>
      <w:pPr>
        <w:pStyle w:val="Normal"/>
        <w:spacing w:lineRule="auto" w:line="360" w:before="0" w:after="0"/>
        <w:ind w:firstLine="709"/>
        <w:jc w:val="both"/>
        <w:rPr>
          <w:rFonts w:ascii="Times New Roman" w:hAnsi="Times New Roman" w:eastAsia="Times New Roman" w:cs="Times New Roman"/>
          <w:sz w:val="28"/>
          <w:szCs w:val="28"/>
          <w:shd w:fill="FFFFFF" w:val="clear"/>
          <w:lang w:eastAsia="ru-RU"/>
        </w:rPr>
      </w:pPr>
      <w:r>
        <w:rPr>
          <w:rFonts w:eastAsia="Times New Roman" w:cs="Times New Roman"/>
          <w:sz w:val="28"/>
          <w:szCs w:val="28"/>
          <w:shd w:fill="FFFFFF" w:val="clear"/>
          <w:lang w:eastAsia="ru-RU"/>
        </w:rPr>
        <w:t>На сегодняшний день известно большое количество методов, способных оказать существенную помощь в проведении анализа. Каждый из них нацелен на решение определенного вида задач. Классификация задач представлена на рисунке 1.1.</w:t>
      </w:r>
    </w:p>
    <w:p>
      <w:pPr>
        <w:pStyle w:val="Normal"/>
        <w:spacing w:lineRule="auto" w:line="360" w:before="0" w:after="0"/>
        <w:ind w:firstLine="709"/>
        <w:jc w:val="both"/>
        <w:rPr>
          <w:rFonts w:ascii="Times New Roman" w:hAnsi="Times New Roman" w:eastAsia="Times New Roman" w:cs="Times New Roman"/>
          <w:color w:val="645952"/>
          <w:sz w:val="28"/>
          <w:szCs w:val="28"/>
          <w:shd w:fill="FFFFFF" w:val="clear"/>
          <w:lang w:eastAsia="ru-RU"/>
        </w:rPr>
      </w:pPr>
      <w:r>
        <w:rPr>
          <w:rFonts w:eastAsia="Times New Roman" w:cs="Times New Roman"/>
          <w:color w:val="645952"/>
          <w:sz w:val="28"/>
          <w:szCs w:val="28"/>
          <w:shd w:fill="FFFFFF" w:val="clear"/>
          <w:lang w:eastAsia="ru-RU"/>
        </w:rPr>
      </w:r>
    </w:p>
    <w:p>
      <w:pPr>
        <w:pStyle w:val="Normal"/>
        <w:keepNext w:val="true"/>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2629535" cy="2599690"/>
            <wp:effectExtent l="0" t="0" r="0" b="0"/>
            <wp:docPr id="1" name="Рисунок 24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Рисунок 246" descr=""/>
                    <pic:cNvPicPr>
                      <a:picLocks noChangeAspect="1" noChangeArrowheads="1"/>
                    </pic:cNvPicPr>
                  </pic:nvPicPr>
                  <pic:blipFill>
                    <a:blip r:embed="rId2"/>
                    <a:stretch>
                      <a:fillRect/>
                    </a:stretch>
                  </pic:blipFill>
                  <pic:spPr bwMode="auto">
                    <a:xfrm>
                      <a:off x="0" y="0"/>
                      <a:ext cx="2629535" cy="2599690"/>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1.1 – Типы задач анализа данных</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val="false"/>
        <w:shd w:val="clear" w:fill="FFFFFF"/>
        <w:spacing w:lineRule="auto" w:line="360" w:before="0" w:after="0"/>
        <w:ind w:firstLine="709"/>
        <w:contextualSpacing/>
        <w:jc w:val="both"/>
        <w:rPr>
          <w:rFonts w:ascii="Times New Roman" w:hAnsi="Times New Roman" w:cs="Times New Roman"/>
          <w:sz w:val="28"/>
          <w:szCs w:val="28"/>
        </w:rPr>
      </w:pPr>
      <w:r>
        <w:rPr>
          <w:rFonts w:cs="Times New Roman"/>
          <w:sz w:val="28"/>
          <w:szCs w:val="28"/>
        </w:rPr>
        <w:t>Рассмотрим основные методы оценки качества поставщиков, наиболее широко применяемые в настоящее время.</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рейтинговых оценок - этот метод можно считать наиболее распространенным методом выбора поставщика. Выбираются основные критерии выбора поставщика, далее работниками отдела закупок или привлеченными экспертами устанавливается их значимость экспертным путем. Например, допустим, что предприятию необходимо закупить товар, причем его дефицит недопустим. Соответственно, на первое место при выборе поставщика будет поставлен критерий надежности поставки. Удельный вес этого критерия будет самым большим.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Высчитывается значение рейтинга по каждому критерию путем произведения удельного веса критерия на его экспертную балльную оценку (например, по 10-бальной системе) для данного поставщика. Далее суммируют полученные значения рейтинга по всем критериям и получают итоговый рейтинг для конкретного поставщика. Сравнивая полученные значения рейтинга для разных поставщиков, определяют наилучшего партнера (таблица 3).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В формализованном виде рейтинг </w:t>
      </w:r>
      <w:r>
        <w:rPr>
          <w:rFonts w:cs="Times New Roman"/>
          <w:sz w:val="28"/>
          <w:szCs w:val="28"/>
          <w:lang w:val="en-US"/>
        </w:rPr>
        <w:t>R</w:t>
      </w:r>
      <w:r>
        <w:rPr>
          <w:rFonts w:cs="Times New Roman"/>
          <w:sz w:val="28"/>
          <w:szCs w:val="28"/>
        </w:rPr>
        <w:t xml:space="preserve"> поставщика определяется выражением:</w:t>
      </w:r>
    </w:p>
    <w:p>
      <w:pPr>
        <w:pStyle w:val="Normal"/>
        <w:widowControl w:val="false"/>
        <w:shd w:val="clear" w:fill="FFFFFF"/>
        <w:spacing w:lineRule="auto" w:line="360" w:before="0" w:after="0"/>
        <w:ind w:firstLine="709"/>
        <w:jc w:val="center"/>
        <w:rPr>
          <w:rFonts w:ascii="Times New Roman" w:hAnsi="Times New Roman" w:cs="Times New Roman"/>
          <w:sz w:val="28"/>
          <w:szCs w:val="28"/>
        </w:rPr>
      </w:pPr>
      <w:r>
        <w:rPr>
          <w:rFonts w:cs="Times New Roman"/>
          <w:i/>
          <w:sz w:val="28"/>
          <w:szCs w:val="28"/>
          <w:lang w:val="en-US"/>
        </w:rPr>
        <w:t>R</w:t>
      </w:r>
      <w:r>
        <w:rPr>
          <w:rFonts w:cs="Times New Roman"/>
          <w:i/>
          <w:sz w:val="28"/>
          <w:szCs w:val="28"/>
        </w:rPr>
        <w:t xml:space="preserve"> = </w:t>
      </w:r>
      <w:r>
        <w:rPr>
          <w:rFonts w:eastAsia="Symbol" w:cs="Symbol" w:ascii="Symbol" w:hAnsi="Symbol"/>
          <w:i/>
          <w:sz w:val="28"/>
          <w:szCs w:val="28"/>
          <w:lang w:val="en-US"/>
        </w:rPr>
        <w:sym w:font="Symbol" w:char="f0e5"/>
      </w:r>
      <w:r>
        <w:rPr>
          <w:rFonts w:cs="Times New Roman"/>
          <w:i/>
          <w:sz w:val="28"/>
          <w:szCs w:val="28"/>
        </w:rPr>
        <w:t xml:space="preserve"> </w:t>
      </w:r>
      <w:r>
        <w:rPr>
          <w:rFonts w:cs="Times New Roman"/>
          <w:i/>
          <w:sz w:val="28"/>
          <w:szCs w:val="28"/>
          <w:lang w:val="en-US"/>
        </w:rPr>
        <w:t>C</w:t>
      </w:r>
      <w:r>
        <w:rPr>
          <w:rFonts w:cs="Times New Roman"/>
          <w:i/>
          <w:sz w:val="28"/>
          <w:szCs w:val="28"/>
          <w:vertAlign w:val="subscript"/>
          <w:lang w:val="en-US"/>
        </w:rPr>
        <w:t>i</w:t>
      </w:r>
      <w:r>
        <w:rPr>
          <w:rFonts w:cs="Times New Roman"/>
          <w:i/>
          <w:sz w:val="28"/>
          <w:szCs w:val="28"/>
        </w:rPr>
        <w:t xml:space="preserve"> </w:t>
      </w:r>
      <w:r>
        <w:rPr>
          <w:rFonts w:cs="Times New Roman"/>
          <w:i/>
          <w:sz w:val="28"/>
          <w:szCs w:val="28"/>
          <w:lang w:val="en-US"/>
        </w:rPr>
        <w:t>X</w:t>
      </w:r>
      <w:r>
        <w:rPr>
          <w:rFonts w:cs="Times New Roman"/>
          <w:i/>
          <w:sz w:val="28"/>
          <w:szCs w:val="28"/>
          <w:vertAlign w:val="subscript"/>
          <w:lang w:val="en-US"/>
        </w:rPr>
        <w:t>i</w:t>
      </w:r>
      <w:r>
        <w:rPr>
          <w:rFonts w:cs="Times New Roman"/>
          <w:i/>
          <w:sz w:val="28"/>
          <w:szCs w:val="28"/>
        </w:rPr>
        <w:t xml:space="preserve"> </w:t>
        <w:tab/>
        <w:t>,</w:t>
      </w:r>
      <w:r>
        <w:rPr>
          <w:rFonts w:cs="Times New Roman"/>
          <w:sz w:val="28"/>
          <w:szCs w:val="28"/>
        </w:rPr>
        <w:tab/>
        <w:t>(1)</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где </w:t>
      </w:r>
      <w:r>
        <w:rPr>
          <w:rFonts w:cs="Times New Roman"/>
          <w:i/>
          <w:sz w:val="28"/>
          <w:szCs w:val="28"/>
          <w:lang w:val="en-US"/>
        </w:rPr>
        <w:t>N</w:t>
      </w:r>
      <w:r>
        <w:rPr>
          <w:rFonts w:cs="Times New Roman"/>
          <w:sz w:val="28"/>
          <w:szCs w:val="28"/>
        </w:rPr>
        <w:t xml:space="preserve"> – число показателей оценки рейтинга поставщика;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X</w:t>
      </w:r>
      <w:r>
        <w:rPr>
          <w:rFonts w:cs="Times New Roman"/>
          <w:i/>
          <w:sz w:val="28"/>
          <w:szCs w:val="28"/>
          <w:vertAlign w:val="subscript"/>
          <w:lang w:val="en-US"/>
        </w:rPr>
        <w:t>i</w:t>
      </w:r>
      <w:r>
        <w:rPr>
          <w:rFonts w:cs="Times New Roman"/>
          <w:sz w:val="28"/>
          <w:szCs w:val="28"/>
        </w:rPr>
        <w:t xml:space="preserve"> – удельный вес показателя (выраженный в долях, а не в %);</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i/>
          <w:sz w:val="28"/>
          <w:szCs w:val="28"/>
          <w:lang w:val="en-US"/>
        </w:rPr>
        <w:t>C</w:t>
      </w:r>
      <w:r>
        <w:rPr>
          <w:rFonts w:cs="Times New Roman"/>
          <w:i/>
          <w:sz w:val="28"/>
          <w:szCs w:val="28"/>
          <w:vertAlign w:val="subscript"/>
          <w:lang w:val="en-US"/>
        </w:rPr>
        <w:t>i</w:t>
      </w:r>
      <w:r>
        <w:rPr>
          <w:rFonts w:cs="Times New Roman"/>
          <w:sz w:val="28"/>
          <w:szCs w:val="28"/>
        </w:rPr>
        <w:t xml:space="preserve"> – балльная оценка величины этого показателя, обеспечиваемая данным поставщиком.</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оценки затрат</w:t>
      </w:r>
      <w:r>
        <w:rPr>
          <w:rFonts w:cs="Times New Roman"/>
          <w:i/>
          <w:sz w:val="28"/>
          <w:szCs w:val="28"/>
        </w:rPr>
        <w:t xml:space="preserve"> - э</w:t>
      </w:r>
      <w:r>
        <w:rPr>
          <w:rFonts w:cs="Times New Roman"/>
          <w:sz w:val="28"/>
          <w:szCs w:val="28"/>
        </w:rPr>
        <w:t>тот метод иногда называют затратно-коэффициентным методом или «методом миссий». Он заключается в том, что весь исследуемый процесс снабжения делится на несколько возможных вариантов (миссий), и для каждого тщательно рассчитываются все расходы и доходы. В результате получают данные для сравнения и выбора вариантов решений (миссий). Для каждого поставщика рассчитываются все возможные издержки и доходы (при этом учитываются логистические риски). Затем из набора вариантов (миссий) выбирается наиболее выгодный (по критерию общей прибыли).</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По существу, это разновидность метода ранжирования (критериев) по стоимости. Метод интересен с точки зрения стоимостной оценки и позволяет определять «стоимость» выбора поставщика. Недостаток метода состоит в том, что он требует большого объема информации и анализа большого объема информации по каждому поставщику.</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Метод доминирующих характеристик состоит в сосредоточении на одном выбранном параметре (критерии). Этот параметр может быть: наиболее низкой ценой, наилучшим качеством, графиком поставок, внушающим наибольшее доверие, и т.п. Преимущество этого метода – в простоте, а недостаток – в игнорировании остальных факторов - критериев отбора.</w:t>
      </w:r>
    </w:p>
    <w:p>
      <w:pPr>
        <w:pStyle w:val="Normal"/>
        <w:widowControl w:val="false"/>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 xml:space="preserve">Метод категорий предпочтения - оценка поставщика, в том числе и выбор способа его оценки, зависит от информации, стекающейся из многих подразделений фирмы. Так например, на производстве инженерные службы дают свою оценку способности поставщика производить высокотехнологическую продукцию и могут компетентно судить о ее качестве. Диспетчерская докладывает о сроках доставки закупаемых материальных ресурсов. Производственные отделы – о простоте и удобстве пользования материальных ресурсов в производственном процессе. Такой метод подразумевает наличие обширной и разнообразной информации из множества источников, которая позволяет рассматривать каждый фактор наравне с остальными, в то время как для фирмы, возможно, какой-то фактор является ключевым, например, простота использования продукции в </w:t>
      </w:r>
    </w:p>
    <w:p>
      <w:pPr>
        <w:pStyle w:val="Normal"/>
        <w:shd w:val="clear" w:fill="FFFFFF"/>
        <w:spacing w:lineRule="auto" w:line="360" w:before="0" w:after="0"/>
        <w:ind w:firstLine="709"/>
        <w:contextualSpacing/>
        <w:jc w:val="both"/>
        <w:textAlignment w:val="baseline"/>
        <w:rPr>
          <w:rFonts w:ascii="Times New Roman" w:hAnsi="Times New Roman" w:eastAsia="Times New Roman" w:cs="Times New Roman"/>
          <w:color w:val="2F2F2F"/>
          <w:sz w:val="28"/>
          <w:szCs w:val="28"/>
          <w:lang w:eastAsia="ru-RU"/>
        </w:rPr>
      </w:pPr>
      <w:r>
        <w:rPr>
          <w:rFonts w:eastAsia="Times New Roman" w:cs="Times New Roman"/>
          <w:color w:val="2F2F2F"/>
          <w:sz w:val="28"/>
          <w:szCs w:val="28"/>
          <w:lang w:eastAsia="ru-RU"/>
        </w:rPr>
      </w:r>
    </w:p>
    <w:p>
      <w:pPr>
        <w:pStyle w:val="Normal"/>
        <w:widowControl/>
        <w:suppressAutoHyphens w:val="true"/>
        <w:overflowPunct w:val="false"/>
        <w:spacing w:lineRule="auto" w:line="360"/>
        <w:ind w:hanging="0" w:left="0"/>
        <w:jc w:val="center"/>
        <w:rPr/>
      </w:pPr>
      <w:r>
        <w:rPr/>
      </w:r>
      <w:r>
        <w:br w:type="page"/>
      </w:r>
    </w:p>
    <w:p>
      <w:pPr>
        <w:pStyle w:val="Normal"/>
        <w:numPr>
          <w:ilvl w:val="1"/>
          <w:numId w:val="7"/>
        </w:numPr>
        <w:spacing w:before="0" w:after="160"/>
        <w:jc w:val="center"/>
        <w:rPr/>
      </w:pPr>
      <w:bookmarkStart w:id="7" w:name="__RefHeading___Toc22173_2829662935"/>
      <w:bookmarkStart w:id="8" w:name="_Toc515886985"/>
      <w:bookmarkEnd w:id="7"/>
      <w:r>
        <w:rPr/>
        <w:t>Характеристика деятельности ООО «Авангард»</w:t>
      </w:r>
      <w:bookmarkEnd w:id="8"/>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ООО  «Авангард» – компания, основным видом деятельности которой является розничная торговля сувенирной продукции. Формой собственности компании «Авангард» является общество с ограниченной ответственностью.</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Организация зарегистрирована 24 марта 2011 г. регистратором Межрайонной инспекции Федеральной налоговой службы № 46 в городе Санкт-Петербург. В состав компании входит 5 магазинов, в которых осуществляется процесс продажи товаров, и центральный офис, в который поступает полная информация со всех подчиненных ему объектов. Каждая торговая точка расположена в том же городе, где находится основное отделение компании.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Основные функции каждого магазина компании следующие:</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Заказ и закупка товаров у поставщиков;</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заказа и продажа товаров клиентам;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Возврат товаров поставщику в случаях, оговоренных договором;</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Складской учет;</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Проведение инвентаризации;</w:t>
      </w:r>
    </w:p>
    <w:p>
      <w:pPr>
        <w:pStyle w:val="ListParagraph"/>
        <w:numPr>
          <w:ilvl w:val="0"/>
          <w:numId w:val="8"/>
        </w:numPr>
        <w:spacing w:lineRule="auto" w:line="360" w:before="0" w:after="0"/>
        <w:ind w:firstLine="709" w:left="0"/>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Оформление первичной документации.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Управление магазинами компании осуществляется структурными подразделениями в центральном офисе: службами организации торговли, информационных технологий, финансовыми и бухгалтерскими отделами, отделом закупок, маркетинга и управления персоналом.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7"/>
        </w:numPr>
        <w:jc w:val="center"/>
        <w:rPr>
          <w:rFonts w:ascii="Times New Roman" w:hAnsi="Times New Roman" w:eastAsia="Times New Roman"/>
          <w:b w:val="false"/>
          <w:color w:val="auto"/>
          <w:lang w:eastAsia="ru-RU"/>
        </w:rPr>
      </w:pPr>
      <w:bookmarkStart w:id="9" w:name="__RefHeading___Toc22175_2829662935"/>
      <w:bookmarkStart w:id="10" w:name="_Toc515886986"/>
      <w:bookmarkEnd w:id="9"/>
      <w:r>
        <w:rPr/>
        <w:t>Организационная структура управления ООО «Авангард»</w:t>
      </w:r>
      <w:bookmarkEnd w:id="10"/>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Контроль и управление сетью магазинов компании «ООО «Авангард» осуществляет ряд лиц, работающих в центральном офисе компании. Свою организационную структуру также имеет каждая торговая точка в отдельности.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В каждом магазине данной организации работает разное количество сотрудников, но структура управления внутри торговой точки имеет схожую структуру (рисунок 1.2).</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drawing>
          <wp:inline distT="0" distB="0" distL="0" distR="0">
            <wp:extent cx="3686810" cy="2520315"/>
            <wp:effectExtent l="0" t="0" r="0" b="0"/>
            <wp:docPr id="2" name="Рисунок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Рисунок 2" descr=""/>
                    <pic:cNvPicPr>
                      <a:picLocks noChangeAspect="1" noChangeArrowheads="1"/>
                    </pic:cNvPicPr>
                  </pic:nvPicPr>
                  <pic:blipFill>
                    <a:blip r:embed="rId3"/>
                    <a:srcRect l="0" t="5437" r="0" b="8677"/>
                    <a:stretch>
                      <a:fillRect/>
                    </a:stretch>
                  </pic:blipFill>
                  <pic:spPr bwMode="auto">
                    <a:xfrm>
                      <a:off x="0" y="0"/>
                      <a:ext cx="3686810" cy="2520315"/>
                    </a:xfrm>
                    <a:prstGeom prst="rect">
                      <a:avLst/>
                    </a:prstGeom>
                  </pic:spPr>
                </pic:pic>
              </a:graphicData>
            </a:graphic>
          </wp:inline>
        </w:drawing>
      </w:r>
    </w:p>
    <w:p>
      <w:pPr>
        <w:pStyle w:val="Normal"/>
        <w:spacing w:lineRule="auto" w:line="360" w:before="0" w:after="0"/>
        <w:ind w:firstLine="709"/>
        <w:jc w:val="center"/>
        <w:rPr>
          <w:rFonts w:ascii="Times New Roman" w:hAnsi="Times New Roman" w:eastAsia="Times New Roman" w:cs="Times New Roman"/>
          <w:sz w:val="28"/>
          <w:szCs w:val="28"/>
          <w:lang w:eastAsia="ru-RU"/>
        </w:rPr>
      </w:pPr>
      <w:r>
        <w:rPr>
          <w:rFonts w:eastAsia="Times New Roman" w:cs="Times New Roman"/>
          <w:sz w:val="28"/>
          <w:szCs w:val="28"/>
          <w:lang w:eastAsia="ru-RU"/>
        </w:rPr>
        <w:t>Рисунок 1.2 - Организационная структура магазина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ab/>
        <w:tab/>
        <w:tab/>
        <w:tab/>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Менеджер организует документооборот в магазине и занимается контролем работы продавцов и кассиров. Работа других сотрудников состоит в следующем: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Организация продаж;</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Консультация клиентов магазина по характеристикам и стоимости товаров;</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Проведение платежных операций;</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Выдача покупок;</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Контроль товаров в торговом зале;</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Инвентаризация;</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w:t>
      </w:r>
      <w:r>
        <w:rPr>
          <w:rFonts w:eastAsia="Times New Roman" w:cs="Times New Roman"/>
          <w:sz w:val="28"/>
          <w:szCs w:val="28"/>
          <w:lang w:eastAsia="ru-RU"/>
        </w:rPr>
        <w:tab/>
        <w:t>Составление первичной отчетности.</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Чтобы описать структуру управления центрального офиса и обозначить подразделение, в котором осуществляется работа с поставщиками, на начальном этапе было решено использовать структурно-функциональное моделирование в контексте </w:t>
      </w:r>
      <w:r>
        <w:rPr>
          <w:rFonts w:eastAsia="Times New Roman" w:cs="Times New Roman"/>
          <w:sz w:val="28"/>
          <w:szCs w:val="28"/>
          <w:lang w:val="en-US" w:eastAsia="ru-RU"/>
        </w:rPr>
        <w:t>IDEF</w:t>
      </w:r>
      <w:r>
        <w:rPr>
          <w:rFonts w:eastAsia="Times New Roman" w:cs="Times New Roman"/>
          <w:sz w:val="28"/>
          <w:szCs w:val="28"/>
          <w:lang w:eastAsia="ru-RU"/>
        </w:rPr>
        <w:t>0. Ниже рассмотрена модель процесса приобретения товара у поставщика. Данная модель помогает представить организацию работы отдела закупок с контрагентами и описать бизнес процессы в ООО «Авангард».</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jc w:val="center"/>
        <w:rPr>
          <w:rFonts w:ascii="Times New Roman" w:hAnsi="Times New Roman" w:eastAsia="Times New Roman"/>
          <w:b w:val="false"/>
          <w:color w:val="auto"/>
          <w:lang w:eastAsia="ru-RU"/>
        </w:rPr>
      </w:pPr>
      <w:bookmarkStart w:id="11" w:name="__RefHeading___Toc22177_2829662935"/>
      <w:bookmarkEnd w:id="11"/>
      <w:r>
        <w:rPr>
          <w:rFonts w:eastAsia="Times New Roman"/>
          <w:b w:val="false"/>
          <w:color w:val="auto"/>
          <w:lang w:eastAsia="ru-RU"/>
        </w:rPr>
        <w:t xml:space="preserve">1.4 </w:t>
      </w:r>
      <w:bookmarkStart w:id="12" w:name="_Toc515886987"/>
      <w:r>
        <w:rPr>
          <w:rFonts w:eastAsia="Times New Roman"/>
          <w:b w:val="false"/>
          <w:color w:val="auto"/>
          <w:lang w:eastAsia="ru-RU"/>
        </w:rPr>
        <w:t>Описание и анализ бизнес процесса закупки товаров</w:t>
      </w:r>
      <w:bookmarkEnd w:id="1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Как уже отмечалось выше, основной функцией отдела закупок является деятельность, направленная на </w:t>
      </w:r>
      <w:r>
        <w:rPr>
          <w:rFonts w:cs="Times New Roman"/>
          <w:sz w:val="28"/>
          <w:szCs w:val="28"/>
        </w:rPr>
        <w:t>хорошо налаженное и постоянное обеспечение товарами. Именно поэтому процесс выбора и оценки благонадёжности поставщика является одной из наиболее важных задач отдела. Рассмотрим более подробно процесс закупки товаров в ООО «Авангард»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Для анализа понимания структуры и взаимосвязей автоматизируемых процессов необходимо построить структурно-функциональную модель, с помощью которой можно достаточно эффективно проанализировать узкие места в управлении и оптимизировать общую схему бизнеса.</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 xml:space="preserve">Моделирование проведём с помощью стандарта IDEF0 в контексте </w:t>
      </w:r>
      <w:r>
        <w:rPr>
          <w:rFonts w:cs="Times New Roman"/>
          <w:sz w:val="28"/>
          <w:szCs w:val="28"/>
          <w:lang w:val="en-US"/>
        </w:rPr>
        <w:t>AS</w:t>
      </w:r>
      <w:r>
        <w:rPr>
          <w:rFonts w:cs="Times New Roman"/>
          <w:sz w:val="28"/>
          <w:szCs w:val="28"/>
        </w:rPr>
        <w:t>-</w:t>
      </w:r>
      <w:r>
        <w:rPr>
          <w:rFonts w:cs="Times New Roman"/>
          <w:sz w:val="28"/>
          <w:szCs w:val="28"/>
          <w:lang w:val="en-US"/>
        </w:rPr>
        <w:t>IS</w:t>
      </w:r>
      <w:r>
        <w:rPr>
          <w:rFonts w:cs="Times New Roman"/>
          <w:sz w:val="28"/>
          <w:szCs w:val="28"/>
        </w:rPr>
        <w:t>. Данная модель предназначена для описания существующих бизнес-процессов на предприятии.</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IDEF0 Методология функционального моделирования, являющаяся составной частью SADT, позволяет наглядно и эффективно отобразить весь механизм деятельности предприятия в виде иерархической системы взаимосвязанных функций. Она позволит понять, какой результат последует из проводимой работы, какие объекты или информация служат необходимым набором для реализации процессов, что является управляющими факторами. Так же по средствам нотации IDEF0 можно выявить и недостатки бизнес-процессов, что является весьма ощутимой помощью входе анализа деятельности организации. [7]</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Входными данными процесса является потребность в товарах, выходными данными – полученные товары и аналитические отчёты по деятельности предприятии. В данном процессе учувствуют сотрудников отдела продаж, отдела по закупкам, начальник склада и бухгалтер.  Контекстная диаграмма данного процесса представлена на рисунке 3.</w:t>
      </w:r>
    </w:p>
    <w:p>
      <w:pPr>
        <w:pStyle w:val="ListParagraph"/>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r>
    </w:p>
    <w:p>
      <w:pPr>
        <w:pStyle w:val="Normal"/>
        <w:spacing w:lineRule="auto" w:line="360" w:before="0" w:after="0"/>
        <w:jc w:val="center"/>
        <w:rPr>
          <w:rFonts w:ascii="Times New Roman" w:hAnsi="Times New Roman" w:cs="Times New Roman"/>
          <w:sz w:val="28"/>
          <w:szCs w:val="28"/>
        </w:rPr>
      </w:pPr>
      <w:r>
        <w:rPr/>
        <w:drawing>
          <wp:inline distT="0" distB="0" distL="0" distR="0">
            <wp:extent cx="4762500" cy="3317875"/>
            <wp:effectExtent l="0" t="0" r="0" b="0"/>
            <wp:docPr id="3" name="Рисунок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Рисунок 1" descr=""/>
                    <pic:cNvPicPr>
                      <a:picLocks noChangeAspect="1" noChangeArrowheads="1"/>
                    </pic:cNvPicPr>
                  </pic:nvPicPr>
                  <pic:blipFill>
                    <a:blip r:embed="rId4"/>
                    <a:stretch>
                      <a:fillRect/>
                    </a:stretch>
                  </pic:blipFill>
                  <pic:spPr bwMode="auto">
                    <a:xfrm>
                      <a:off x="0" y="0"/>
                      <a:ext cx="4762500" cy="3317875"/>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rPr>
      </w:pPr>
      <w:bookmarkStart w:id="13" w:name="OLE_LINK24"/>
      <w:bookmarkStart w:id="14" w:name="OLE_LINK25"/>
      <w:bookmarkEnd w:id="13"/>
      <w:bookmarkEnd w:id="14"/>
      <w:r>
        <w:rPr>
          <w:rFonts w:eastAsia="Times New Roman" w:cs="Times New Roman"/>
          <w:sz w:val="28"/>
          <w:szCs w:val="28"/>
          <w:lang w:eastAsia="ru-RU"/>
        </w:rPr>
        <w:t>Рисунок 1.</w:t>
      </w:r>
      <w:r>
        <w:rPr>
          <w:rFonts w:cs="Times New Roman"/>
          <w:sz w:val="28"/>
          <w:szCs w:val="28"/>
        </w:rPr>
        <w:t xml:space="preserve">3 – </w:t>
      </w:r>
      <w:r>
        <w:rPr>
          <w:rFonts w:cs="Times New Roman"/>
          <w:sz w:val="28"/>
          <w:szCs w:val="28"/>
          <w:lang w:eastAsia="ar-SA"/>
        </w:rPr>
        <w:t xml:space="preserve">Контекстная диаграмма </w:t>
      </w:r>
      <w:r>
        <w:rPr>
          <w:rFonts w:cs="Times New Roman"/>
          <w:sz w:val="28"/>
          <w:szCs w:val="28"/>
        </w:rPr>
        <w:t>процесса закупки товаров в ООО «Авангард»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bookmarkStart w:id="15" w:name="OLE_LINK24_Копия_1"/>
      <w:bookmarkStart w:id="16" w:name="OLE_LINK25_Копия_1"/>
      <w:bookmarkStart w:id="17" w:name="OLE_LINK24_Копия_1"/>
      <w:bookmarkStart w:id="18" w:name="OLE_LINK25_Копия_1"/>
      <w:bookmarkEnd w:id="17"/>
      <w:bookmarkEnd w:id="18"/>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lang w:eastAsia="ar-SA"/>
        </w:rPr>
        <w:t xml:space="preserve">Декомпозиция </w:t>
      </w:r>
      <w:r>
        <w:rPr>
          <w:rFonts w:cs="Times New Roman"/>
          <w:sz w:val="28"/>
          <w:szCs w:val="28"/>
        </w:rPr>
        <w:t>процесса закупки товаров в ООО «Авангард» представлена на рисунке 4.</w:t>
      </w:r>
    </w:p>
    <w:p>
      <w:pPr>
        <w:pStyle w:val="Normal"/>
        <w:spacing w:lineRule="auto" w:line="360" w:before="0" w:after="0"/>
        <w:jc w:val="center"/>
        <w:rPr>
          <w:rFonts w:ascii="Times New Roman" w:hAnsi="Times New Roman" w:cs="Times New Roman"/>
          <w:sz w:val="28"/>
          <w:szCs w:val="28"/>
        </w:rPr>
      </w:pPr>
      <w:r>
        <w:rPr/>
        <w:drawing>
          <wp:inline distT="0" distB="0" distL="0" distR="0">
            <wp:extent cx="4972050" cy="3465830"/>
            <wp:effectExtent l="0" t="0" r="0" b="0"/>
            <wp:docPr id="4" name="Рисунок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Рисунок 4" descr=""/>
                    <pic:cNvPicPr>
                      <a:picLocks noChangeAspect="1" noChangeArrowheads="1"/>
                    </pic:cNvPicPr>
                  </pic:nvPicPr>
                  <pic:blipFill>
                    <a:blip r:embed="rId5"/>
                    <a:stretch>
                      <a:fillRect/>
                    </a:stretch>
                  </pic:blipFill>
                  <pic:spPr bwMode="auto">
                    <a:xfrm>
                      <a:off x="0" y="0"/>
                      <a:ext cx="4972050" cy="3465830"/>
                    </a:xfrm>
                    <a:prstGeom prst="rect">
                      <a:avLst/>
                    </a:prstGeom>
                  </pic:spPr>
                </pic:pic>
              </a:graphicData>
            </a:graphic>
          </wp:inline>
        </w:drawing>
      </w:r>
    </w:p>
    <w:p>
      <w:pPr>
        <w:pStyle w:val="Normal"/>
        <w:suppressAutoHyphens w:val="true"/>
        <w:spacing w:lineRule="auto" w:line="360" w:before="0" w:after="0"/>
        <w:ind w:firstLine="709"/>
        <w:jc w:val="center"/>
        <w:rPr>
          <w:rFonts w:ascii="Times New Roman" w:hAnsi="Times New Roman" w:cs="Times New Roman"/>
          <w:sz w:val="28"/>
          <w:szCs w:val="28"/>
        </w:rPr>
      </w:pPr>
      <w:r>
        <w:rPr>
          <w:rFonts w:eastAsia="Times New Roman" w:cs="Times New Roman"/>
          <w:sz w:val="28"/>
          <w:szCs w:val="28"/>
          <w:lang w:eastAsia="ru-RU"/>
        </w:rPr>
        <w:t>Рисунок 1.</w:t>
      </w:r>
      <w:r>
        <w:rPr>
          <w:rFonts w:cs="Times New Roman"/>
          <w:sz w:val="28"/>
          <w:szCs w:val="28"/>
        </w:rPr>
        <w:t xml:space="preserve">4 – </w:t>
      </w:r>
      <w:r>
        <w:rPr>
          <w:rFonts w:cs="Times New Roman"/>
          <w:sz w:val="28"/>
          <w:szCs w:val="28"/>
          <w:lang w:eastAsia="ar-SA"/>
        </w:rPr>
        <w:t xml:space="preserve">Декомпозиция диаграммы </w:t>
      </w:r>
      <w:r>
        <w:rPr>
          <w:rFonts w:cs="Times New Roman"/>
          <w:sz w:val="28"/>
          <w:szCs w:val="28"/>
        </w:rPr>
        <w:t>процесса закупки товаров в ООО «Авангард»</w:t>
      </w:r>
    </w:p>
    <w:p>
      <w:pPr>
        <w:pStyle w:val="Normal"/>
        <w:spacing w:lineRule="auto" w:line="360" w:before="0" w:after="0"/>
        <w:ind w:firstLine="709"/>
        <w:jc w:val="both"/>
        <w:rPr>
          <w:rFonts w:ascii="Times New Roman" w:hAnsi="Times New Roman" w:cs="Times New Roman"/>
          <w:sz w:val="28"/>
          <w:szCs w:val="28"/>
          <w:shd w:fill="FFFF00" w:val="clear"/>
        </w:rPr>
      </w:pPr>
      <w:r>
        <w:rPr>
          <w:rFonts w:cs="Times New Roman"/>
          <w:sz w:val="28"/>
          <w:szCs w:val="28"/>
          <w:shd w:fill="FFFF00" w:val="clear"/>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Первоначально отделом продаж происходит определение потребности в товарах, исходя из текущих остатков товаров на складах и прогнозирования продаж. Определяются базовые характеристики требуемого товаров, возможные от них отклонения, необходимое его количество и сроки поставки для передачи информации менеджеру по закупкам в виде заявки на товары.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заявке должен быть точно указан идентификатор требуемого товара или товаров, количество и сроки поставки. В позициях, кроме идентификатора, может присутствовать краткое описание товара или группы товаров.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На этапе согласования исполнитель, подготавливавший и оформлявший заявку на товары, согласует её содержание с начальником склада и менеджером по закупкам. Такое согласование может проводиться с помощью проставления реквизита "визы" в определенном месте бланка заявки. Если в процессе согласования потребовалось внести изменения, в таком случае исполнитель проводит повторную подготовку, оформление и согласование заявки на товары (Рисунок 5).</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940425" cy="4135755"/>
            <wp:effectExtent l="0" t="0" r="0" b="0"/>
            <wp:docPr id="5" name="Рисунок 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Рисунок 9" descr=""/>
                    <pic:cNvPicPr>
                      <a:picLocks noChangeAspect="1" noChangeArrowheads="1"/>
                    </pic:cNvPicPr>
                  </pic:nvPicPr>
                  <pic:blipFill>
                    <a:blip r:embed="rId6"/>
                    <a:stretch>
                      <a:fillRect/>
                    </a:stretch>
                  </pic:blipFill>
                  <pic:spPr bwMode="auto">
                    <a:xfrm>
                      <a:off x="0" y="0"/>
                      <a:ext cx="5940425" cy="413575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5 – </w:t>
      </w:r>
      <w:r>
        <w:rPr>
          <w:rFonts w:cs="Times New Roman"/>
          <w:sz w:val="28"/>
          <w:szCs w:val="28"/>
          <w:lang w:eastAsia="ar-SA"/>
        </w:rPr>
        <w:t>Декомпозиция блока А1 «Формирование заявки на товары»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подготовки списка возможных поставщиков, на основании полученной заявки на товары, менеджер по закупкам составляет список возможных поставщиков, состоящий из постоянных поставщиков, с которыми заключены договора на долгосрочное сотрудничество, и, возможно, новых, выявленных с помощью различных информационных каналов, в том числе в результате анализа ранее полученных коммерческих предложений.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На этапе отправки потенциальным поставщикам запроса в соответствии заявкой на товары проходит организация или возобновление переписки с возможными поставщиками средствами связи, которым может быть: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Традиционная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Средства факсимильной связи;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Электронная почта;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 Личная доставка представителем Исполнителя (Заказчика)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соответствии с данной заявкой на товары менеджером по закупкам подготавливается запрос на товары, который представляет собой просьбу к поставщику на поставку товаров, идентификатор, требуемое количество и сроки поставки которого указаны в соответствующих позициях формы запроса. Подготовленный и оформленный соответствующим образом запрос согласовывается и в случае необходимости, в него вносятся корректировки. Подготовленный и соответствующим образом оформленный запрос отправляется возможным поставщикам при помощи выбранного средства связи (Рисунок 6).</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jc w:val="both"/>
        <w:rPr>
          <w:rFonts w:ascii="Times New Roman" w:hAnsi="Times New Roman" w:cs="Times New Roman"/>
          <w:sz w:val="28"/>
          <w:szCs w:val="28"/>
        </w:rPr>
      </w:pPr>
      <w:r>
        <w:rPr/>
        <w:drawing>
          <wp:inline distT="0" distB="0" distL="0" distR="0">
            <wp:extent cx="5791200" cy="3872865"/>
            <wp:effectExtent l="0" t="0" r="0" b="0"/>
            <wp:docPr id="6" name="Рисунок 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Рисунок 10" descr=""/>
                    <pic:cNvPicPr>
                      <a:picLocks noChangeAspect="1" noChangeArrowheads="1"/>
                    </pic:cNvPicPr>
                  </pic:nvPicPr>
                  <pic:blipFill>
                    <a:blip r:embed="rId7"/>
                    <a:stretch>
                      <a:fillRect/>
                    </a:stretch>
                  </pic:blipFill>
                  <pic:spPr bwMode="auto">
                    <a:xfrm>
                      <a:off x="0" y="0"/>
                      <a:ext cx="5791200" cy="3872865"/>
                    </a:xfrm>
                    <a:prstGeom prst="rect">
                      <a:avLst/>
                    </a:prstGeom>
                  </pic:spPr>
                </pic:pic>
              </a:graphicData>
            </a:graphic>
          </wp:inline>
        </w:drawing>
      </w:r>
    </w:p>
    <w:p>
      <w:pPr>
        <w:pStyle w:val="Normal"/>
        <w:suppressAutoHyphens w:val="true"/>
        <w:spacing w:lineRule="auto" w:line="360" w:before="0" w:after="0"/>
        <w:ind w:firstLine="709"/>
        <w:jc w:val="both"/>
        <w:rPr>
          <w:rFonts w:ascii="Times New Roman" w:hAnsi="Times New Roman" w:cs="Times New Roman"/>
          <w:sz w:val="28"/>
          <w:szCs w:val="28"/>
          <w:lang w:eastAsia="ar-SA"/>
        </w:rPr>
      </w:pPr>
      <w:r>
        <w:rPr>
          <w:rFonts w:eastAsia="Times New Roman" w:cs="Times New Roman"/>
          <w:sz w:val="28"/>
          <w:szCs w:val="28"/>
          <w:lang w:eastAsia="ru-RU"/>
        </w:rPr>
        <w:t>Рисунок 1.</w:t>
      </w:r>
      <w:r>
        <w:rPr>
          <w:rFonts w:cs="Times New Roman"/>
          <w:sz w:val="28"/>
          <w:szCs w:val="28"/>
        </w:rPr>
        <w:t xml:space="preserve">6 – </w:t>
      </w:r>
      <w:r>
        <w:rPr>
          <w:rFonts w:cs="Times New Roman"/>
          <w:sz w:val="28"/>
          <w:szCs w:val="28"/>
          <w:lang w:eastAsia="ar-SA"/>
        </w:rPr>
        <w:t>Декомпозиция блока А2 «Выбор поставщика»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После отправки запроса выбранному поставщику бухгалтерия оплачивает выставленный счёт за товары. По факту получения товаров на склад по запросу начальник склада формирует приходные документы.</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eastAsia="Times New Roman"/>
          <w:b w:val="false"/>
          <w:color w:val="auto"/>
          <w:lang w:eastAsia="ru-RU"/>
        </w:rPr>
      </w:pPr>
      <w:bookmarkStart w:id="19" w:name="__RefHeading___Toc22179_2829662935"/>
      <w:bookmarkStart w:id="20" w:name="_Toc515886988"/>
      <w:bookmarkEnd w:id="19"/>
      <w:r>
        <w:rPr/>
        <w:t>Анализ процесса оценки благонадёжности и выбора поставщика</w:t>
      </w:r>
      <w:bookmarkEnd w:id="20"/>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рассмотренном процесса самым трудоёмким и ответственным этапом является выбор поставщика, который напрямую связан с двумя предшествующими ей функциями «Определение потребности в товаре» и «Подготовка списка возможных поставщиков» и полностью зависит от них.</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Некоторые менеджеры недооценивают значение правильного выбора поставщика для эффективного функционирования всей компании, а оно обеспечивается во многом, чётким выполнение поставщиками своих функций. Исследования показывают, что во многих компаниях мира, по крайней мере, 50% проблем, связанных с качеством, возникает из-за товаров и услуг, которыми их обеспечили поставщики. [8]</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Прежде поставщик рассматривался как продавец, предоставляющий необходимую продукцию, которого не интересовали проблемы эффективного производства и качества производимой продукции. В современных условиях хозяйственные субъекты всё больше осознают свою взаимозависимость и ответственность друг перед другом. Поставщики и фирмы – покупатели, становятся партнёрами по бизнесу. Работая совместно, они могут добиться снижения затрат и улучшения качества товаров и услуг. [9]</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На предприятии ООО «Авангард» отдел снабжения осуществляет регулярный анализ рынка на предмет поставщиков, предлагающих высокое качество продукции с меньшими ценами, но в тоже время на более выгодных условиях.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 xml:space="preserve">Закупленная продукция должна обеспечивать соответствие установленным требованиям к закупкам. Соответствие закупаемой продукции установленным требованиям подтверждается клеймами, сертификатами, паспортами, формулярами или протоколами испытаний их изготовителями. </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Поставщики должны оцениваться и выбираться на основе их способности поставлять продукцию в соответствии с требованиями предприятия.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eastAsia="Times New Roman"/>
          <w:b w:val="false"/>
          <w:color w:val="auto"/>
          <w:lang w:eastAsia="ru-RU"/>
        </w:rPr>
      </w:pPr>
      <w:bookmarkStart w:id="21" w:name="__RefHeading___Toc22181_2829662935"/>
      <w:bookmarkStart w:id="22" w:name="_Toc515886989"/>
      <w:bookmarkEnd w:id="21"/>
      <w:r>
        <w:rPr/>
        <w:t>Анализ недостатков и формирование предложений по автоматизации бизнес-процесса</w:t>
      </w:r>
      <w:bookmarkEnd w:id="2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Процесс выбора поставщика является очень серьёзной проблемой, требующей от лиц принимающих решение быть весьма осведомлёнными о рынке предоставляемых услуг и объективности, т.к. самая малая неточность может привести к большим материальным потерям, задержкам поставки и т.п., что повлечёт за собой выплату неустоек и другие неприятности.</w:t>
      </w:r>
    </w:p>
    <w:p>
      <w:pPr>
        <w:pStyle w:val="Normal"/>
        <w:widowControl w:val="false"/>
        <w:spacing w:lineRule="auto" w:line="360" w:before="0" w:after="0"/>
        <w:ind w:firstLine="709"/>
        <w:contextualSpacing/>
        <w:jc w:val="both"/>
        <w:rPr>
          <w:rFonts w:ascii="Times New Roman" w:hAnsi="Times New Roman" w:cs="Times New Roman"/>
          <w:sz w:val="28"/>
          <w:szCs w:val="28"/>
        </w:rPr>
      </w:pPr>
      <w:r>
        <w:rPr>
          <w:rFonts w:cs="Times New Roman"/>
          <w:sz w:val="28"/>
          <w:szCs w:val="28"/>
        </w:rPr>
        <w:t>Из анализа деятельности компании видно, что на предприятии существует некий порядок поиска и отбора поставщиков, однако как таковая методика оценки поставщиков никак не зафиксирована документально, представляет собой цепочку логических суждений, выдвигаемых сотрудниками отдела закупок. Стоит отметить отсутствие инструмента в виде информационной системы для отбора поставщиков на предприятии, в связи с чем выбор осуществляется на интуитивном уровне. При принятии решения о заключении договоров с поставщиками менеджер по закупкам зачастую не видит всей картины в целом, а руководствуется только текущими выгодами предприятия. Этот факт негативно отражается на качестве оказываемых услуг, а, следовательно, и на удовлетворённости потребителя.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Проблема выбора поставщика состоит в отсутствии какой-либо формализации при выборе поставщика, что зачастую приводит к принятию неверных решений. Среди многообразия факторов, влияющих на выбор поставщика, довольно трудно выделить наиболее результативные. Даже после выделения таких факторов присутствует трудность объективного выбора поставщика. В свою очередь влияния субъективной части, может привести к созданию на предприятии ненужной социальной напряженности между менеджером по закупкам и его руководством. [10]</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связи с этим возникает острая необходимость в внедрении на предприятии информационной системы для оценки благонадёжности поставщиков, которая позволит производить оценку качества на основе математических расчётов, а не логических суждений, с использованием при этом конкретных показателей качества, что приведет к уменьшению временных затрат на обработку данных и повышению объективности принятых решений. Как следствие вышеизложенного повышается, производительность и финансовая стабильность предприятия в целом.</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numPr>
          <w:ilvl w:val="1"/>
          <w:numId w:val="10"/>
        </w:numPr>
        <w:jc w:val="center"/>
        <w:rPr>
          <w:rFonts w:ascii="Times New Roman" w:hAnsi="Times New Roman"/>
          <w:b w:val="false"/>
          <w:color w:val="auto"/>
        </w:rPr>
      </w:pPr>
      <w:bookmarkStart w:id="23" w:name="__RefHeading___Toc22183_2829662935"/>
      <w:bookmarkStart w:id="24" w:name="_Toc515886990"/>
      <w:bookmarkStart w:id="25" w:name="_Toc253151518"/>
      <w:bookmarkEnd w:id="23"/>
      <w:r>
        <w:rPr/>
        <w:t xml:space="preserve">Обзор существующих решений для автоматизации </w:t>
      </w:r>
      <w:bookmarkEnd w:id="25"/>
      <w:r>
        <w:rPr/>
        <w:t>бизнес-процесса</w:t>
      </w:r>
      <w:bookmarkEnd w:id="24"/>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Рассмотрим некоторые решения для автоматизации процессов отдела закупок и оценки благонадёжности поставщика, представленным на Российском рынке программного обеспечения.</w:t>
      </w:r>
    </w:p>
    <w:p>
      <w:pPr>
        <w:pStyle w:val="Normal"/>
        <w:spacing w:lineRule="auto" w:line="360" w:before="0" w:after="0"/>
        <w:ind w:firstLine="992"/>
        <w:jc w:val="both"/>
        <w:rPr>
          <w:rFonts w:ascii="Times New Roman" w:hAnsi="Times New Roman" w:cs="Times New Roman"/>
          <w:sz w:val="28"/>
          <w:szCs w:val="28"/>
          <w:lang w:val="en-US"/>
        </w:rPr>
      </w:pPr>
      <w:bookmarkStart w:id="26" w:name="_Hlk515222634"/>
      <w:r>
        <w:rPr>
          <w:rFonts w:cs="Times New Roman"/>
          <w:sz w:val="28"/>
          <w:szCs w:val="28"/>
        </w:rPr>
        <w:t xml:space="preserve">PLUSSELL </w:t>
      </w:r>
      <w:bookmarkEnd w:id="26"/>
      <w:r>
        <w:rPr>
          <w:rFonts w:cs="Times New Roman"/>
          <w:sz w:val="28"/>
          <w:szCs w:val="28"/>
        </w:rPr>
        <w:t>- комплексная система автоматизации и контроля торгово-закупочной деятельности предприятий, которая позволяет заказчикам и поставщикам объединиться в коммуникационную систему единого стандарта для увеличения эффективности работы и сотрудничества в соответствующих процессах закупки и поставки в режиме реального времени. [</w:t>
      </w:r>
      <w:r>
        <w:rPr>
          <w:rFonts w:cs="Times New Roman"/>
          <w:sz w:val="28"/>
          <w:szCs w:val="28"/>
          <w:lang w:val="en-US"/>
        </w:rPr>
        <w:t>]</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Функциональные возможности программы:</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объединения работы филиалов, отделов и сотрудников в единую систему с определенными правами и доступом для оптимизации и стандартизации процессов.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автоматизация и увеличение эффективности взаимодействия с поставщиками в единой системе.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открытость и соблюдение стандартов позволяет планировать и контролировать уровень заказов, поставок и иных задач.</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мощная аналитика и статистика в режиме реального времени позволяют видеть прозрачность расходов и контролировать процесс снабжения.</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Сервис создания бланков документов. Согласовывайте любые заявки в два клика прямо из системы. Все документы структурированы по клиентам.</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Быстрое и удобное предложение цен от поставщиков</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Возможность построения функциональной структуры работы в компании с распределением ролей и задачи согласно своим бизнес процессам.</w:t>
      </w:r>
    </w:p>
    <w:p>
      <w:pPr>
        <w:pStyle w:val="Normal"/>
        <w:spacing w:lineRule="auto" w:line="360" w:before="0" w:after="0"/>
        <w:ind w:firstLine="992"/>
        <w:jc w:val="both"/>
        <w:rPr>
          <w:rFonts w:ascii="Times New Roman" w:hAnsi="Times New Roman" w:cs="Times New Roman"/>
          <w:sz w:val="28"/>
          <w:szCs w:val="28"/>
          <w:lang w:val="en-US"/>
        </w:rPr>
      </w:pPr>
      <w:bookmarkStart w:id="27" w:name="_Hlk515222629"/>
      <w:r>
        <w:rPr>
          <w:rFonts w:cs="Times New Roman"/>
          <w:sz w:val="28"/>
          <w:szCs w:val="28"/>
        </w:rPr>
        <w:t xml:space="preserve">SAP Ariba </w:t>
      </w:r>
      <w:bookmarkEnd w:id="27"/>
      <w:r>
        <w:rPr>
          <w:rFonts w:cs="Times New Roman"/>
          <w:sz w:val="28"/>
          <w:szCs w:val="28"/>
        </w:rPr>
        <w:t>– это облачная платформа для оптимизации закупок и взаимодействия с поставщиками через бизнес-сеть Ariba Network, объединяющую более 2,5 миллионов компаний. Решение состоит из нескольких модулей, предоставляющих богатые функциональные возможности для проведения закупочных процедур, выбора поставщика на основе анализа множества критериев, управления взаимоотношениями с поставщиками и отслеживания KPI, управления договорами и контроля оплаты, проведения закупок на основе каталогов и анализа эффективности закупок. [</w:t>
      </w:r>
      <w:r>
        <w:rPr>
          <w:rFonts w:cs="Times New Roman"/>
          <w:sz w:val="28"/>
          <w:szCs w:val="28"/>
          <w:lang w:val="en-US"/>
        </w:rPr>
        <w:t>12]</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Преимущества платформы SAP Ariba:</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облачным решением, что увеличивает экономию от внедрения за счет отсутствия затрат на закупку оборудования, повышает надежность и предоставляет возможность удаленной работы над проектом. Центр обработки данных расположен на территории РФ и имеет все необходимые сертификаты ФСТЭК и ФСБ.</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открыта для всех видов товаров и услуг, предоставляя инновационные способы подключения к крупнейшей в мире сети покупателей и поставщиков Ariba Network, объединяющей более 2,5 миллионов компаний по всему миру.</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возможность реализации процесса стратегических (pre-award) и операционных (post-award) закупок в одном решении.</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является единой платформой, позволяющей покупателям и поставщикам управлять всей цепочкой закупочного бизнес-процесса: от проведения закупочных процедур и согласования контрактов до оформления заказов и платежей в одном месте. Модульная архитектура позволяет планировать внедрение проекта в оптимальном для компании режиме.</w:t>
      </w:r>
    </w:p>
    <w:p>
      <w:pPr>
        <w:pStyle w:val="ListParagraph"/>
        <w:numPr>
          <w:ilvl w:val="0"/>
          <w:numId w:val="1"/>
        </w:numPr>
        <w:spacing w:lineRule="auto" w:line="360" w:before="0" w:after="0"/>
        <w:ind w:firstLine="709" w:left="0"/>
        <w:contextualSpacing/>
        <w:jc w:val="both"/>
        <w:rPr>
          <w:rFonts w:ascii="Times New Roman" w:hAnsi="Times New Roman" w:cs="Times New Roman"/>
          <w:sz w:val="28"/>
          <w:szCs w:val="28"/>
        </w:rPr>
      </w:pPr>
      <w:r>
        <w:rPr>
          <w:rFonts w:cs="Times New Roman"/>
          <w:sz w:val="28"/>
          <w:szCs w:val="28"/>
        </w:rPr>
        <w:t>предлагает легкую интеграцию с существующим ИТ-ландшафтом компании (как с SAP ERP, так и системами других производителей) посредством веб-сервисов и передачи csv-файлов.</w:t>
      </w:r>
    </w:p>
    <w:p>
      <w:pPr>
        <w:pStyle w:val="Normal"/>
        <w:spacing w:lineRule="auto" w:line="360" w:before="0" w:after="0"/>
        <w:ind w:firstLine="992"/>
        <w:jc w:val="both"/>
        <w:rPr>
          <w:rFonts w:ascii="Times New Roman" w:hAnsi="Times New Roman" w:cs="Times New Roman"/>
          <w:sz w:val="28"/>
          <w:szCs w:val="28"/>
        </w:rPr>
      </w:pPr>
      <w:bookmarkStart w:id="28" w:name="_Hlk515222622"/>
      <w:r>
        <w:rPr>
          <w:rFonts w:cs="Times New Roman"/>
          <w:sz w:val="28"/>
          <w:szCs w:val="28"/>
        </w:rPr>
        <w:t xml:space="preserve">iTender SRM - </w:t>
      </w:r>
      <w:bookmarkEnd w:id="28"/>
      <w:r>
        <w:rPr>
          <w:rFonts w:cs="Times New Roman"/>
          <w:sz w:val="28"/>
          <w:szCs w:val="28"/>
        </w:rPr>
        <w:t>это набор современных инструментов, применяемых на разных этапах процесса управления закупками и взаимодействия с поставщиками. [13]</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Модуль iTender SRM «Планирование закупок» отвечает за регистрацию, согласование, ревью, консолидирование заказов, анализ и прогнозирование потребностей, формирование плана-графика закупок, коммуникацию заказчика с поставщиком, позволяя в оперативном режиме получать важную информацию, например, об изменениях в условиях поставок, новинках производства и так далее.</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 xml:space="preserve">Позволяет упростить управление процессом закупок на предприятии, избежать влияния «человеческого фактора» и потери данных за счет автоматизации документооборота и основных тендерных процедур. Полный контроль на всех стадиях торгово-закупочного процесса, автоматизировав закупочную деятельность. </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Инструмент электронных закупок является частью комплексной SRM системы (Supplier Relationship Management) по управлению взаимоотношением с поставщиками.</w:t>
      </w:r>
    </w:p>
    <w:p>
      <w:pPr>
        <w:pStyle w:val="Normal"/>
        <w:spacing w:lineRule="auto" w:line="360" w:before="0" w:after="0"/>
        <w:ind w:firstLine="992"/>
        <w:jc w:val="both"/>
        <w:rPr>
          <w:rFonts w:ascii="Times New Roman" w:hAnsi="Times New Roman" w:cs="Times New Roman"/>
          <w:sz w:val="28"/>
          <w:szCs w:val="28"/>
        </w:rPr>
      </w:pPr>
      <w:r>
        <w:rPr>
          <w:rFonts w:cs="Times New Roman"/>
          <w:sz w:val="28"/>
          <w:szCs w:val="28"/>
        </w:rPr>
        <w:t>Повышение прозрачности процесса закупок повышает конкурентоспособность компании не только за счет снижения непроизводительных издержек, но и за счет повышения ее авторитета у контрагентов.</w:t>
      </w:r>
    </w:p>
    <w:p>
      <w:pPr>
        <w:pStyle w:val="Normal"/>
        <w:shd w:val="clear" w:fill="FFFFFF"/>
        <w:spacing w:lineRule="auto" w:line="360" w:before="0" w:after="0"/>
        <w:ind w:firstLine="709"/>
        <w:jc w:val="both"/>
        <w:rPr>
          <w:rFonts w:ascii="Times New Roman" w:hAnsi="Times New Roman" w:cs="Times New Roman"/>
          <w:sz w:val="28"/>
          <w:szCs w:val="28"/>
        </w:rPr>
      </w:pPr>
      <w:r>
        <w:rPr>
          <w:rFonts w:cs="Times New Roman"/>
          <w:sz w:val="28"/>
          <w:szCs w:val="28"/>
        </w:rPr>
        <w:t>Проведем сравнительный анализ описанного программного обеспечения и варианта разработки собственной информационной системы для решения поставленных задач с использованием основных критериев. Инструменты будут оцениваться по экономическому и техническому принципу, а также с учетом пригодности для удовлетворения потребностей, поставленных задачами автоматизации бизнес-процесса. Результаты проведенного анализа сведем в таблицу 1.1.</w:t>
      </w:r>
    </w:p>
    <w:p>
      <w:pPr>
        <w:pStyle w:val="3"/>
        <w:keepNext w:val="false"/>
        <w:tabs>
          <w:tab w:val="clear" w:pos="708"/>
          <w:tab w:val="left" w:pos="993" w:leader="none"/>
        </w:tabs>
        <w:spacing w:lineRule="auto" w:line="360"/>
        <w:ind w:firstLine="709"/>
        <w:jc w:val="right"/>
        <w:rPr>
          <w:b w:val="false"/>
          <w:bCs w:val="false"/>
        </w:rPr>
      </w:pPr>
      <w:r>
        <w:rPr>
          <w:b w:val="false"/>
          <w:bCs w:val="false"/>
        </w:rPr>
        <w:t>Таблица 1.1</w:t>
      </w:r>
    </w:p>
    <w:p>
      <w:pPr>
        <w:pStyle w:val="3"/>
        <w:keepNext w:val="false"/>
        <w:tabs>
          <w:tab w:val="clear" w:pos="708"/>
          <w:tab w:val="left" w:pos="993" w:leader="none"/>
        </w:tabs>
        <w:spacing w:lineRule="auto" w:line="360"/>
        <w:ind w:firstLine="709"/>
        <w:rPr>
          <w:b w:val="false"/>
        </w:rPr>
      </w:pPr>
      <w:r>
        <w:rPr>
          <w:b w:val="false"/>
          <w:bCs w:val="false"/>
        </w:rPr>
        <w:t>Сравнительный анализ готовых решени</w:t>
      </w:r>
      <w:r>
        <w:rPr>
          <w:b w:val="false"/>
        </w:rPr>
        <w:t>й</w:t>
      </w:r>
    </w:p>
    <w:tbl>
      <w:tblPr>
        <w:tblW w:w="9505" w:type="dxa"/>
        <w:jc w:val="left"/>
        <w:tblInd w:w="0" w:type="dxa"/>
        <w:tblLayout w:type="fixed"/>
        <w:tblCellMar>
          <w:top w:w="0" w:type="dxa"/>
          <w:left w:w="108" w:type="dxa"/>
          <w:bottom w:w="0" w:type="dxa"/>
          <w:right w:w="108" w:type="dxa"/>
        </w:tblCellMar>
      </w:tblPr>
      <w:tblGrid>
        <w:gridCol w:w="1958"/>
        <w:gridCol w:w="1959"/>
        <w:gridCol w:w="1957"/>
        <w:gridCol w:w="1685"/>
        <w:gridCol w:w="1946"/>
      </w:tblGrid>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Название системы \</w:t>
            </w:r>
          </w:p>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Критерии</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PLUSSELL</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sz w:val="24"/>
                <w:szCs w:val="24"/>
              </w:rPr>
            </w:pPr>
            <w:r>
              <w:rPr>
                <w:rFonts w:eastAsia="Times New Roman" w:cs="Times New Roman"/>
                <w:kern w:val="0"/>
                <w:sz w:val="24"/>
                <w:szCs w:val="24"/>
                <w:lang w:val="ru-RU" w:eastAsia="ru-RU" w:bidi="ar-SA"/>
              </w:rPr>
              <w:t>SAP Ariba</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lineRule="auto" w:line="240" w:before="0" w:after="0"/>
              <w:jc w:val="center"/>
              <w:rPr>
                <w:rFonts w:ascii="Calibri" w:hAnsi="Calibri"/>
                <w:sz w:val="24"/>
                <w:szCs w:val="24"/>
              </w:rPr>
            </w:pPr>
            <w:r>
              <w:rPr>
                <w:rFonts w:eastAsia="Times New Roman" w:cs="Times New Roman"/>
                <w:kern w:val="0"/>
                <w:sz w:val="24"/>
                <w:szCs w:val="24"/>
                <w:lang w:val="ru-RU" w:eastAsia="ru-RU" w:bidi="ar-SA"/>
              </w:rPr>
              <w:t>iTender SRM</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Разработка собственной информационной системы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1</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2</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3</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4</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center"/>
              <w:rPr>
                <w:sz w:val="24"/>
                <w:szCs w:val="24"/>
              </w:rPr>
            </w:pPr>
            <w:r>
              <w:rPr>
                <w:rFonts w:eastAsia="Times New Roman" w:cs="Times New Roman"/>
                <w:kern w:val="0"/>
                <w:sz w:val="24"/>
                <w:szCs w:val="24"/>
                <w:lang w:val="ru-RU" w:eastAsia="ru-RU" w:bidi="ar-SA"/>
              </w:rPr>
              <w:t>5</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Стоимость поставки ПО, руб</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62 100.00</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128 800.00</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17 260.00</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 требуется</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Масштабность внедрения</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Крупные оптовые компании и розничные магазины</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Оптовые компании и розничные магазины</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Мелкие розничные магазины</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Решение поставленных задач</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Среднее</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Низкое</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Полное</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оценки поставщиков</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w:t>
            </w:r>
          </w:p>
        </w:tc>
      </w:tr>
      <w:tr>
        <w:trPr>
          <w:trHeight w:val="20" w:hRule="atLeast"/>
        </w:trPr>
        <w:tc>
          <w:tcPr>
            <w:tcW w:w="1958"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Возможность добавления программных модулей</w:t>
            </w:r>
          </w:p>
        </w:tc>
        <w:tc>
          <w:tcPr>
            <w:tcW w:w="1959"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Да, как администратор, так и пользователь</w:t>
            </w:r>
          </w:p>
        </w:tc>
        <w:tc>
          <w:tcPr>
            <w:tcW w:w="1957"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Только администратор</w:t>
            </w:r>
          </w:p>
        </w:tc>
        <w:tc>
          <w:tcPr>
            <w:tcW w:w="1685"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Нет</w:t>
            </w:r>
          </w:p>
        </w:tc>
        <w:tc>
          <w:tcPr>
            <w:tcW w:w="1946" w:type="dxa"/>
            <w:tcBorders>
              <w:top w:val="single" w:sz="4" w:space="0" w:color="000000"/>
              <w:left w:val="single" w:sz="4" w:space="0" w:color="000000"/>
              <w:bottom w:val="single" w:sz="4" w:space="0" w:color="000000"/>
              <w:right w:val="single" w:sz="4" w:space="0" w:color="000000"/>
            </w:tcBorders>
            <w:vAlign w:val="center"/>
          </w:tcPr>
          <w:p>
            <w:pPr>
              <w:pStyle w:val="Normal"/>
              <w:widowControl w:val="false"/>
              <w:tabs>
                <w:tab w:val="clear" w:pos="708"/>
                <w:tab w:val="left" w:pos="993" w:leader="none"/>
              </w:tabs>
              <w:spacing w:lineRule="auto" w:line="240" w:before="0" w:after="0"/>
              <w:jc w:val="left"/>
              <w:rPr>
                <w:sz w:val="24"/>
                <w:szCs w:val="24"/>
              </w:rPr>
            </w:pPr>
            <w:r>
              <w:rPr>
                <w:rFonts w:eastAsia="Times New Roman" w:cs="Times New Roman"/>
                <w:kern w:val="0"/>
                <w:sz w:val="24"/>
                <w:szCs w:val="24"/>
                <w:lang w:val="ru-RU" w:eastAsia="ru-RU" w:bidi="ar-SA"/>
              </w:rPr>
              <w:t>Только администратор</w:t>
            </w:r>
          </w:p>
        </w:tc>
      </w:tr>
    </w:tbl>
    <w:p>
      <w:pPr>
        <w:pStyle w:val="Normal"/>
        <w:widowControl w:val="false"/>
        <w:tabs>
          <w:tab w:val="clear" w:pos="708"/>
          <w:tab w:val="left" w:pos="993" w:leader="none"/>
        </w:tabs>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hd w:val="clear" w:fill="FFFFFF"/>
        <w:spacing w:lineRule="auto" w:line="360" w:before="0" w:after="0"/>
        <w:ind w:firstLine="709"/>
        <w:jc w:val="both"/>
        <w:rPr>
          <w:rFonts w:ascii="Times New Roman" w:hAnsi="Times New Roman" w:eastAsia="Times New Roman" w:cs="Times New Roman"/>
          <w:sz w:val="28"/>
          <w:szCs w:val="28"/>
          <w:lang w:eastAsia="ru-RU"/>
        </w:rPr>
      </w:pPr>
      <w:r>
        <w:rPr>
          <w:rFonts w:cs="Times New Roman"/>
          <w:sz w:val="28"/>
          <w:szCs w:val="28"/>
        </w:rPr>
        <w:t xml:space="preserve">Все описанные системы являются мощными </w:t>
      </w:r>
      <w:r>
        <w:rPr>
          <w:rFonts w:cs="Times New Roman"/>
          <w:sz w:val="28"/>
          <w:szCs w:val="28"/>
          <w:lang w:val="en-US"/>
        </w:rPr>
        <w:t>CRM</w:t>
      </w:r>
      <w:r>
        <w:rPr>
          <w:rFonts w:cs="Times New Roman"/>
          <w:sz w:val="28"/>
          <w:szCs w:val="28"/>
        </w:rPr>
        <w:t>-системами для обработки заказов и работы с поставщиками, имеющие излишний функционал. Разработка собственной информационной системы потребует на порядок меньших затрат чем приобретение готовой системы и малую необходимость в обучении персонала, обеспечит максимальную наглядность и полное решение поставленных задач. Всё это делает этот вариант самым выгодным для автоматизации рассматриваемого бизнес-процесса.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Такой программный продукт поможет повышению эффективности труда сотрудников, сможет привести к сокращению трудоёмкости в процессе формирования отчётных форм и процессе контроля, обеспечит сокращение времени доступа к необходимой информации. В результате чего, принято решение о разработки независимой информационной системы, позволяющей решить все описанные проблемы и повысить эффективность деятельности сотрудников предприятия.</w:t>
      </w:r>
    </w:p>
    <w:p>
      <w:pPr>
        <w:pStyle w:val="Normal"/>
        <w:rPr>
          <w:rFonts w:ascii="Times New Roman" w:hAnsi="Times New Roman" w:cs="Times New Roman"/>
          <w:sz w:val="28"/>
          <w:szCs w:val="28"/>
        </w:rPr>
      </w:pPr>
      <w:r>
        <w:rPr>
          <w:rFonts w:cs="Times New Roman"/>
          <w:sz w:val="28"/>
          <w:szCs w:val="28"/>
        </w:rPr>
      </w:r>
    </w:p>
    <w:p>
      <w:pPr>
        <w:pStyle w:val="Normal"/>
        <w:numPr>
          <w:ilvl w:val="1"/>
          <w:numId w:val="10"/>
        </w:numPr>
        <w:jc w:val="center"/>
        <w:rPr>
          <w:rFonts w:ascii="Times New Roman" w:hAnsi="Times New Roman" w:cs="Times New Roman"/>
          <w:color w:val="auto"/>
          <w:sz w:val="28"/>
          <w:szCs w:val="28"/>
        </w:rPr>
      </w:pPr>
      <w:bookmarkStart w:id="29" w:name="__RefHeading___Toc22185_2829662935"/>
      <w:bookmarkStart w:id="30" w:name="_Toc509339939"/>
      <w:bookmarkStart w:id="31" w:name="_Toc509264823"/>
      <w:bookmarkStart w:id="32" w:name="_Toc484799749"/>
      <w:bookmarkStart w:id="33" w:name="_Toc510113486"/>
      <w:bookmarkStart w:id="34" w:name="_Toc515886991"/>
      <w:bookmarkStart w:id="35" w:name="_Toc509663655"/>
      <w:bookmarkEnd w:id="29"/>
      <w:r>
        <w:rPr/>
        <w:t>Обоснование выбора среды для разработки информационной системы</w:t>
      </w:r>
      <w:bookmarkEnd w:id="30"/>
      <w:bookmarkEnd w:id="31"/>
      <w:bookmarkEnd w:id="32"/>
      <w:bookmarkEnd w:id="33"/>
      <w:bookmarkEnd w:id="34"/>
      <w:bookmarkEnd w:id="35"/>
    </w:p>
    <w:p>
      <w:pPr>
        <w:pStyle w:val="Normal"/>
        <w:spacing w:lineRule="auto" w:line="360" w:before="0" w:after="0"/>
        <w:ind w:firstLine="709" w:left="0"/>
        <w:jc w:val="both"/>
        <w:rPr>
          <w:rFonts w:ascii="Times New Roman" w:hAnsi="Times New Roman"/>
        </w:rPr>
      </w:pPr>
      <w:bookmarkStart w:id="36" w:name="__RefHeading___Toc2880_4046097046"/>
      <w:bookmarkEnd w:id="36"/>
      <w:r>
        <w:rPr>
          <w:rFonts w:cs="Times New Roman"/>
          <w:color w:val="000000"/>
          <w:sz w:val="28"/>
          <w:szCs w:val="28"/>
          <w:shd w:fill="FFFFFF" w:val="clear"/>
        </w:rPr>
        <w:t>Создаваемая информационная система должна соответствовать уровню современных веб-приложений, обладать интуитивным и понятным интерфейсом, при этом обеспечивать высокую производительность при обработке данных и работе с моделями машинного обучения. Система должна быть масштабируемой, легко интегрируемой с внешними сервисами и поддерживать возможность дальнейшего расширения функционала без значительных переработок архитектуры.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7" w:name="__RefHeading___Toc2882_4046097046"/>
      <w:bookmarkEnd w:id="37"/>
      <w:r>
        <w:rPr>
          <w:rFonts w:cs="Times New Roman"/>
          <w:color w:val="000000"/>
          <w:sz w:val="28"/>
          <w:szCs w:val="28"/>
          <w:shd w:fill="FFFFFF" w:val="clear"/>
        </w:rPr>
        <w:t>При выборе технологического стека для разработки были рассмотрены следующие варианты: классические десктоп-решения на базе Borland Delphi, системы управления базами данных (СУБД) с встроенной логикой (MS Access, Firebird SQL), платформы для бизнес-приложений (1С:Предприятие 8.3), а также современные веб-ориентированные стек на Python с использованием нейронных сетей и FastAPI.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8" w:name="__RefHeading___Toc2884_4046097046"/>
      <w:bookmarkEnd w:id="38"/>
      <w:r>
        <w:rPr>
          <w:rFonts w:cs="Times New Roman"/>
          <w:color w:val="000000"/>
          <w:sz w:val="28"/>
          <w:szCs w:val="28"/>
          <w:shd w:fill="FFFFFF" w:val="clear"/>
        </w:rPr>
        <w:t>Borland Delphi обладает удобными визуальными средствами проектирования, которые позволяют быстро создать графический интерфейс пользователя для Windows-приложений. Объектно-ориентированный подход позволяет рассматривать программу как набор взаимосвязанных объектов. Однако для задачи оценки рисков поставщиков с использованием нейронных сетей Delphi не предоставляет достаточных инструментов для интеграции современных библиотек машинного обучения, что является существенным ограничением.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39" w:name="__RefHeading___Toc2886_4046097046"/>
      <w:bookmarkEnd w:id="39"/>
      <w:r>
        <w:rPr>
          <w:rFonts w:cs="Times New Roman"/>
          <w:color w:val="000000"/>
          <w:sz w:val="28"/>
          <w:szCs w:val="28"/>
          <w:shd w:fill="FFFFFF" w:val="clear"/>
        </w:rPr>
        <w:t>MS Access как СУБД с элементами разработки подходит для небольших систем с ограниченной нагрузкой. Недостатками являются слабая производительность при работе с большими объемами данных, отсутствие встроенной поддержки нейросетевых моделей и ограниченные возможности по веб-интеграции.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0" w:name="__RefHeading___Toc2888_4046097046"/>
      <w:bookmarkEnd w:id="40"/>
      <w:r>
        <w:rPr>
          <w:rFonts w:cs="Times New Roman"/>
          <w:color w:val="000000"/>
          <w:sz w:val="28"/>
          <w:szCs w:val="28"/>
          <w:shd w:fill="FFFFFF" w:val="clear"/>
        </w:rPr>
        <w:t>Firebird SQL — свободная СУБД с многоверсионной архитектурой, подходящая для хранения данных. Однако для реализации интеллектуальной системы оценки рисков требуется не только хранение, но и сложная обработка данных с использованием предобученных моделей, что выходит за рамки возможностей Firebird.</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1" w:name="__RefHeading___Toc2890_4046097046"/>
      <w:bookmarkEnd w:id="41"/>
      <w:r>
        <w:rPr>
          <w:rFonts w:cs="Times New Roman"/>
          <w:color w:val="000000"/>
          <w:sz w:val="28"/>
          <w:szCs w:val="28"/>
          <w:shd w:fill="FFFFFF" w:val="clear"/>
        </w:rPr>
        <w:t>1С:Предприятие 8.3 — мощная платформа для разработки бизнес-приложений с русскоязычным интерфейсом и встроенным языком программирования. Она обеспечивает удобные средства для учета и отчетности, но обладает ограниченными возможностями для реализации и эксплуатации сложных нейронных сетей и алгоритмов машинного обучения, которые требуют интеграции со специализированными Python-библиотеками (TensorFlow, PyTorch,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2" w:name="__RefHeading___Toc2892_4046097046"/>
      <w:bookmarkEnd w:id="42"/>
      <w:r>
        <w:rPr>
          <w:rFonts w:cs="Times New Roman"/>
          <w:color w:val="000000"/>
          <w:sz w:val="28"/>
          <w:szCs w:val="28"/>
          <w:shd w:fill="FFFFFF" w:val="clear"/>
        </w:rPr>
        <w:t>Для реализации нейросетевой модели также были проанализированы различные библиотеки машинного обучения: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3" w:name="__RefHeading___Toc2894_4046097046"/>
      <w:bookmarkEnd w:id="43"/>
      <w:r>
        <w:rPr>
          <w:rFonts w:cs="Times New Roman"/>
          <w:color w:val="000000"/>
          <w:sz w:val="28"/>
          <w:szCs w:val="28"/>
          <w:shd w:fill="FFFFFF" w:val="clear"/>
        </w:rPr>
        <w:t>TensorFlow/Keras — фреймворк глубокого обучения, предлагающий высокоуровневые API для построения сложных нейронных сетей. Однако для задачи классификации рисков поставщиков, работающей преимущественно с табличными данными, избыточная сложность глубоких нейронных сетей не требуется. Более того, TensorFlow требует значительных вычислительных ресурсов и имеет более сложный процесс развертывания в производственной среде по сравнению с ансамблевыми методами.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4" w:name="__RefHeading___Toc2896_4046097046"/>
      <w:bookmarkEnd w:id="44"/>
      <w:r>
        <w:rPr>
          <w:rFonts w:cs="Times New Roman"/>
          <w:color w:val="000000"/>
          <w:sz w:val="28"/>
          <w:szCs w:val="28"/>
          <w:shd w:fill="FFFFFF" w:val="clear"/>
        </w:rPr>
        <w:t>PyTorch — другой популярный фреймворк для глубокого обучения, отличающийся динамическим графом вычислений и удобством отладки. Как и TensorFlow, PyTorch ориентирован на задачи компьютерного зрения и обработки естественного языка, где требуется работа с изображениями и текстами. Для структурированных финансовых данных классические ансамблевые методы часто показывают сравнимую или лучшую производительность при меньших вычислительных затратах.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5" w:name="__RefHeading___Toc2898_4046097046"/>
      <w:bookmarkEnd w:id="45"/>
      <w:r>
        <w:rPr>
          <w:rFonts w:cs="Times New Roman"/>
          <w:color w:val="000000"/>
          <w:sz w:val="28"/>
          <w:szCs w:val="28"/>
          <w:shd w:fill="FFFFFF" w:val="clear"/>
        </w:rPr>
        <w:t>CatBoost и LightGBM — современные реализации градиентного бустинга, конкурирующие с XGBoost. В ходе экспериментов XGBoost показал лучшую стабильность и интерпретируемость результатов на нашем наборе данных. Кроме того, XGBoost имеет более зрелую экосистему и лучше интегрируется с ансамблевыми подходами StackingClassifier из scikit-learn.</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6" w:name="__RefHeading___Toc2900_4046097046"/>
      <w:bookmarkEnd w:id="46"/>
      <w:r>
        <w:rPr>
          <w:rFonts w:cs="Times New Roman"/>
          <w:color w:val="000000"/>
          <w:sz w:val="28"/>
          <w:szCs w:val="28"/>
          <w:shd w:fill="FFFFFF" w:val="clear"/>
        </w:rPr>
        <w:t>FastAPI — современный высокопроизводительный фреймворк для создания API на Python. По сравнению с Flask, FastAPI предлагает встроенную поддержку асинхронных операций, автоматическую генерацию документации OpenAPI (Swagger) на основе аннотаций типов, а также автоматическую валидацию данных через интеграцию с Pydantic.</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7" w:name="__RefHeading___Toc2902_4046097046"/>
      <w:bookmarkEnd w:id="47"/>
      <w:r>
        <w:rPr>
          <w:rFonts w:cs="Times New Roman"/>
          <w:color w:val="000000"/>
          <w:sz w:val="28"/>
          <w:szCs w:val="28"/>
          <w:shd w:fill="FFFFFF" w:val="clear"/>
        </w:rPr>
        <w:t>Flask — минималистичный фреймворк для создания веб-приложений и API. Хотя Flask проще в освоении, он требует ручного конфигурирования многих компонентов, не имеет встроенной поддержки асинхронности и автоматической генерации документации OpenAPI, что усложняет разработку и поддержку промышленного решения.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48" w:name="__RefHeading___Toc2904_4046097046"/>
      <w:bookmarkEnd w:id="48"/>
      <w:r>
        <w:rPr>
          <w:rFonts w:cs="Times New Roman"/>
          <w:color w:val="000000"/>
          <w:sz w:val="28"/>
          <w:szCs w:val="28"/>
          <w:shd w:fill="FFFFFF" w:val="clear"/>
        </w:rPr>
        <w:t xml:space="preserve">Django/Django REST Framework (DRF) — полноценный </w:t>
      </w:r>
      <w:r>
        <w:rPr>
          <w:rFonts w:cs="Times New Roman"/>
          <w:color w:val="000000"/>
          <w:sz w:val="28"/>
          <w:szCs w:val="28"/>
          <w:shd w:fill="FFFFFF" w:val="clear"/>
          <w:lang w:val="en-US"/>
        </w:rPr>
        <w:t xml:space="preserve">Python </w:t>
      </w:r>
      <w:r>
        <w:rPr>
          <w:rFonts w:cs="Times New Roman"/>
          <w:color w:val="000000"/>
          <w:sz w:val="28"/>
          <w:szCs w:val="28"/>
          <w:shd w:fill="FFFFFF" w:val="clear"/>
        </w:rPr>
        <w:t xml:space="preserve">фреймворк. DRF предоставляет богатый набор инструментов для создания REST API, но обладает избыточной сложностью для нашей задачи, где требуется только один эндпоинт для предсказаний. Кроме того, Django имеет более высокие накладные расходы по сравнению с остальными </w:t>
      </w:r>
      <w:r>
        <w:rPr>
          <w:rFonts w:cs="Times New Roman"/>
          <w:color w:val="000000"/>
          <w:sz w:val="28"/>
          <w:szCs w:val="28"/>
          <w:shd w:fill="FFFFFF" w:val="clear"/>
          <w:lang w:val="en-US"/>
        </w:rPr>
        <w:t xml:space="preserve">Python </w:t>
      </w:r>
      <w:r>
        <w:rPr>
          <w:rFonts w:cs="Times New Roman"/>
          <w:color w:val="000000"/>
          <w:sz w:val="28"/>
          <w:szCs w:val="28"/>
          <w:shd w:fill="FFFFFF" w:val="clear"/>
          <w:lang w:val="ru-RU"/>
        </w:rPr>
        <w:t>фреймворками</w:t>
      </w:r>
      <w:r>
        <w:rPr>
          <w:rFonts w:cs="Times New Roman"/>
          <w:color w:val="000000"/>
          <w:sz w:val="28"/>
          <w:szCs w:val="28"/>
          <w:shd w:fill="FFFFFF" w:val="clear"/>
        </w:rPr>
        <w:t>.</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hanging="0" w:left="0"/>
        <w:jc w:val="both"/>
        <w:rPr>
          <w:rFonts w:ascii="Times New Roman" w:hAnsi="Times New Roman"/>
        </w:rPr>
      </w:pPr>
      <w:bookmarkStart w:id="49" w:name="__RefHeading___Toc2906_4046097046"/>
      <w:bookmarkEnd w:id="49"/>
      <w:r>
        <w:rPr>
          <w:rFonts w:cs="Times New Roman"/>
          <w:color w:val="000000"/>
          <w:sz w:val="28"/>
          <w:szCs w:val="28"/>
          <w:shd w:fill="FFFFFF" w:val="clear"/>
        </w:rPr>
        <w:tab/>
        <w:t>В контексте разработки интеллектуальной системы оценки рисков поставщиков, где ключевым компонентом является модель машинного обучения, обученная на исторических данных, наиболее целесообразным является выбор Python в качестве основного языка разработки. Python обладает следующими преимуществами: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0" w:name="__RefHeading___Toc2908_4046097046"/>
      <w:bookmarkEnd w:id="50"/>
      <w:r>
        <w:rPr>
          <w:rFonts w:cs="Times New Roman"/>
          <w:color w:val="000000"/>
          <w:sz w:val="28"/>
          <w:szCs w:val="28"/>
          <w:shd w:fill="FFFFFF" w:val="clear"/>
        </w:rPr>
        <w:t>Богатый набор библиотек для машинного обучения (Scikit-learn, XGBoost, TensorFlow, Keras) и обработки данных (Pandas, NumPy).</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1" w:name="__RefHeading___Toc2910_4046097046"/>
      <w:bookmarkEnd w:id="51"/>
      <w:r>
        <w:rPr>
          <w:rFonts w:cs="Times New Roman"/>
          <w:color w:val="000000"/>
          <w:sz w:val="28"/>
          <w:szCs w:val="28"/>
          <w:shd w:fill="FFFFFF" w:val="clear"/>
        </w:rPr>
        <w:t>Поддержка создания высокопроизводительных веб-API с помощью FastAPI, что позволяет легко интегрировать модель в информационную систему и предоставлять к ней доступ через HTTP-запросы.</w:t>
      </w:r>
    </w:p>
    <w:p>
      <w:pPr>
        <w:pStyle w:val="Normal"/>
        <w:numPr>
          <w:ilvl w:val="0"/>
          <w:numId w:val="6"/>
        </w:numPr>
        <w:spacing w:lineRule="auto" w:line="360" w:before="0" w:after="0"/>
        <w:jc w:val="both"/>
        <w:rPr>
          <w:rFonts w:ascii="Times New Roman" w:hAnsi="Times New Roman" w:cs="Times New Roman"/>
          <w:color w:val="000000"/>
          <w:sz w:val="28"/>
          <w:szCs w:val="28"/>
          <w:shd w:fill="FFFFFF" w:val="clear"/>
        </w:rPr>
      </w:pPr>
      <w:bookmarkStart w:id="52" w:name="__RefHeading___Toc2912_4046097046"/>
      <w:bookmarkEnd w:id="52"/>
      <w:r>
        <w:rPr>
          <w:rFonts w:cs="Times New Roman"/>
          <w:color w:val="000000"/>
          <w:sz w:val="28"/>
          <w:szCs w:val="28"/>
          <w:shd w:fill="FFFFFF" w:val="clear"/>
        </w:rPr>
        <w:t>Кроссплатформенность и возможность развертывания на различных операционных системах и облачных платформах.</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3" w:name="__RefHeading___Toc2914_4046097046"/>
      <w:bookmarkEnd w:id="53"/>
      <w:r>
        <w:rPr>
          <w:rFonts w:cs="Times New Roman"/>
          <w:color w:val="000000"/>
          <w:sz w:val="28"/>
          <w:szCs w:val="28"/>
          <w:shd w:fill="FFFFFF" w:val="clear"/>
        </w:rPr>
        <w:t>Окончательное решение: Для реализации нейросетевой модели был использован ансамблевый подход (StackingClassifier) на базе Scikit-learn, сочетающий несколько алгоритмов: RandomForest, GradientBoosting, XGBoost и логистическую регрессию в качестве метамодели. Этот подход позволяет достичь высокой точности классификации (более 90% на тестовых данных) и устойчивости к переобучению, превосходя по эффективности отдельно взятые глубокие нейронные сети для работы с табличными данными.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54" w:name="__RefHeading___Toc2916_4046097046"/>
      <w:bookmarkEnd w:id="54"/>
      <w:r>
        <w:rPr>
          <w:rFonts w:cs="Times New Roman"/>
          <w:color w:val="000000"/>
          <w:sz w:val="28"/>
          <w:szCs w:val="28"/>
          <w:shd w:fill="FFFFFF" w:val="clear"/>
        </w:rPr>
        <w:t>Для предоставления доступа к модели выбран FastAPI как оптимальный баланс между производительностью, простотой разработки и функциональностью:</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5" w:name="__RefHeading___Toc2918_4046097046"/>
      <w:bookmarkEnd w:id="55"/>
      <w:r>
        <w:rPr>
          <w:rFonts w:cs="Times New Roman"/>
          <w:color w:val="000000"/>
          <w:sz w:val="28"/>
          <w:szCs w:val="28"/>
          <w:shd w:fill="FFFFFF" w:val="clear"/>
        </w:rPr>
        <w:t>Автоматическая генерация документации OpenAPI/Swagger</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6" w:name="__RefHeading___Toc2920_4046097046"/>
      <w:bookmarkEnd w:id="56"/>
      <w:r>
        <w:rPr>
          <w:rFonts w:cs="Times New Roman"/>
          <w:color w:val="000000"/>
          <w:sz w:val="28"/>
          <w:szCs w:val="28"/>
          <w:shd w:fill="FFFFFF" w:val="clear"/>
        </w:rPr>
        <w:t>Высокая производительность, сравнимая с Node.js и Go</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7" w:name="__RefHeading___Toc2922_4046097046"/>
      <w:bookmarkEnd w:id="57"/>
      <w:r>
        <w:rPr>
          <w:rFonts w:cs="Times New Roman"/>
          <w:color w:val="000000"/>
          <w:sz w:val="28"/>
          <w:szCs w:val="28"/>
          <w:shd w:fill="FFFFFF" w:val="clear"/>
        </w:rPr>
        <w:t>Встроенная поддержка асинхронных операций</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8" w:name="__RefHeading___Toc2924_4046097046"/>
      <w:bookmarkEnd w:id="58"/>
      <w:r>
        <w:rPr>
          <w:rFonts w:cs="Times New Roman"/>
          <w:color w:val="000000"/>
          <w:sz w:val="28"/>
          <w:szCs w:val="28"/>
          <w:shd w:fill="FFFFFF" w:val="clear"/>
        </w:rPr>
        <w:t>Простая интеграция с Python-библиотеками машинного обучения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59" w:name="__RefHeading___Toc2926_4046097046"/>
      <w:bookmarkEnd w:id="59"/>
      <w:r>
        <w:rPr>
          <w:rFonts w:cs="Times New Roman"/>
          <w:color w:val="000000"/>
          <w:sz w:val="28"/>
          <w:szCs w:val="28"/>
          <w:shd w:fill="FFFFFF" w:val="clear"/>
        </w:rPr>
        <w:t>Автоматическая валидация данных через Pydantic</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0" w:name="__RefHeading___Toc2928_4046097046"/>
      <w:bookmarkEnd w:id="60"/>
      <w:r>
        <w:rPr>
          <w:rFonts w:cs="Times New Roman"/>
          <w:color w:val="000000"/>
          <w:sz w:val="28"/>
          <w:szCs w:val="28"/>
          <w:shd w:fill="FFFFFF" w:val="clear"/>
        </w:rPr>
        <w:t>Простота развертывания и масштабирования</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1" w:name="__RefHeading___Toc2930_4046097046"/>
      <w:bookmarkEnd w:id="61"/>
      <w:r>
        <w:rPr>
          <w:rFonts w:cs="Times New Roman"/>
          <w:color w:val="000000"/>
          <w:sz w:val="28"/>
          <w:szCs w:val="28"/>
          <w:shd w:fill="FFFFFF" w:val="clear"/>
        </w:rPr>
        <w:t>Интерфейс системы реализован как веб-приложение, что обеспечивает:</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2" w:name="__RefHeading___Toc2932_4046097046"/>
      <w:bookmarkEnd w:id="62"/>
      <w:r>
        <w:rPr>
          <w:rFonts w:cs="Times New Roman"/>
          <w:color w:val="000000"/>
          <w:sz w:val="28"/>
          <w:szCs w:val="28"/>
          <w:shd w:fill="FFFFFF" w:val="clear"/>
        </w:rPr>
        <w:t>Доступ с любых устройств через браузер.</w:t>
      </w:r>
    </w:p>
    <w:p>
      <w:pPr>
        <w:pStyle w:val="Normal"/>
        <w:numPr>
          <w:ilvl w:val="0"/>
          <w:numId w:val="5"/>
        </w:numPr>
        <w:spacing w:lineRule="auto" w:line="360" w:before="0" w:after="0"/>
        <w:jc w:val="both"/>
        <w:rPr>
          <w:rFonts w:ascii="Times New Roman" w:hAnsi="Times New Roman" w:cs="Times New Roman"/>
          <w:color w:val="000000"/>
          <w:sz w:val="28"/>
          <w:szCs w:val="28"/>
          <w:shd w:fill="FFFFFF" w:val="clear"/>
        </w:rPr>
      </w:pPr>
      <w:bookmarkStart w:id="63" w:name="__RefHeading___Toc2934_4046097046"/>
      <w:bookmarkEnd w:id="63"/>
      <w:r>
        <w:rPr>
          <w:rFonts w:cs="Times New Roman"/>
          <w:color w:val="000000"/>
          <w:sz w:val="28"/>
          <w:szCs w:val="28"/>
          <w:shd w:fill="FFFFFF" w:val="clear"/>
        </w:rPr>
        <w:t>Простую интеграцию с внешними системами через REST API.</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4" w:name="__RefHeading___Toc2936_4046097046"/>
      <w:bookmarkEnd w:id="64"/>
      <w:r>
        <w:rPr>
          <w:rFonts w:cs="Times New Roman"/>
          <w:color w:val="000000"/>
          <w:sz w:val="28"/>
          <w:szCs w:val="28"/>
          <w:shd w:fill="FFFFFF" w:val="clear"/>
        </w:rPr>
        <w:t>Важным аспектом разработки системы является выбор источника данных для оценки поставщиков. Были проанализированы три основных API-сервиса:</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5" w:name="__RefHeading___Toc2938_4046097046"/>
      <w:bookmarkEnd w:id="65"/>
      <w:r>
        <w:rPr>
          <w:rFonts w:cs="Times New Roman"/>
          <w:color w:val="000000"/>
          <w:sz w:val="28"/>
          <w:szCs w:val="28"/>
          <w:shd w:fill="FFFFFF" w:val="clear"/>
        </w:rPr>
        <w:t>API ФНС России (Федеральной налоговой службы) предоставляет официальные данные из государственных реестров, включая ЕГРЮЛ и ЕГРИП. Основные недостатки:</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7"/>
        </w:numPr>
        <w:spacing w:lineRule="auto" w:line="360" w:before="0" w:after="0"/>
        <w:jc w:val="both"/>
        <w:rPr>
          <w:rFonts w:ascii="Times New Roman" w:hAnsi="Times New Roman"/>
        </w:rPr>
      </w:pPr>
      <w:bookmarkStart w:id="66" w:name="__RefHeading___Toc2940_4046097046"/>
      <w:bookmarkEnd w:id="66"/>
      <w:r>
        <w:rPr>
          <w:rFonts w:cs="Times New Roman"/>
          <w:color w:val="000000"/>
          <w:sz w:val="28"/>
          <w:szCs w:val="28"/>
          <w:shd w:fill="FFFFFF" w:val="clear"/>
        </w:rPr>
        <w:t>Ограниченное количество организаций в базовых подписках (обычно до 10 000 проверок в год)</w:t>
      </w:r>
    </w:p>
    <w:p>
      <w:pPr>
        <w:pStyle w:val="Normal"/>
        <w:numPr>
          <w:ilvl w:val="0"/>
          <w:numId w:val="7"/>
        </w:numPr>
        <w:spacing w:lineRule="auto" w:line="360" w:before="0" w:after="0"/>
        <w:jc w:val="both"/>
        <w:rPr>
          <w:rFonts w:ascii="Times New Roman" w:hAnsi="Times New Roman"/>
        </w:rPr>
      </w:pPr>
      <w:bookmarkStart w:id="67" w:name="__RefHeading___Toc2942_4046097046"/>
      <w:bookmarkEnd w:id="67"/>
      <w:r>
        <w:rPr>
          <w:rFonts w:cs="Times New Roman"/>
          <w:color w:val="000000"/>
          <w:sz w:val="28"/>
          <w:szCs w:val="28"/>
          <w:shd w:fill="FFFFFF" w:val="clear"/>
        </w:rPr>
        <w:t>Годовая подписка от 10 000 рублей, что неэффективно для малых и средних предприятий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68" w:name="__RefHeading___Toc2944_4046097046"/>
      <w:bookmarkEnd w:id="68"/>
      <w:r>
        <w:rPr>
          <w:rFonts w:cs="Times New Roman"/>
          <w:color w:val="000000"/>
          <w:sz w:val="28"/>
          <w:szCs w:val="28"/>
          <w:shd w:fill="FFFFFF" w:val="clear"/>
        </w:rPr>
        <w:t>Контур.Фокус — коммерческий сервис проверки контрагентов с расширенной аналитикой. Несмотря на богатый функционал, имеет существенные ограничения:</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8"/>
        </w:numPr>
        <w:spacing w:lineRule="auto" w:line="360" w:before="0" w:after="0"/>
        <w:jc w:val="both"/>
        <w:rPr>
          <w:rFonts w:ascii="Times New Roman" w:hAnsi="Times New Roman"/>
        </w:rPr>
      </w:pPr>
      <w:bookmarkStart w:id="69" w:name="__RefHeading___Toc2946_4046097046"/>
      <w:bookmarkEnd w:id="69"/>
      <w:r>
        <w:rPr>
          <w:rFonts w:cs="Times New Roman"/>
          <w:color w:val="000000"/>
          <w:sz w:val="28"/>
          <w:szCs w:val="28"/>
          <w:shd w:fill="FFFFFF" w:val="clear"/>
        </w:rPr>
        <w:t>Ограничение на количество проверяемых организаций (обычно 10 000 в год в базовых тарифах)</w:t>
      </w:r>
    </w:p>
    <w:p>
      <w:pPr>
        <w:pStyle w:val="Normal"/>
        <w:numPr>
          <w:ilvl w:val="0"/>
          <w:numId w:val="8"/>
        </w:numPr>
        <w:spacing w:lineRule="auto" w:line="360" w:before="0" w:after="0"/>
        <w:jc w:val="both"/>
        <w:rPr>
          <w:rFonts w:ascii="Times New Roman" w:hAnsi="Times New Roman"/>
        </w:rPr>
      </w:pPr>
      <w:bookmarkStart w:id="70" w:name="__RefHeading___Toc2948_4046097046"/>
      <w:bookmarkEnd w:id="70"/>
      <w:r>
        <w:rPr>
          <w:rFonts w:cs="Times New Roman"/>
          <w:color w:val="000000"/>
          <w:sz w:val="28"/>
          <w:szCs w:val="28"/>
          <w:shd w:fill="FFFFFF" w:val="clear"/>
        </w:rPr>
        <w:t>Высокая стоимость годовой подписки (от 12 000 рублей)</w:t>
      </w:r>
    </w:p>
    <w:p>
      <w:pPr>
        <w:pStyle w:val="Normal"/>
        <w:numPr>
          <w:ilvl w:val="0"/>
          <w:numId w:val="8"/>
        </w:numPr>
        <w:spacing w:lineRule="auto" w:line="360" w:before="0" w:after="0"/>
        <w:jc w:val="both"/>
        <w:rPr>
          <w:rFonts w:ascii="Times New Roman" w:hAnsi="Times New Roman"/>
        </w:rPr>
      </w:pPr>
      <w:bookmarkStart w:id="71" w:name="__RefHeading___Toc2950_4046097046"/>
      <w:bookmarkEnd w:id="71"/>
      <w:r>
        <w:rPr>
          <w:rFonts w:cs="Times New Roman"/>
          <w:color w:val="000000"/>
          <w:sz w:val="28"/>
          <w:szCs w:val="28"/>
          <w:shd w:fill="FFFFFF" w:val="clear"/>
        </w:rPr>
        <w:t>Невозможность оплаты за отдельные запросы</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2" w:name="__RefHeading___Toc2952_4046097046"/>
      <w:bookmarkEnd w:id="72"/>
      <w:r>
        <w:rPr>
          <w:rFonts w:cs="Times New Roman"/>
          <w:color w:val="000000"/>
          <w:sz w:val="28"/>
          <w:szCs w:val="28"/>
          <w:shd w:fill="FFFFFF" w:val="clear"/>
        </w:rPr>
        <w:t>API Репутация был выбран в качестве основного источника данных благодаря следующим преимуществам:</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numPr>
          <w:ilvl w:val="0"/>
          <w:numId w:val="9"/>
        </w:numPr>
        <w:spacing w:lineRule="auto" w:line="360" w:before="0" w:after="0"/>
        <w:jc w:val="both"/>
        <w:rPr>
          <w:rFonts w:ascii="Times New Roman" w:hAnsi="Times New Roman"/>
        </w:rPr>
      </w:pPr>
      <w:bookmarkStart w:id="73" w:name="__RefHeading___Toc2954_4046097046"/>
      <w:bookmarkEnd w:id="73"/>
      <w:r>
        <w:rPr>
          <w:rFonts w:cs="Times New Roman"/>
          <w:color w:val="000000"/>
          <w:sz w:val="28"/>
          <w:szCs w:val="28"/>
          <w:shd w:fill="FFFFFF" w:val="clear"/>
        </w:rPr>
        <w:t>Гибкая система оплаты — возможность оплаты отдельно за каждый запрос по цене 2,5 рубля, что экономически эффективно для предприятий с нерегулярной потребностью в проверках контрагентов</w:t>
      </w:r>
    </w:p>
    <w:p>
      <w:pPr>
        <w:pStyle w:val="Normal"/>
        <w:numPr>
          <w:ilvl w:val="0"/>
          <w:numId w:val="9"/>
        </w:numPr>
        <w:spacing w:lineRule="auto" w:line="360" w:before="0" w:after="0"/>
        <w:jc w:val="both"/>
        <w:rPr>
          <w:rFonts w:ascii="Times New Roman" w:hAnsi="Times New Roman"/>
        </w:rPr>
      </w:pPr>
      <w:bookmarkStart w:id="74" w:name="__RefHeading___Toc2956_4046097046"/>
      <w:bookmarkEnd w:id="74"/>
      <w:r>
        <w:rPr>
          <w:rFonts w:cs="Times New Roman"/>
          <w:color w:val="000000"/>
          <w:sz w:val="28"/>
          <w:szCs w:val="28"/>
          <w:shd w:fill="FFFFFF" w:val="clear"/>
        </w:rPr>
        <w:t>Отсутствие ограничений на количество организаций — неограниченное количество проверок без годовых квот</w:t>
      </w:r>
    </w:p>
    <w:p>
      <w:pPr>
        <w:pStyle w:val="Normal"/>
        <w:numPr>
          <w:ilvl w:val="0"/>
          <w:numId w:val="9"/>
        </w:numPr>
        <w:spacing w:lineRule="auto" w:line="360" w:before="0" w:after="0"/>
        <w:jc w:val="both"/>
        <w:rPr>
          <w:rFonts w:ascii="Times New Roman" w:hAnsi="Times New Roman"/>
        </w:rPr>
      </w:pPr>
      <w:bookmarkStart w:id="75" w:name="__RefHeading___Toc2958_4046097046"/>
      <w:bookmarkEnd w:id="75"/>
      <w:r>
        <w:rPr>
          <w:rFonts w:cs="Times New Roman"/>
          <w:color w:val="000000"/>
          <w:sz w:val="28"/>
          <w:szCs w:val="28"/>
          <w:shd w:fill="FFFFFF" w:val="clear"/>
        </w:rPr>
        <w:t>Комплексность данных — предоставление не только базовой информации, но и аналитических показателей, что снижает нагрузку на ML-модель</w:t>
      </w:r>
    </w:p>
    <w:p>
      <w:pPr>
        <w:pStyle w:val="Normal"/>
        <w:numPr>
          <w:ilvl w:val="0"/>
          <w:numId w:val="9"/>
        </w:numPr>
        <w:spacing w:lineRule="auto" w:line="360" w:before="0" w:after="0"/>
        <w:jc w:val="both"/>
        <w:rPr>
          <w:rFonts w:ascii="Times New Roman" w:hAnsi="Times New Roman"/>
        </w:rPr>
      </w:pPr>
      <w:bookmarkStart w:id="76" w:name="__RefHeading___Toc2960_4046097046"/>
      <w:bookmarkEnd w:id="76"/>
      <w:r>
        <w:rPr>
          <w:rFonts w:cs="Times New Roman"/>
          <w:color w:val="000000"/>
          <w:sz w:val="28"/>
          <w:szCs w:val="28"/>
          <w:shd w:fill="FFFFFF" w:val="clear"/>
        </w:rPr>
        <w:t>Экономическая эффективность для малых и средних предприятий, где годовые затраты на проверку контрагентов не превышают 5-10 тысяч рублей</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rPr>
      </w:pPr>
      <w:bookmarkStart w:id="77" w:name="__RefHeading___Toc2962_4046097046"/>
      <w:bookmarkEnd w:id="77"/>
      <w:r>
        <w:rPr>
          <w:rFonts w:cs="Times New Roman"/>
          <w:color w:val="000000"/>
          <w:sz w:val="28"/>
          <w:szCs w:val="28"/>
          <w:shd w:fill="FFFFFF" w:val="clear"/>
        </w:rPr>
        <w:t>Сравнительный анализ API-сервисов показал, что для разрабатываемой системы наиболее оптимальным является использование API Репутация, так как он позволяет минимизировать операционные затраты при максимальной гибкости использования. Данные из этого сервиса поступают в ML-модель для дальнейшей обработки и формирования комплексной оценки надежности поставщиков.</w:t>
      </w:r>
    </w:p>
    <w:p>
      <w:pPr>
        <w:pStyle w:val="Normal"/>
        <w:spacing w:lineRule="auto" w:line="360" w:before="0" w:after="0"/>
        <w:ind w:firstLine="709" w:left="0"/>
        <w:jc w:val="both"/>
        <w:rPr>
          <w:rFonts w:ascii="Times New Roman" w:hAnsi="Times New Roman" w:cs="Times New Roman"/>
          <w:color w:val="000000"/>
          <w:sz w:val="28"/>
          <w:szCs w:val="28"/>
          <w:shd w:fill="FFFFFF" w:val="clear"/>
        </w:rPr>
      </w:pPr>
      <w:r>
        <w:rPr>
          <w:rFonts w:cs="Times New Roman"/>
          <w:color w:val="000000"/>
          <w:sz w:val="28"/>
          <w:szCs w:val="28"/>
          <w:shd w:fill="FFFFFF" w:val="clear"/>
        </w:rPr>
      </w:r>
    </w:p>
    <w:p>
      <w:pPr>
        <w:pStyle w:val="Normal"/>
        <w:spacing w:lineRule="auto" w:line="360" w:before="0" w:after="0"/>
        <w:ind w:firstLine="709" w:left="0"/>
        <w:jc w:val="both"/>
        <w:rPr>
          <w:rFonts w:ascii="Times New Roman" w:hAnsi="Times New Roman" w:cs="Times New Roman"/>
          <w:color w:val="000000"/>
          <w:sz w:val="28"/>
          <w:szCs w:val="28"/>
          <w:shd w:fill="FFFFFF" w:val="clear"/>
        </w:rPr>
      </w:pPr>
      <w:bookmarkStart w:id="78" w:name="__RefHeading___Toc2964_4046097046"/>
      <w:bookmarkEnd w:id="78"/>
      <w:r>
        <w:rPr>
          <w:rFonts w:cs="Times New Roman"/>
          <w:color w:val="000000"/>
          <w:sz w:val="28"/>
          <w:szCs w:val="28"/>
          <w:shd w:fill="FFFFFF" w:val="clear"/>
        </w:rPr>
        <w:t>Таким образом, для разработки информационной системы оценки благонадёжности поставщиков с использованием машинного обучения был выбран стек технологий на базе Python, Scikit-learn, XGBoost и FastAPI с интеграцией данных через API Репутация, что обеспечивает оптимальное сочетание функциональности, производительности и экономической эффективности.</w:t>
      </w:r>
    </w:p>
    <w:p>
      <w:pPr>
        <w:pStyle w:val="Normal"/>
        <w:rPr>
          <w:rFonts w:ascii="Times New Roman" w:hAnsi="Times New Roman" w:cs="Times New Roman"/>
          <w:color w:val="000000"/>
          <w:sz w:val="28"/>
          <w:szCs w:val="28"/>
          <w:shd w:fill="FFFFFF" w:val="clear"/>
        </w:rPr>
      </w:pPr>
      <w:r>
        <w:rPr>
          <w:rFonts w:cs="Times New Roman"/>
          <w:color w:val="000000"/>
          <w:sz w:val="28"/>
          <w:szCs w:val="28"/>
          <w:shd w:fill="FFFFFF" w:val="clear"/>
        </w:rPr>
      </w:r>
      <w:r>
        <w:br w:type="page"/>
      </w:r>
    </w:p>
    <w:p>
      <w:pPr>
        <w:pStyle w:val="Heading1"/>
        <w:spacing w:before="0" w:after="240"/>
        <w:ind w:hanging="0" w:left="0"/>
        <w:jc w:val="center"/>
        <w:rPr>
          <w:rFonts w:ascii="Times New Roman" w:hAnsi="Times New Roman"/>
          <w:b w:val="false"/>
          <w:color w:val="auto"/>
          <w:shd w:fill="FFFFFF" w:val="clear"/>
        </w:rPr>
      </w:pPr>
      <w:bookmarkStart w:id="79" w:name="__RefHeading___Toc22187_2829662935"/>
      <w:bookmarkStart w:id="80" w:name="_Toc515886992"/>
      <w:bookmarkEnd w:id="79"/>
      <w:r>
        <w:rPr>
          <w:b w:val="false"/>
          <w:color w:val="000000"/>
          <w:shd w:fill="FFFFFF" w:val="clear"/>
        </w:rPr>
        <w:t xml:space="preserve">2. </w:t>
      </w:r>
      <w:bookmarkEnd w:id="80"/>
      <w:r>
        <w:rPr>
          <w:b w:val="false"/>
          <w:color w:val="000000"/>
          <w:shd w:fill="FFFFFF" w:val="clear"/>
        </w:rPr>
        <w:t>Архитектурное решение</w:t>
      </w:r>
    </w:p>
    <w:p>
      <w:pPr>
        <w:pStyle w:val="Normal"/>
        <w:jc w:val="center"/>
        <w:rPr>
          <w:rFonts w:ascii="Times New Roman" w:hAnsi="Times New Roman"/>
          <w:b w:val="false"/>
          <w:color w:val="auto"/>
          <w:shd w:fill="FFFFFF" w:val="clear"/>
        </w:rPr>
      </w:pPr>
      <w:bookmarkStart w:id="81" w:name="__RefHeading___Toc22189_2829662935"/>
      <w:bookmarkStart w:id="82" w:name="_Toc515886993"/>
      <w:bookmarkEnd w:id="81"/>
      <w:r>
        <w:rPr/>
        <w:t>2.1. Проектирование физической модели базы данных</w:t>
      </w:r>
      <w:bookmarkEnd w:id="82"/>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Чтобы понимать логику построения базы данных, с которой взаимодействуют рабочие отдела закупок, обратимся к методам инфологического моделирования. Такая модель представления данных используется на ранних стадиях проектирования, чтобы подробно описать структуру имеющихся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shd w:fill="FFFFFF" w:val="clear"/>
          <w:lang w:eastAsia="ru-RU"/>
        </w:rPr>
        <w:t>Целью инфологического моделирования является</w:t>
      </w:r>
      <w:r>
        <w:rPr>
          <w:rFonts w:eastAsia="Times New Roman" w:cs="Times New Roman"/>
          <w:color w:val="000000"/>
          <w:sz w:val="28"/>
          <w:szCs w:val="28"/>
          <w:lang w:eastAsia="ru-RU"/>
        </w:rPr>
        <w:t xml:space="preserve"> обеспечение наиболее естественных для человека способов сбора и представления той информации, которую предполагается хранить в создаваемой базе данных. Поэтому инфологическую модель данных пытаются строить по аналогии с естественным языком. Основными конструктивными элементами инфологических моделей являются сущности, связи между ними и их свойства (атрибуты). [18]</w:t>
      </w:r>
    </w:p>
    <w:p>
      <w:pPr>
        <w:pStyle w:val="Normal"/>
        <w:spacing w:lineRule="auto" w:line="360" w:before="0" w:after="0"/>
        <w:ind w:firstLine="709"/>
        <w:jc w:val="both"/>
        <w:rPr>
          <w:rFonts w:ascii="Times New Roman" w:hAnsi="Times New Roman" w:eastAsia="Times New Roman" w:cs="Times New Roman"/>
          <w:sz w:val="24"/>
          <w:szCs w:val="24"/>
          <w:lang w:eastAsia="ru-RU"/>
        </w:rPr>
      </w:pPr>
      <w:r>
        <w:rPr>
          <w:rFonts w:eastAsia="Times New Roman" w:cs="Times New Roman"/>
          <w:sz w:val="28"/>
          <w:szCs w:val="28"/>
          <w:lang w:eastAsia="ru-RU"/>
        </w:rPr>
        <w:t>Сущность - это объект, который может быть идентифицирован неким способом, отличающим его от других объектов, информация о котором должна храниться в базе данных.</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Атрибут - поименованная характеристика сущности,</w:t>
      </w:r>
      <w:r>
        <w:rPr>
          <w:rFonts w:eastAsia="Times New Roman" w:cs="Times New Roman"/>
          <w:sz w:val="28"/>
          <w:szCs w:val="28"/>
          <w:lang w:eastAsia="ru-RU"/>
        </w:rPr>
        <w:t xml:space="preserve"> которая описывает свойство данного объекта.</w:t>
      </w:r>
    </w:p>
    <w:p>
      <w:pPr>
        <w:pStyle w:val="Normal"/>
        <w:spacing w:lineRule="auto" w:line="360" w:before="0" w:after="0"/>
        <w:ind w:firstLine="709"/>
        <w:jc w:val="both"/>
        <w:rPr>
          <w:rFonts w:ascii="Times New Roman" w:hAnsi="Times New Roman" w:eastAsia="Times New Roman" w:cs="Times New Roman"/>
          <w:color w:val="000000"/>
          <w:sz w:val="28"/>
          <w:szCs w:val="28"/>
          <w:lang w:eastAsia="ru-RU"/>
        </w:rPr>
      </w:pPr>
      <w:r>
        <w:rPr>
          <w:rFonts w:eastAsia="Times New Roman" w:cs="Times New Roman"/>
          <w:color w:val="000000"/>
          <w:sz w:val="28"/>
          <w:szCs w:val="28"/>
          <w:lang w:eastAsia="ru-RU"/>
        </w:rPr>
        <w:t xml:space="preserve">Связь - ассоциирование двух или более сущностей. Эта ассоциация всегда является бинарной и может существовать между двумя разными сущностями или между сущностью и ей же самой (рекурсивная связь).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 xml:space="preserve">Для инфологического проектирования воспользуемся методом «сущность-связь» ER (Entity-Relationship).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color w:val="000000"/>
          <w:sz w:val="28"/>
          <w:szCs w:val="28"/>
          <w:lang w:eastAsia="ru-RU"/>
        </w:rPr>
        <w:t>Проектируемая база данных должна хранить данные о поставщиках, группах товаров, критериев для оценки и результатах анализа.</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 xml:space="preserve">Для формирование инфологической модели, представляющая базу данных для оценки благонадёжности поставщиков, использовано программное обеспечение MS Access – это полнофункциональная программа, которая предназначена для работы с базами данных любого типа. </w:t>
      </w: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 xml:space="preserve">модель базы определяет способ размещения данных в среде хранения и способы доступа к ним. В основе программы MS Access используется модель динамического обмена. MS Access предусматривает использование инструментов автоматизации обработки любого типа информации, представленной в структурированном виде. Связи, устанавливаемые в приложении между базами данных, дают возможность осуществлять точное отслеживание изменений в любой из них и автоматически корректировать параметры в других. </w:t>
      </w:r>
    </w:p>
    <w:p>
      <w:pPr>
        <w:pStyle w:val="Normal"/>
        <w:spacing w:lineRule="auto" w:line="360" w:before="0" w:after="0"/>
        <w:ind w:firstLine="709"/>
        <w:jc w:val="both"/>
        <w:rPr>
          <w:rFonts w:ascii="Times New Roman" w:hAnsi="Times New Roman" w:eastAsia="Times New Roman" w:cs="Times New Roman"/>
          <w:sz w:val="28"/>
          <w:szCs w:val="28"/>
          <w:lang w:eastAsia="ru-RU"/>
        </w:rPr>
      </w:pPr>
      <w:r>
        <w:rPr>
          <w:rFonts w:eastAsia="Times New Roman" w:cs="Times New Roman"/>
          <w:bCs/>
          <w:sz w:val="28"/>
          <w:szCs w:val="28"/>
          <w:lang w:eastAsia="ru-RU"/>
        </w:rPr>
        <w:t xml:space="preserve">Инфологическая </w:t>
      </w:r>
      <w:r>
        <w:rPr>
          <w:rFonts w:eastAsia="Times New Roman" w:cs="Times New Roman"/>
          <w:sz w:val="28"/>
          <w:szCs w:val="28"/>
          <w:lang w:eastAsia="ru-RU"/>
        </w:rPr>
        <w:t>модель разрабатываемой информационной системы, построенная средствами программного обеспечения  MS Access, представлена на рисунке 9.</w:t>
      </w:r>
    </w:p>
    <w:p>
      <w:pPr>
        <w:pStyle w:val="Normal"/>
        <w:spacing w:lineRule="auto" w:line="360" w:before="0" w:after="0"/>
        <w:jc w:val="center"/>
        <w:rPr>
          <w:rFonts w:ascii="Times New Roman" w:hAnsi="Times New Roman" w:eastAsia="Times New Roman" w:cs="Times New Roman"/>
          <w:sz w:val="24"/>
          <w:szCs w:val="24"/>
          <w:lang w:eastAsia="ru-RU"/>
        </w:rPr>
      </w:pPr>
      <w:r>
        <w:rPr/>
        <w:drawing>
          <wp:inline distT="0" distB="0" distL="0" distR="0">
            <wp:extent cx="5940425" cy="5080635"/>
            <wp:effectExtent l="0" t="0" r="0" b="0"/>
            <wp:docPr id="7" name="Рисунок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Рисунок 3" descr=""/>
                    <pic:cNvPicPr>
                      <a:picLocks noChangeAspect="1" noChangeArrowheads="1"/>
                    </pic:cNvPicPr>
                  </pic:nvPicPr>
                  <pic:blipFill>
                    <a:blip r:embed="rId8"/>
                    <a:stretch>
                      <a:fillRect/>
                    </a:stretch>
                  </pic:blipFill>
                  <pic:spPr bwMode="auto">
                    <a:xfrm>
                      <a:off x="0" y="0"/>
                      <a:ext cx="5940425" cy="5080635"/>
                    </a:xfrm>
                    <a:prstGeom prst="rect">
                      <a:avLst/>
                    </a:prstGeom>
                  </pic:spPr>
                </pic:pic>
              </a:graphicData>
            </a:graphic>
          </wp:inline>
        </w:drawing>
      </w:r>
    </w:p>
    <w:p>
      <w:pPr>
        <w:pStyle w:val="Normal"/>
        <w:spacing w:lineRule="auto" w:line="360" w:before="0" w:after="12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2.1 – Инфологическая модель БД</w:t>
      </w:r>
    </w:p>
    <w:p>
      <w:pPr>
        <w:pStyle w:val="Normal"/>
        <w:jc w:val="center"/>
        <w:rPr>
          <w:rFonts w:ascii="Times New Roman" w:hAnsi="Times New Roman" w:eastAsia="Times New Roman"/>
          <w:b w:val="false"/>
          <w:color w:val="auto"/>
          <w:lang w:eastAsia="ru-RU"/>
        </w:rPr>
      </w:pPr>
      <w:bookmarkStart w:id="83" w:name="__RefHeading___Toc22191_2829662935"/>
      <w:bookmarkStart w:id="84" w:name="_Toc515886994"/>
      <w:bookmarkEnd w:id="83"/>
      <w:r>
        <w:rPr/>
        <w:t>2.2. Данные с точки зрения технологии 1С</w:t>
      </w:r>
      <w:bookmarkEnd w:id="84"/>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Модель базы данных 1С: Предприятия имеет ряд особенностей, отличающих ее от классических моделей систем управления базами данных, с которыми имеют дело разработчики в универсальных системах. Основное отличие заключается в том, что разработчик 1С: Предприятия не обращается к базе данных напрямую. Непосредственно он работает с платформой 1С: Предприятия. При этом он может:</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описывать структуры данных в конфигураторе;</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манипулировать данными с помощью объектов встроенного языка;</w:t>
      </w:r>
    </w:p>
    <w:p>
      <w:pPr>
        <w:pStyle w:val="Normal"/>
        <w:numPr>
          <w:ilvl w:val="0"/>
          <w:numId w:val="2"/>
        </w:numPr>
        <w:shd w:val="clear" w:fill="FFFFFF"/>
        <w:spacing w:lineRule="auto" w:line="360" w:before="0" w:after="0"/>
        <w:ind w:hanging="284" w:left="993"/>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составлять запросы к данным, используя язык запросов.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При работе с данными, хранящимися в базе данных 1С: Предприятия, зачастую используется объектный подход. Это значит, что обращение к некоторой совокупности данных, хранящихся в базе, происходит как к единому целому. Например, используя объектную технику, можно манипулировать данными справочников, документов, планов видов характеристик, планов счетов и т.д.</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Общую схему возможных вариантов взаимодействия прикладных объектов системы можно представить следующим образом (рисунок 2.2).</w:t>
      </w:r>
    </w:p>
    <w:p>
      <w:pPr>
        <w:pStyle w:val="Normal"/>
        <w:shd w:val="clear" w:fill="FFFFFF"/>
        <w:spacing w:lineRule="auto" w:line="360" w:before="0" w:after="0"/>
        <w:ind w:firstLine="709"/>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keepNext w:val="true"/>
        <w:shd w:val="clear" w:fill="FFFFFF"/>
        <w:spacing w:lineRule="auto" w:line="360" w:before="0" w:after="0"/>
        <w:ind w:firstLine="709"/>
        <w:contextualSpacing/>
        <w:jc w:val="center"/>
        <w:rPr>
          <w:rFonts w:ascii="Times New Roman" w:hAnsi="Times New Roman" w:eastAsia="Times New Roman" w:cs="Times New Roman"/>
          <w:sz w:val="24"/>
          <w:szCs w:val="24"/>
          <w:lang w:eastAsia="ru-RU"/>
        </w:rPr>
      </w:pPr>
      <w:r>
        <w:rPr/>
        <mc:AlternateContent>
          <mc:Choice Requires="wps">
            <w:drawing>
              <wp:anchor behindDoc="0" distT="66675" distB="34925" distL="5715" distR="0" simplePos="0" locked="0" layoutInCell="1" allowOverlap="1" relativeHeight="15">
                <wp:simplePos x="0" y="0"/>
                <wp:positionH relativeFrom="column">
                  <wp:posOffset>2900680</wp:posOffset>
                </wp:positionH>
                <wp:positionV relativeFrom="paragraph">
                  <wp:posOffset>1765935</wp:posOffset>
                </wp:positionV>
                <wp:extent cx="619125" cy="390525"/>
                <wp:effectExtent l="5715" t="66675" r="0" b="34925"/>
                <wp:wrapNone/>
                <wp:docPr id="8" name="Стрелка: вправо 5"/>
                <a:graphic xmlns:a="http://schemas.openxmlformats.org/drawingml/2006/main">
                  <a:graphicData uri="http://schemas.microsoft.com/office/word/2010/wordprocessingShape">
                    <wps:wsp>
                      <wps:cNvSpPr/>
                      <wps:spPr>
                        <a:xfrm rot="2090400">
                          <a:off x="0" y="0"/>
                          <a:ext cx="619200" cy="390600"/>
                        </a:xfrm>
                        <a:prstGeom prst="rightArrow">
                          <a:avLst>
                            <a:gd name="adj1" fmla="val 50000"/>
                            <a:gd name="adj2" fmla="val 50000"/>
                          </a:avLst>
                        </a:prstGeom>
                        <a:solidFill>
                          <a:schemeClr val="accent1">
                            <a:lumMod val="20000"/>
                            <a:lumOff val="80000"/>
                          </a:schemeClr>
                        </a:solidFill>
                        <a:ln w="6480">
                          <a:solidFill>
                            <a:srgbClr val="4472c4"/>
                          </a:solidFill>
                          <a:miter/>
                        </a:ln>
                      </wps:spPr>
                      <wps:style>
                        <a:lnRef idx="0"/>
                        <a:fillRef idx="0"/>
                        <a:effectRef idx="0"/>
                        <a:fontRef idx="minor"/>
                      </wps:style>
                      <wps:bodyPr/>
                    </wps:wsp>
                  </a:graphicData>
                </a:graphic>
              </wp:anchor>
            </w:drawing>
          </mc:Choice>
          <mc:Fallback>
            <w:pict>
              <v:shapetype id="_x0000_t13" coordsize="21600,21600" o:spt="13" adj="10800,10800" path="m0@5l@3@5l@3,l21600,10800l@3,21600l@3@6l0@6xe">
                <v:stroke joinstyle="miter"/>
                <v:formulas>
                  <v:f eqn="val 21600"/>
                  <v:f eqn="val #1"/>
                  <v:f eqn="val #0"/>
                  <v:f eqn="sum width 0 @2"/>
                  <v:f eqn="prod 1 @1 2"/>
                  <v:f eqn="sum 10800 0 @4"/>
                  <v:f eqn="sum 10800 @4 0"/>
                  <v:f eqn="prod @5 @2 10800"/>
                  <v:f eqn="sum @3 @7 0"/>
                </v:formulas>
                <v:path gradientshapeok="t" o:connecttype="rect" textboxrect="0,@5,@8,@6"/>
                <v:handles>
                  <v:h position="0,@5"/>
                  <v:h position="@3,0"/>
                </v:handles>
              </v:shapetype>
              <v:shape id="shape_0" ID="Стрелка: вправо 5" path="l-2147483635,-2147483631l-2147483635,0l-2147483622,-2147483632l-2147483635,-2147483623l-2147483635,-2147483629l0,-2147483629xe" fillcolor="#dae3f3" stroked="t" o:allowincell="f" style="position:absolute;margin-left:228.4pt;margin-top:139.05pt;width:48.7pt;height:30.7pt;mso-wrap-style:none;v-text-anchor:middle;rotation:35" type="_x0000_t13">
                <v:fill o:detectmouseclick="t" type="solid" color2="#251c0c"/>
                <v:stroke color="#4472c4" weight="6480" joinstyle="miter" endcap="flat"/>
                <w10:wrap type="none"/>
              </v:shape>
            </w:pict>
          </mc:Fallback>
        </mc:AlternateContent>
        <mc:AlternateContent>
          <mc:Choice Requires="wps">
            <w:drawing>
              <wp:anchor behindDoc="0" distT="6350" distB="10160" distL="16510" distR="15875" simplePos="0" locked="0" layoutInCell="1" allowOverlap="1" relativeHeight="16">
                <wp:simplePos x="0" y="0"/>
                <wp:positionH relativeFrom="column">
                  <wp:posOffset>1433830</wp:posOffset>
                </wp:positionH>
                <wp:positionV relativeFrom="paragraph">
                  <wp:posOffset>1821180</wp:posOffset>
                </wp:positionV>
                <wp:extent cx="552450" cy="390525"/>
                <wp:effectExtent l="16510" t="6350" r="15875" b="10160"/>
                <wp:wrapNone/>
                <wp:docPr id="9" name="Стрелка: вправо 6"/>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6" path="l-2147483635,-2147483631l-2147483635,0l-2147483622,-2147483632l-2147483635,-2147483623l-2147483635,-2147483629l0,-2147483629xe" fillcolor="#dae3f3" stroked="t" o:allowincell="f" style="position:absolute;margin-left:112.9pt;margin-top:143.35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6985" distR="9525" simplePos="0" locked="0" layoutInCell="1" allowOverlap="1" relativeHeight="17">
                <wp:simplePos x="0" y="0"/>
                <wp:positionH relativeFrom="column">
                  <wp:posOffset>2910840</wp:posOffset>
                </wp:positionH>
                <wp:positionV relativeFrom="paragraph">
                  <wp:posOffset>2880360</wp:posOffset>
                </wp:positionV>
                <wp:extent cx="619125" cy="390525"/>
                <wp:effectExtent l="6985" t="16510" r="9525" b="15875"/>
                <wp:wrapNone/>
                <wp:docPr id="10" name="Стрелка: вправо 7"/>
                <a:graphic xmlns:a="http://schemas.openxmlformats.org/drawingml/2006/main">
                  <a:graphicData uri="http://schemas.microsoft.com/office/word/2010/wordprocessingShape">
                    <wps:wsp>
                      <wps:cNvSpPr/>
                      <wps:spPr>
                        <a:xfrm>
                          <a:off x="0" y="0"/>
                          <a:ext cx="6192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7" path="l-2147483635,-2147483631l-2147483635,0l-2147483622,-2147483632l-2147483635,-2147483623l-2147483635,-2147483629l0,-2147483629xe" fillcolor="#dae3f3" stroked="t" o:allowincell="f" style="position:absolute;margin-left:229.2pt;margin-top:226.8pt;width:48.7pt;height:30.7pt;mso-wrap-style:none;v-text-anchor:middle" type="_x0000_t13">
                <v:fill o:detectmouseclick="t" type="solid" color2="#251c0c"/>
                <v:stroke color="#4472c4" weight="12600" joinstyle="miter" endcap="flat"/>
                <w10:wrap type="none"/>
              </v:shape>
            </w:pict>
          </mc:Fallback>
        </mc:AlternateContent>
        <mc:AlternateContent>
          <mc:Choice Requires="wps">
            <w:drawing>
              <wp:anchor behindDoc="0" distT="6350" distB="10160" distL="16510" distR="15875" simplePos="0" locked="0" layoutInCell="1" allowOverlap="1" relativeHeight="18">
                <wp:simplePos x="0" y="0"/>
                <wp:positionH relativeFrom="column">
                  <wp:posOffset>4358005</wp:posOffset>
                </wp:positionH>
                <wp:positionV relativeFrom="paragraph">
                  <wp:posOffset>1821180</wp:posOffset>
                </wp:positionV>
                <wp:extent cx="552450" cy="390525"/>
                <wp:effectExtent l="16510" t="6350" r="15875" b="10160"/>
                <wp:wrapNone/>
                <wp:docPr id="11" name="Стрелка: вправо 12"/>
                <a:graphic xmlns:a="http://schemas.openxmlformats.org/drawingml/2006/main">
                  <a:graphicData uri="http://schemas.microsoft.com/office/word/2010/wordprocessingShape">
                    <wps:wsp>
                      <wps:cNvSpPr/>
                      <wps:spPr>
                        <a:xfrm rot="5400000">
                          <a:off x="0" y="0"/>
                          <a:ext cx="552600" cy="390600"/>
                        </a:xfrm>
                        <a:prstGeom prs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 id="shape_0" ID="Стрелка: вправо 12" path="l-2147483635,-2147483631l-2147483635,0l-2147483622,-2147483632l-2147483635,-2147483623l-2147483635,-2147483629l0,-2147483629xe" fillcolor="#dae3f3" stroked="t" o:allowincell="f" style="position:absolute;margin-left:343.15pt;margin-top:143.35pt;width:43.45pt;height:30.7pt;mso-wrap-style:none;v-text-anchor:middle;rotation:90" type="_x0000_t13">
                <v:fill o:detectmouseclick="t" type="solid" color2="#251c0c"/>
                <v:stroke color="#4472c4" weight="12600" joinstyle="miter" endcap="flat"/>
                <w10:wrap type="none"/>
              </v:shape>
            </w:pict>
          </mc:Fallback>
        </mc:AlternateContent>
        <mc:AlternateContent>
          <mc:Choice Requires="wps">
            <w:drawing>
              <wp:anchor behindDoc="0" distT="16510" distB="15875" distL="9525" distR="10160" simplePos="0" locked="0" layoutInCell="1" allowOverlap="1" relativeHeight="19">
                <wp:simplePos x="0" y="0"/>
                <wp:positionH relativeFrom="column">
                  <wp:posOffset>2844165</wp:posOffset>
                </wp:positionH>
                <wp:positionV relativeFrom="paragraph">
                  <wp:posOffset>765810</wp:posOffset>
                </wp:positionV>
                <wp:extent cx="685800" cy="333375"/>
                <wp:effectExtent l="9525" t="16510" r="10160" b="15875"/>
                <wp:wrapNone/>
                <wp:docPr id="12" name="Стрелка: влево-вправо 13"/>
                <a:graphic xmlns:a="http://schemas.openxmlformats.org/drawingml/2006/main">
                  <a:graphicData uri="http://schemas.microsoft.com/office/word/2010/wordprocessingShape">
                    <wps:wsp>
                      <wps:cNvSpPr/>
                      <wps:spPr>
                        <a:xfrm>
                          <a:off x="0" y="0"/>
                          <a:ext cx="685800" cy="333360"/>
                        </a:xfrm>
                        <a:prstGeom prst="leftRightArrow">
                          <a:avLst>
                            <a:gd name="adj1" fmla="val 50000"/>
                            <a:gd name="adj2" fmla="val 50000"/>
                          </a:avLst>
                        </a:prstGeom>
                        <a:solidFill>
                          <a:schemeClr val="accent1">
                            <a:lumMod val="20000"/>
                            <a:lumOff val="80000"/>
                          </a:schemeClr>
                        </a:solidFill>
                        <a:ln w="12600">
                          <a:solidFill>
                            <a:srgbClr val="4472c4"/>
                          </a:solidFill>
                          <a:miter/>
                        </a:ln>
                      </wps:spPr>
                      <wps:style>
                        <a:lnRef idx="0"/>
                        <a:fillRef idx="0"/>
                        <a:effectRef idx="0"/>
                        <a:fontRef idx="minor"/>
                      </wps:style>
                      <wps:bodyPr/>
                    </wps:wsp>
                  </a:graphicData>
                </a:graphic>
              </wp:anchor>
            </w:drawing>
          </mc:Choice>
          <mc:Fallback>
            <w:pict>
              <v:shapetype id="_x0000_t69" coordsize="21600,21600" o:spt="69" adj="10800,10800" path="m,10800l@2,l@2@5l@3@5l@3,l21600,10800l@3,21600l@3@6l@2@6l@2,21600xe">
                <v:stroke joinstyle="miter"/>
                <v:formulas>
                  <v:f eqn="val 10800"/>
                  <v:f eqn="val #1"/>
                  <v:f eqn="val #0"/>
                  <v:f eqn="sum width 0 @2"/>
                  <v:f eqn="prod 1 @1 2"/>
                  <v:f eqn="sum 10800 0 @4"/>
                  <v:f eqn="sum 10800 @4 0"/>
                  <v:f eqn="prod @5 @2 10800"/>
                  <v:f eqn="sum @2 0 @7"/>
                  <v:f eqn="sum @3 @7 0"/>
                </v:formulas>
                <v:path gradientshapeok="t" o:connecttype="rect" textboxrect="@8,@5,@9,@6"/>
                <v:handles>
                  <v:h position="@3,@5"/>
                  <v:h position="@2,0"/>
                </v:handles>
              </v:shapetype>
              <v:shape id="shape_0" ID="Стрелка: влево-вправо 13" path="l-2147483636,0l-2147483636,-2147483631l-2147483635,-2147483631l-2147483635,0l-2147483622,-2147483632l-2147483635,-2147483621l-2147483635,-2147483629l-2147483636,-2147483629l-2147483636,-2147483621xe" fillcolor="#dae3f3" stroked="t" o:allowincell="f" style="position:absolute;margin-left:223.95pt;margin-top:60.3pt;width:53.95pt;height:26.2pt;mso-wrap-style:none;v-text-anchor:middle" type="_x0000_t69">
                <v:fill o:detectmouseclick="t" type="solid" color2="#251c0c"/>
                <v:stroke color="#4472c4" weight="12600" joinstyle="miter" endcap="flat"/>
                <w10:wrap type="none"/>
              </v:shape>
            </w:pict>
          </mc:Fallback>
        </mc:AlternateContent>
        <w:drawing>
          <wp:inline distT="0" distB="0" distL="0" distR="0">
            <wp:extent cx="4788535" cy="3768725"/>
            <wp:effectExtent l="0" t="0" r="0" b="0"/>
            <wp:docPr id="13" name="Рисунок 24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Рисунок 240" descr=""/>
                    <pic:cNvPicPr>
                      <a:picLocks noChangeAspect="1" noChangeArrowheads="1"/>
                    </pic:cNvPicPr>
                  </pic:nvPicPr>
                  <pic:blipFill>
                    <a:blip r:embed="rId9"/>
                    <a:stretch>
                      <a:fillRect/>
                    </a:stretch>
                  </pic:blipFill>
                  <pic:spPr bwMode="auto">
                    <a:xfrm>
                      <a:off x="0" y="0"/>
                      <a:ext cx="4788535" cy="3768725"/>
                    </a:xfrm>
                    <a:prstGeom prst="rect">
                      <a:avLst/>
                    </a:prstGeom>
                  </pic:spPr>
                </pic:pic>
              </a:graphicData>
            </a:graphic>
          </wp:inline>
        </w:drawing>
      </w:r>
    </w:p>
    <w:p>
      <w:pPr>
        <w:pStyle w:val="Normal"/>
        <w:spacing w:lineRule="auto" w:line="360" w:before="0" w:after="0"/>
        <w:jc w:val="center"/>
        <w:rPr>
          <w:rFonts w:ascii="Times New Roman" w:hAnsi="Times New Roman" w:eastAsia="Times New Roman" w:cs="Times New Roman"/>
          <w:bCs/>
          <w:sz w:val="28"/>
          <w:szCs w:val="28"/>
          <w:lang w:eastAsia="ru-RU"/>
        </w:rPr>
      </w:pPr>
      <w:r>
        <w:rPr>
          <w:rFonts w:eastAsia="Times New Roman" w:cs="Times New Roman"/>
          <w:bCs/>
          <w:sz w:val="28"/>
          <w:szCs w:val="28"/>
          <w:lang w:eastAsia="ru-RU"/>
        </w:rPr>
        <w:t>Рисунок 2.2 – Варианты взаимодействия прикладных объектов</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Характерной особенностью объектного манипулирования данными является то, что на каждый объект, как совокупность данных, существует уникальная ссылка, позволяющая однозначно идентифицировать этот объект в базе данных. [19]</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Эта ссылка также хранится в поле базы данных, вместе с остальными данными объекта. Кроме того, ссылка может быть использована как значение какого-либо поля другого объекта. Например, ссылка на объект справочника «Поставщики» может быть использована как значение соответствующего реквизита документа «Внесение показателей» по поставщику.</w:t>
      </w:r>
    </w:p>
    <w:p>
      <w:pPr>
        <w:pStyle w:val="Normal"/>
        <w:shd w:val="clear" w:fill="FFFFFF"/>
        <w:spacing w:lineRule="auto" w:line="360" w:before="0" w:after="0"/>
        <w:ind w:firstLine="708"/>
        <w:contextualSpacing/>
        <w:jc w:val="both"/>
        <w:rPr>
          <w:rFonts w:ascii="Times New Roman" w:hAnsi="Times New Roman" w:eastAsia="Times New Roman" w:cs="Times New Roman"/>
          <w:sz w:val="28"/>
          <w:szCs w:val="28"/>
          <w:lang w:eastAsia="ru-RU"/>
        </w:rPr>
      </w:pPr>
      <w:r>
        <w:rPr>
          <w:rFonts w:eastAsia="Times New Roman" w:cs="Times New Roman"/>
          <w:sz w:val="28"/>
          <w:szCs w:val="28"/>
          <w:lang w:eastAsia="ru-RU"/>
        </w:rPr>
        <w:t>Идеология создания прикладных решений в 1С: Предприятии  предполагает, что все файлы, имеющие отношение к данному прикладному решению, нужно хранить в самой базе данных.</w:t>
      </w:r>
    </w:p>
    <w:p>
      <w:pPr>
        <w:pStyle w:val="Normal"/>
        <w:shd w:val="clear" w:fill="FFFFFF"/>
        <w:spacing w:lineRule="auto" w:line="360" w:before="0" w:after="0"/>
        <w:ind w:firstLine="709"/>
        <w:contextualSpacing/>
        <w:jc w:val="both"/>
        <w:rPr>
          <w:rFonts w:ascii="Times New Roman" w:hAnsi="Times New Roman" w:cs="Times New Roman"/>
          <w:bCs/>
          <w:sz w:val="28"/>
          <w:szCs w:val="28"/>
        </w:rPr>
      </w:pPr>
      <w:r>
        <w:rPr>
          <w:rFonts w:eastAsia="Times New Roman" w:cs="Times New Roman"/>
          <w:sz w:val="28"/>
          <w:szCs w:val="28"/>
          <w:lang w:eastAsia="ru-RU"/>
        </w:rPr>
        <w:t xml:space="preserve">Для дальнейшей работы разработки информационной системы, рассмотрим их с точки зрения конфигуратора 1С. </w:t>
      </w:r>
    </w:p>
    <w:p>
      <w:pPr>
        <w:pStyle w:val="Normal"/>
        <w:rPr>
          <w:rFonts w:ascii="Times New Roman" w:hAnsi="Times New Roman"/>
        </w:rPr>
      </w:pPr>
      <w:r>
        <w:rPr/>
      </w:r>
      <w:r>
        <w:br w:type="page"/>
      </w:r>
    </w:p>
    <w:p>
      <w:pPr>
        <w:pStyle w:val="Heading1"/>
        <w:spacing w:before="0" w:after="240"/>
        <w:ind w:hanging="0" w:left="0"/>
        <w:jc w:val="center"/>
        <w:rPr>
          <w:rFonts w:ascii="Times New Roman" w:hAnsi="Times New Roman"/>
          <w:b w:val="false"/>
          <w:color w:val="auto"/>
        </w:rPr>
      </w:pPr>
      <w:bookmarkStart w:id="85" w:name="__RefHeading___Toc37925_2829662935"/>
      <w:bookmarkEnd w:id="85"/>
      <w:r>
        <w:rPr>
          <w:b w:val="false"/>
          <w:color w:val="auto"/>
        </w:rPr>
        <w:t>3. Техническая реализация</w:t>
      </w:r>
    </w:p>
    <w:p>
      <w:pPr>
        <w:pStyle w:val="Normal"/>
        <w:jc w:val="center"/>
        <w:rPr/>
      </w:pPr>
      <w:bookmarkStart w:id="86" w:name="__RefHeading___Toc22193_2829662935"/>
      <w:bookmarkEnd w:id="86"/>
      <w:r>
        <w:rPr>
          <w:b w:val="false"/>
          <w:color w:val="auto"/>
        </w:rPr>
        <w:t>3</w:t>
      </w:r>
      <w:bookmarkStart w:id="87" w:name="_Toc514667811"/>
      <w:bookmarkStart w:id="88" w:name="_Toc515886995"/>
      <w:bookmarkStart w:id="89" w:name="_Toc484799750"/>
      <w:r>
        <w:rPr>
          <w:b w:val="false"/>
          <w:color w:val="auto"/>
        </w:rPr>
        <w:t>.1. Разработка информационной системы</w:t>
      </w:r>
      <w:bookmarkEnd w:id="87"/>
      <w:bookmarkEnd w:id="88"/>
      <w:bookmarkEnd w:id="89"/>
      <w:r>
        <w:rPr>
          <w:b w:val="false"/>
          <w:color w:val="auto"/>
        </w:rPr>
        <w:t xml:space="preserve"> 1С</w:t>
      </w:r>
    </w:p>
    <w:p>
      <w:pPr>
        <w:pStyle w:val="Normal"/>
        <w:spacing w:lineRule="auto" w:line="360" w:before="0" w:after="0"/>
        <w:ind w:firstLine="709"/>
        <w:jc w:val="both"/>
        <w:rPr>
          <w:rFonts w:ascii="Times New Roman" w:hAnsi="Times New Roman" w:cs="Times New Roman"/>
          <w:bCs/>
          <w:sz w:val="28"/>
          <w:szCs w:val="28"/>
          <w:lang w:val="en-US" w:eastAsia="ru-RU"/>
        </w:rPr>
      </w:pPr>
      <w:r>
        <w:rPr>
          <w:rFonts w:cs="Times New Roman"/>
          <w:bCs/>
          <w:sz w:val="28"/>
          <w:szCs w:val="28"/>
          <w:lang w:eastAsia="ru-RU"/>
        </w:rPr>
        <w:t>Основным понятием при разработке прикладных решений в среде 1С является объект метаданных, именно в определении набора этих объектов и заключается проектирование конфигурации. Совокупность объектов метаданных различного типа определяет внутреннее строение базы данных и структуру хранящейся в ней информации. [</w:t>
      </w:r>
      <w:r>
        <w:rPr>
          <w:rFonts w:cs="Times New Roman"/>
          <w:bCs/>
          <w:sz w:val="28"/>
          <w:szCs w:val="28"/>
          <w:lang w:val="en-US" w:eastAsia="ru-RU"/>
        </w:rPr>
        <w:t>20]</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t>Структура метаданных разрабатываемой конфигурации представлена на рисунке 3.1</w:t>
      </w:r>
    </w:p>
    <w:p>
      <w:pPr>
        <w:pStyle w:val="Normal"/>
        <w:tabs>
          <w:tab w:val="clear" w:pos="708"/>
          <w:tab w:val="left" w:pos="990" w:leader="none"/>
        </w:tabs>
        <w:spacing w:lineRule="auto" w:line="360" w:before="0" w:after="0"/>
        <w:contextualSpacing/>
        <w:jc w:val="center"/>
        <w:rPr>
          <w:rFonts w:ascii="Times New Roman" w:hAnsi="Times New Roman" w:cs="Times New Roman"/>
          <w:sz w:val="28"/>
          <w:szCs w:val="28"/>
          <w:lang w:eastAsia="ru-RU"/>
        </w:rPr>
      </w:pPr>
      <w:r>
        <w:rPr/>
        <w:drawing>
          <wp:inline distT="0" distB="0" distL="0" distR="0">
            <wp:extent cx="2466975" cy="2696845"/>
            <wp:effectExtent l="0" t="0" r="0" b="0"/>
            <wp:docPr id="14" name="Рисунок 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Рисунок 11" descr=""/>
                    <pic:cNvPicPr>
                      <a:picLocks noChangeAspect="1" noChangeArrowheads="1"/>
                    </pic:cNvPicPr>
                  </pic:nvPicPr>
                  <pic:blipFill>
                    <a:blip r:embed="rId10"/>
                    <a:srcRect l="0" t="145" r="0" b="0"/>
                    <a:stretch>
                      <a:fillRect/>
                    </a:stretch>
                  </pic:blipFill>
                  <pic:spPr bwMode="auto">
                    <a:xfrm>
                      <a:off x="0" y="0"/>
                      <a:ext cx="2466975" cy="2696845"/>
                    </a:xfrm>
                    <a:prstGeom prst="rect">
                      <a:avLst/>
                    </a:prstGeom>
                  </pic:spPr>
                </pic:pic>
              </a:graphicData>
            </a:graphic>
          </wp:inline>
        </w:drawing>
        <w:drawing>
          <wp:anchor behindDoc="0" distT="0" distB="0" distL="0" distR="0" simplePos="0" locked="0" layoutInCell="0" allowOverlap="1" relativeHeight="20">
            <wp:simplePos x="0" y="0"/>
            <wp:positionH relativeFrom="column">
              <wp:posOffset>2729230</wp:posOffset>
            </wp:positionH>
            <wp:positionV relativeFrom="paragraph">
              <wp:posOffset>104775</wp:posOffset>
            </wp:positionV>
            <wp:extent cx="2954655" cy="2537460"/>
            <wp:effectExtent l="0" t="0" r="0" b="0"/>
            <wp:wrapSquare wrapText="largest"/>
            <wp:docPr id="15" name="Изображение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Изображение1" descr=""/>
                    <pic:cNvPicPr>
                      <a:picLocks noChangeAspect="1" noChangeArrowheads="1"/>
                    </pic:cNvPicPr>
                  </pic:nvPicPr>
                  <pic:blipFill>
                    <a:blip r:embed="rId11"/>
                    <a:stretch>
                      <a:fillRect/>
                    </a:stretch>
                  </pic:blipFill>
                  <pic:spPr bwMode="auto">
                    <a:xfrm>
                      <a:off x="0" y="0"/>
                      <a:ext cx="2954655" cy="2537460"/>
                    </a:xfrm>
                    <a:prstGeom prst="rect">
                      <a:avLst/>
                    </a:prstGeom>
                  </pic:spPr>
                </pic:pic>
              </a:graphicData>
            </a:graphic>
          </wp:anchor>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3.1 – Структура дерева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Актуальная версия платформы 1с версии 8.3 предполагает использование управляемого интерфейса, который состоит из команд и окон, является динамическим, т.е. доступность тех или иных команд зависит от прав пользователей, настроек, сделанных в конфигурации и других параметров. [21]</w:t>
      </w:r>
    </w:p>
    <w:p>
      <w:pPr>
        <w:pStyle w:val="NormalWeb"/>
        <w:shd w:val="clear" w:fill="FFFFFF"/>
        <w:spacing w:lineRule="auto" w:line="360" w:before="0" w:after="0"/>
        <w:ind w:firstLine="709"/>
        <w:jc w:val="both"/>
        <w:textAlignment w:val="baseline"/>
        <w:rPr>
          <w:sz w:val="28"/>
          <w:szCs w:val="28"/>
        </w:rPr>
      </w:pPr>
      <w:r>
        <w:rPr>
          <w:sz w:val="28"/>
          <w:szCs w:val="28"/>
        </w:rPr>
        <w:t>С помощью команд в управляемом интерфейсе можно переключаться между разделами конфигурации, открывать различные списки, формировать отчеты.</w:t>
      </w:r>
    </w:p>
    <w:p>
      <w:pPr>
        <w:pStyle w:val="NormalWeb"/>
        <w:shd w:val="clear" w:fill="FFFFFF"/>
        <w:spacing w:lineRule="auto" w:line="360" w:before="0" w:after="0"/>
        <w:ind w:firstLine="709"/>
        <w:jc w:val="both"/>
        <w:textAlignment w:val="baseline"/>
        <w:rPr>
          <w:sz w:val="28"/>
          <w:szCs w:val="28"/>
        </w:rPr>
      </w:pPr>
      <w:r>
        <w:rPr>
          <w:sz w:val="28"/>
          <w:szCs w:val="28"/>
        </w:rPr>
        <w:t>Разработанный интерфейс и рабочий стол конфигурации представлен на рисунке 3.2.</w:t>
      </w:r>
    </w:p>
    <w:p>
      <w:pPr>
        <w:pStyle w:val="NormalWeb"/>
        <w:shd w:val="clear" w:fill="FFFFFF"/>
        <w:spacing w:lineRule="auto" w:line="360" w:before="0" w:after="0"/>
        <w:jc w:val="both"/>
        <w:textAlignment w:val="baseline"/>
        <w:rPr>
          <w:sz w:val="28"/>
          <w:szCs w:val="28"/>
        </w:rPr>
      </w:pPr>
      <w:r>
        <w:rPr/>
        <w:drawing>
          <wp:inline distT="0" distB="0" distL="0" distR="0">
            <wp:extent cx="5940425" cy="3948430"/>
            <wp:effectExtent l="0" t="0" r="0" b="0"/>
            <wp:docPr id="16" name="Рисунок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Рисунок 8" descr=""/>
                    <pic:cNvPicPr>
                      <a:picLocks noChangeAspect="1" noChangeArrowheads="1"/>
                    </pic:cNvPicPr>
                  </pic:nvPicPr>
                  <pic:blipFill>
                    <a:blip r:embed="rId12"/>
                    <a:stretch>
                      <a:fillRect/>
                    </a:stretch>
                  </pic:blipFill>
                  <pic:spPr bwMode="auto">
                    <a:xfrm>
                      <a:off x="0" y="0"/>
                      <a:ext cx="5940425" cy="3948430"/>
                    </a:xfrm>
                    <a:prstGeom prst="rect">
                      <a:avLst/>
                    </a:prstGeom>
                  </pic:spPr>
                </pic:pic>
              </a:graphicData>
            </a:graphic>
          </wp:inline>
        </w:drawing>
      </w:r>
    </w:p>
    <w:p>
      <w:pPr>
        <w:pStyle w:val="Normal"/>
        <w:tabs>
          <w:tab w:val="clear" w:pos="708"/>
          <w:tab w:val="left" w:pos="990" w:leader="none"/>
        </w:tabs>
        <w:spacing w:lineRule="auto" w:line="360" w:before="0" w:after="0"/>
        <w:ind w:firstLine="709"/>
        <w:contextualSpacing/>
        <w:jc w:val="center"/>
        <w:rPr>
          <w:rFonts w:ascii="Times New Roman" w:hAnsi="Times New Roman" w:cs="Times New Roman"/>
          <w:sz w:val="28"/>
          <w:szCs w:val="28"/>
          <w:lang w:eastAsia="ru-RU"/>
        </w:rPr>
      </w:pPr>
      <w:r>
        <w:rPr>
          <w:rFonts w:cs="Times New Roman"/>
          <w:sz w:val="28"/>
          <w:szCs w:val="28"/>
          <w:lang w:eastAsia="ru-RU"/>
        </w:rPr>
        <w:t>Рисунок 3.2. Командный интерфейс и рабочий стол конфигурации</w:t>
      </w:r>
    </w:p>
    <w:p>
      <w:pPr>
        <w:pStyle w:val="Normal"/>
        <w:tabs>
          <w:tab w:val="clear" w:pos="708"/>
          <w:tab w:val="left" w:pos="990" w:leader="none"/>
        </w:tabs>
        <w:spacing w:lineRule="auto" w:line="360" w:before="0" w:after="0"/>
        <w:ind w:firstLine="709"/>
        <w:contextualSpacing/>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Применительно к платформе 1С, разработка конфигурации означает создание прикладных объектов конфигурации (справочников, документов, регистров, отчетов и др.) с описанием их параметров и характеристик. Созданные объекты отражаются в дереве метаданных конфигурации. Рассмотрим подробнее созданные для разрабатываемой информационный системы объекты дерева метаданных.</w:t>
      </w:r>
    </w:p>
    <w:p>
      <w:pPr>
        <w:pStyle w:val="Normal"/>
        <w:jc w:val="center"/>
        <w:rPr>
          <w:b w:val="false"/>
          <w:color w:val="000000"/>
          <w:shd w:fill="FFFFFF" w:val="clear"/>
        </w:rPr>
      </w:pPr>
      <w:bookmarkStart w:id="90" w:name="__RefHeading___Toc22195_2829662935"/>
      <w:bookmarkStart w:id="91" w:name="_Toc515886996"/>
      <w:bookmarkEnd w:id="90"/>
      <w:r>
        <w:rPr>
          <w:b w:val="false"/>
          <w:color w:val="000000"/>
          <w:shd w:fill="FFFFFF" w:val="clear"/>
        </w:rPr>
        <w:t>3.1.1. Справочники</w:t>
      </w:r>
      <w:bookmarkEnd w:id="91"/>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Справочники — это прикладные объекты платформы, которые позволяют хранить в информационной базе данные, имеющие одинаковую структуру и списочный характер.</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справочников и описание их реквизитов представлены в таблице 3.1.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3.1.</w:t>
      </w:r>
    </w:p>
    <w:p>
      <w:pPr>
        <w:pStyle w:val="Normal"/>
        <w:spacing w:lineRule="auto" w:line="360" w:before="0" w:after="0"/>
        <w:ind w:firstLine="709"/>
        <w:jc w:val="center"/>
        <w:rPr>
          <w:rFonts w:ascii="Times New Roman" w:hAnsi="Times New Roman" w:cs="Times New Roman"/>
          <w:sz w:val="28"/>
          <w:szCs w:val="28"/>
          <w:lang w:eastAsia="ru-RU"/>
        </w:rPr>
      </w:pPr>
      <w:bookmarkStart w:id="92" w:name="OLE_LINK65"/>
      <w:bookmarkStart w:id="93" w:name="OLE_LINK66"/>
      <w:bookmarkStart w:id="94" w:name="OLE_LINK64"/>
      <w:r>
        <w:rPr>
          <w:rFonts w:cs="Times New Roman"/>
          <w:sz w:val="28"/>
          <w:szCs w:val="28"/>
          <w:lang w:eastAsia="ru-RU"/>
        </w:rPr>
        <w:t>Структура и состав справочников</w:t>
      </w:r>
      <w:bookmarkEnd w:id="92"/>
      <w:bookmarkEnd w:id="93"/>
      <w:bookmarkEnd w:id="94"/>
    </w:p>
    <w:tbl>
      <w:tblPr>
        <w:tblW w:w="9345" w:type="dxa"/>
        <w:jc w:val="left"/>
        <w:tblInd w:w="-113" w:type="dxa"/>
        <w:tblLayout w:type="fixed"/>
        <w:tblCellMar>
          <w:top w:w="0" w:type="dxa"/>
          <w:left w:w="108" w:type="dxa"/>
          <w:bottom w:w="0" w:type="dxa"/>
          <w:right w:w="108" w:type="dxa"/>
        </w:tblCellMar>
      </w:tblPr>
      <w:tblGrid>
        <w:gridCol w:w="2263"/>
        <w:gridCol w:w="2549"/>
        <w:gridCol w:w="2551"/>
        <w:gridCol w:w="1981"/>
      </w:tblGrid>
      <w:tr>
        <w:trPr/>
        <w:tc>
          <w:tcPr>
            <w:tcW w:w="226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5" w:name="__RefHeading___Toc3050_4046097046"/>
            <w:bookmarkEnd w:id="95"/>
            <w:r>
              <w:rPr>
                <w:rFonts w:eastAsia="Times New Roman" w:cs="Times New Roman"/>
                <w:kern w:val="0"/>
                <w:sz w:val="24"/>
                <w:szCs w:val="24"/>
                <w:lang w:val="ru-RU" w:eastAsia="ru-RU" w:bidi="ar-SA"/>
              </w:rPr>
              <w:t>Наименование объекта</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6" w:name="__RefHeading___Toc3052_4046097046"/>
            <w:bookmarkEnd w:id="96"/>
            <w:r>
              <w:rPr>
                <w:rFonts w:eastAsia="Times New Roman" w:cs="Times New Roman"/>
                <w:kern w:val="0"/>
                <w:sz w:val="24"/>
                <w:szCs w:val="24"/>
                <w:lang w:val="ru-RU" w:eastAsia="ru-RU" w:bidi="ar-SA"/>
              </w:rPr>
              <w:t>Реквизиты</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7" w:name="__RefHeading___Toc3054_4046097046"/>
            <w:bookmarkEnd w:id="97"/>
            <w:r>
              <w:rPr>
                <w:rFonts w:eastAsia="Times New Roman" w:cs="Times New Roman"/>
                <w:kern w:val="0"/>
                <w:sz w:val="24"/>
                <w:szCs w:val="24"/>
                <w:lang w:val="ru-RU" w:eastAsia="ru-RU" w:bidi="ar-SA"/>
              </w:rPr>
              <w:t>Тип</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8" w:name="__RefHeading___Toc3056_4046097046"/>
            <w:bookmarkEnd w:id="98"/>
            <w:r>
              <w:rPr>
                <w:rFonts w:eastAsia="Times New Roman" w:cs="Times New Roman"/>
                <w:kern w:val="0"/>
                <w:sz w:val="24"/>
                <w:szCs w:val="24"/>
                <w:lang w:val="ru-RU" w:eastAsia="ru-RU" w:bidi="ar-SA"/>
              </w:rPr>
              <w:t>Свойства</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99" w:name="__RefHeading___Toc3058_4046097046"/>
            <w:bookmarkEnd w:id="99"/>
            <w:r>
              <w:rPr>
                <w:rFonts w:eastAsia="Times New Roman" w:cs="Times New Roman"/>
                <w:kern w:val="0"/>
                <w:sz w:val="24"/>
                <w:szCs w:val="24"/>
                <w:lang w:val="ru-RU" w:eastAsia="ru-RU" w:bidi="ar-SA"/>
              </w:rPr>
              <w:t>Справочник «Поставщики»</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0" w:name="__RefHeading___Toc3060_4046097046"/>
            <w:bookmarkEnd w:id="100"/>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1" w:name="__RefHeading___Toc3062_4046097046"/>
            <w:bookmarkEnd w:id="101"/>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2" w:name="__RefHeading___Toc3064_4046097046"/>
            <w:bookmarkEnd w:id="102"/>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3" w:name="__RefHeading___Toc3066_4046097046"/>
            <w:bookmarkEnd w:id="103"/>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4" w:name="__RefHeading___Toc3068_4046097046"/>
            <w:bookmarkEnd w:id="104"/>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5" w:name="__RefHeading___Toc3070_4046097046"/>
            <w:bookmarkEnd w:id="105"/>
            <w:r>
              <w:rPr>
                <w:rFonts w:eastAsia="Times New Roman" w:cs="Times New Roman"/>
                <w:kern w:val="0"/>
                <w:sz w:val="24"/>
                <w:szCs w:val="24"/>
                <w:lang w:val="ru-RU" w:eastAsia="ru-RU" w:bidi="ar-SA"/>
              </w:rPr>
              <w:t>Длина - 60</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6" w:name="__RefHeading___Toc3072_4046097046"/>
            <w:bookmarkEnd w:id="106"/>
            <w:r>
              <w:rPr>
                <w:rFonts w:eastAsia="Times New Roman" w:cs="Times New Roman"/>
                <w:kern w:val="0"/>
                <w:sz w:val="24"/>
                <w:szCs w:val="24"/>
                <w:lang w:val="ru-RU" w:eastAsia="ru-RU" w:bidi="ar-SA"/>
              </w:rPr>
              <w:t>Группа товаров</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7" w:name="__RefHeading___Toc3074_4046097046"/>
            <w:bookmarkEnd w:id="107"/>
            <w:r>
              <w:rPr>
                <w:rFonts w:eastAsia="Times New Roman" w:cs="Times New Roman"/>
                <w:kern w:val="0"/>
                <w:sz w:val="24"/>
                <w:szCs w:val="24"/>
                <w:lang w:val="ru-RU" w:eastAsia="ru-RU" w:bidi="ar-SA"/>
              </w:rPr>
              <w:t>Справочник Ссылка. Группы Товаров</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8" w:name="__RefHeading___Toc3076_4046097046"/>
            <w:bookmarkEnd w:id="108"/>
            <w:r>
              <w:rPr>
                <w:rFonts w:eastAsia="Times New Roman" w:cs="Times New Roman"/>
                <w:kern w:val="0"/>
                <w:sz w:val="24"/>
                <w:szCs w:val="24"/>
                <w:lang w:val="ru-RU" w:eastAsia="ru-RU" w:bidi="ar-SA"/>
              </w:rPr>
              <w:t>-</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09" w:name="__RefHeading___Toc3078_4046097046"/>
            <w:bookmarkEnd w:id="109"/>
            <w:r>
              <w:rPr>
                <w:rFonts w:eastAsia="Times New Roman" w:cs="Times New Roman"/>
                <w:kern w:val="0"/>
                <w:sz w:val="24"/>
                <w:szCs w:val="24"/>
                <w:lang w:val="ru-RU" w:eastAsia="ru-RU" w:bidi="ar-SA"/>
              </w:rPr>
              <w:t>ИНН</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0" w:name="__RefHeading___Toc3080_4046097046"/>
            <w:bookmarkEnd w:id="11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1" w:name="__RefHeading___Toc3082_4046097046"/>
            <w:bookmarkEnd w:id="111"/>
            <w:r>
              <w:rPr>
                <w:rFonts w:eastAsia="Times New Roman" w:cs="Times New Roman"/>
                <w:kern w:val="0"/>
                <w:sz w:val="24"/>
                <w:szCs w:val="24"/>
                <w:lang w:val="ru-RU" w:eastAsia="ru-RU" w:bidi="ar-SA"/>
              </w:rPr>
              <w:t>12</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2" w:name="__RefHeading___Toc3084_4046097046"/>
            <w:bookmarkEnd w:id="112"/>
            <w:r>
              <w:rPr>
                <w:rFonts w:eastAsia="Times New Roman" w:cs="Times New Roman"/>
                <w:kern w:val="0"/>
                <w:sz w:val="24"/>
                <w:szCs w:val="24"/>
                <w:lang w:val="ru-RU" w:eastAsia="ru-RU" w:bidi="ar-SA"/>
              </w:rPr>
              <w:t>КПП</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3" w:name="__RefHeading___Toc3086_4046097046"/>
            <w:bookmarkEnd w:id="113"/>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4" w:name="__RefHeading___Toc3088_4046097046"/>
            <w:bookmarkEnd w:id="114"/>
            <w:r>
              <w:rPr>
                <w:rFonts w:eastAsia="Times New Roman" w:cs="Times New Roman"/>
                <w:kern w:val="0"/>
                <w:sz w:val="24"/>
                <w:szCs w:val="24"/>
                <w:lang w:val="ru-RU" w:eastAsia="ru-RU" w:bidi="ar-SA"/>
              </w:rPr>
              <w:t>9</w:t>
            </w:r>
          </w:p>
        </w:tc>
      </w:tr>
      <w:tr>
        <w:trPr/>
        <w:tc>
          <w:tcPr>
            <w:tcW w:w="2263"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5" w:name="__RefHeading___Toc3090_4046097046"/>
            <w:bookmarkEnd w:id="115"/>
            <w:r>
              <w:rPr>
                <w:rFonts w:eastAsia="Times New Roman" w:cs="Times New Roman"/>
                <w:kern w:val="0"/>
                <w:sz w:val="24"/>
                <w:szCs w:val="24"/>
                <w:lang w:val="ru-RU" w:eastAsia="ru-RU" w:bidi="ar-SA"/>
              </w:rPr>
              <w:t>Справочник «Группы товаров»</w:t>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6" w:name="__RefHeading___Toc3092_4046097046"/>
            <w:bookmarkEnd w:id="116"/>
            <w:r>
              <w:rPr>
                <w:rFonts w:eastAsia="Times New Roman" w:cs="Times New Roman"/>
                <w:kern w:val="0"/>
                <w:sz w:val="24"/>
                <w:szCs w:val="24"/>
                <w:lang w:val="ru-RU" w:eastAsia="ru-RU" w:bidi="ar-SA"/>
              </w:rPr>
              <w:t>Код</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7" w:name="__RefHeading___Toc3094_4046097046"/>
            <w:bookmarkEnd w:id="117"/>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8" w:name="__RefHeading___Toc3096_4046097046"/>
            <w:bookmarkEnd w:id="118"/>
            <w:r>
              <w:rPr>
                <w:rFonts w:eastAsia="Times New Roman" w:cs="Times New Roman"/>
                <w:kern w:val="0"/>
                <w:sz w:val="24"/>
                <w:szCs w:val="24"/>
                <w:lang w:val="ru-RU" w:eastAsia="ru-RU" w:bidi="ar-SA"/>
              </w:rPr>
              <w:t>Длина - 9</w:t>
            </w:r>
          </w:p>
        </w:tc>
      </w:tr>
      <w:tr>
        <w:trPr/>
        <w:tc>
          <w:tcPr>
            <w:tcW w:w="2263"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549"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19" w:name="__RefHeading___Toc3098_4046097046"/>
            <w:bookmarkEnd w:id="119"/>
            <w:r>
              <w:rPr>
                <w:rFonts w:eastAsia="Times New Roman" w:cs="Times New Roman"/>
                <w:kern w:val="0"/>
                <w:sz w:val="24"/>
                <w:szCs w:val="24"/>
                <w:lang w:val="ru-RU" w:eastAsia="ru-RU" w:bidi="ar-SA"/>
              </w:rPr>
              <w:t>Наименование</w:t>
            </w:r>
          </w:p>
        </w:tc>
        <w:tc>
          <w:tcPr>
            <w:tcW w:w="255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0" w:name="__RefHeading___Toc3100_4046097046"/>
            <w:bookmarkEnd w:id="120"/>
            <w:r>
              <w:rPr>
                <w:rFonts w:eastAsia="Times New Roman" w:cs="Times New Roman"/>
                <w:kern w:val="0"/>
                <w:sz w:val="24"/>
                <w:szCs w:val="24"/>
                <w:lang w:val="ru-RU" w:eastAsia="ru-RU" w:bidi="ar-SA"/>
              </w:rPr>
              <w:t>Строка</w:t>
            </w:r>
          </w:p>
        </w:tc>
        <w:tc>
          <w:tcPr>
            <w:tcW w:w="1981"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1" w:name="__RefHeading___Toc3102_4046097046"/>
            <w:bookmarkEnd w:id="121"/>
            <w:r>
              <w:rPr>
                <w:rFonts w:eastAsia="Times New Roman" w:cs="Times New Roman"/>
                <w:kern w:val="0"/>
                <w:sz w:val="24"/>
                <w:szCs w:val="24"/>
                <w:lang w:val="ru-RU" w:eastAsia="ru-RU" w:bidi="ar-SA"/>
              </w:rPr>
              <w:t>Длина - 60</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Рассмотрим подробнее разработанные справочники и их формы.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«Поставщики» предназначен для ввода и хранения информации о поставщиках </w:t>
      </w:r>
      <w:r>
        <w:rPr>
          <w:rFonts w:cs="Times New Roman"/>
          <w:sz w:val="28"/>
          <w:szCs w:val="28"/>
        </w:rPr>
        <w:t>(Рисунок 3.3).</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1">
            <wp:simplePos x="0" y="0"/>
            <wp:positionH relativeFrom="column">
              <wp:posOffset>0</wp:posOffset>
            </wp:positionH>
            <wp:positionV relativeFrom="paragraph">
              <wp:posOffset>133350</wp:posOffset>
            </wp:positionV>
            <wp:extent cx="5940425" cy="925195"/>
            <wp:effectExtent l="0" t="0" r="0" b="0"/>
            <wp:wrapTopAndBottom/>
            <wp:docPr id="17" name="Изображение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Изображение2" descr=""/>
                    <pic:cNvPicPr>
                      <a:picLocks noChangeAspect="1" noChangeArrowheads="1"/>
                    </pic:cNvPicPr>
                  </pic:nvPicPr>
                  <pic:blipFill>
                    <a:blip r:embed="rId13"/>
                    <a:stretch>
                      <a:fillRect/>
                    </a:stretch>
                  </pic:blipFill>
                  <pic:spPr bwMode="auto">
                    <a:xfrm>
                      <a:off x="0" y="0"/>
                      <a:ext cx="5940425" cy="9251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3.3 – Форма списка справочника «Поставщики»</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Справочник «Группы товаров» хранит информацию по возможным группам товаров, поставляемых поставщиками </w:t>
      </w:r>
      <w:r>
        <w:rPr>
          <w:rFonts w:cs="Times New Roman"/>
          <w:sz w:val="28"/>
          <w:szCs w:val="28"/>
        </w:rPr>
        <w:t>(Рисунок 3.4).</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22">
            <wp:simplePos x="0" y="0"/>
            <wp:positionH relativeFrom="column">
              <wp:posOffset>0</wp:posOffset>
            </wp:positionH>
            <wp:positionV relativeFrom="paragraph">
              <wp:posOffset>104775</wp:posOffset>
            </wp:positionV>
            <wp:extent cx="5940425" cy="828040"/>
            <wp:effectExtent l="0" t="0" r="0" b="0"/>
            <wp:wrapTopAndBottom/>
            <wp:docPr id="18" name="Изображение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Изображение3" descr=""/>
                    <pic:cNvPicPr>
                      <a:picLocks noChangeAspect="1" noChangeArrowheads="1"/>
                    </pic:cNvPicPr>
                  </pic:nvPicPr>
                  <pic:blipFill>
                    <a:blip r:embed="rId14"/>
                    <a:stretch>
                      <a:fillRect/>
                    </a:stretch>
                  </pic:blipFill>
                  <pic:spPr bwMode="auto">
                    <a:xfrm>
                      <a:off x="0" y="0"/>
                      <a:ext cx="5940425" cy="82804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3.4 – Форма списка справочника «Группы товаров»</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r>
        <w:rPr>
          <w:b w:val="false"/>
          <w:color w:val="auto"/>
        </w:rPr>
      </w:r>
      <w:r>
        <w:br w:type="page"/>
      </w:r>
    </w:p>
    <w:p>
      <w:pPr>
        <w:pStyle w:val="Normal"/>
        <w:spacing w:before="0" w:after="160"/>
        <w:jc w:val="center"/>
        <w:rPr>
          <w:b w:val="false"/>
          <w:color w:val="auto"/>
        </w:rPr>
      </w:pPr>
      <w:bookmarkStart w:id="122" w:name="__RefHeading___Toc22197_2829662935"/>
      <w:bookmarkStart w:id="123" w:name="_Toc515886997"/>
      <w:bookmarkEnd w:id="122"/>
      <w:r>
        <w:rPr>
          <w:b w:val="false"/>
          <w:color w:val="auto"/>
        </w:rPr>
        <w:t>3.1.2 Документы</w:t>
      </w:r>
      <w:bookmarkEnd w:id="123"/>
    </w:p>
    <w:p>
      <w:pPr>
        <w:pStyle w:val="Normal"/>
        <w:spacing w:lineRule="auto" w:line="360" w:before="0" w:after="0"/>
        <w:ind w:firstLine="709"/>
        <w:jc w:val="both"/>
        <w:rPr>
          <w:rFonts w:ascii="Times New Roman" w:hAnsi="Times New Roman" w:cs="Times New Roman"/>
          <w:sz w:val="28"/>
          <w:szCs w:val="28"/>
        </w:rPr>
      </w:pPr>
      <w:bookmarkStart w:id="124" w:name="OLE_LINK68"/>
      <w:bookmarkStart w:id="125" w:name="OLE_LINK67"/>
      <w:r>
        <w:rPr>
          <w:rFonts w:cs="Times New Roman"/>
          <w:sz w:val="28"/>
          <w:szCs w:val="28"/>
        </w:rPr>
        <w:t>Для отражения любых хозяйственных операций в платформе 1с предусмотрены объекты – документы, которые предназначены для хранения основной информации о всех событиях, происходящих на предприятии.</w:t>
      </w:r>
      <w:bookmarkEnd w:id="124"/>
      <w:bookmarkEnd w:id="125"/>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Структура разработанных документов, табличных частей и описание их реквизитов представлены в таблице 3.2.</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3.2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Структура и состав документов</w:t>
      </w:r>
    </w:p>
    <w:tbl>
      <w:tblPr>
        <w:tblW w:w="9345" w:type="dxa"/>
        <w:jc w:val="left"/>
        <w:tblInd w:w="-113" w:type="dxa"/>
        <w:tblLayout w:type="fixed"/>
        <w:tblCellMar>
          <w:top w:w="0" w:type="dxa"/>
          <w:left w:w="108" w:type="dxa"/>
          <w:bottom w:w="0" w:type="dxa"/>
          <w:right w:w="108" w:type="dxa"/>
        </w:tblCellMar>
      </w:tblPr>
      <w:tblGrid>
        <w:gridCol w:w="1997"/>
        <w:gridCol w:w="1996"/>
        <w:gridCol w:w="2948"/>
        <w:gridCol w:w="2403"/>
      </w:tblGrid>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6" w:name="__RefHeading___Toc3124_4046097046"/>
            <w:bookmarkEnd w:id="126"/>
            <w:r>
              <w:rPr>
                <w:rFonts w:eastAsia="Times New Roman" w:cs="Times New Roman"/>
                <w:kern w:val="0"/>
                <w:sz w:val="24"/>
                <w:szCs w:val="24"/>
                <w:lang w:val="ru-RU" w:eastAsia="ru-RU" w:bidi="ar-SA"/>
              </w:rPr>
              <w:t>Наименование объекта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7" w:name="__RefHeading___Toc3126_4046097046"/>
            <w:bookmarkEnd w:id="127"/>
            <w:r>
              <w:rPr>
                <w:rFonts w:eastAsia="Times New Roman" w:cs="Times New Roman"/>
                <w:kern w:val="0"/>
                <w:sz w:val="24"/>
                <w:szCs w:val="24"/>
                <w:lang w:val="ru-RU" w:eastAsia="ru-RU" w:bidi="ar-SA"/>
              </w:rPr>
              <w:t>Реквизиты</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8" w:name="__RefHeading___Toc3128_4046097046"/>
            <w:bookmarkEnd w:id="128"/>
            <w:r>
              <w:rPr>
                <w:rFonts w:eastAsia="Times New Roman" w:cs="Times New Roman"/>
                <w:kern w:val="0"/>
                <w:sz w:val="24"/>
                <w:szCs w:val="24"/>
                <w:lang w:val="ru-RU" w:eastAsia="ru-RU" w:bidi="ar-SA"/>
              </w:rPr>
              <w:t>Тип</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29" w:name="__RefHeading___Toc3130_4046097046"/>
            <w:bookmarkEnd w:id="129"/>
            <w:r>
              <w:rPr>
                <w:rFonts w:eastAsia="Times New Roman" w:cs="Times New Roman"/>
                <w:kern w:val="0"/>
                <w:sz w:val="24"/>
                <w:szCs w:val="24"/>
                <w:lang w:val="ru-RU" w:eastAsia="ru-RU" w:bidi="ar-SA"/>
              </w:rPr>
              <w:t>Свойства</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0" w:name="__RefHeading___Toc3132_4046097046"/>
            <w:bookmarkEnd w:id="130"/>
            <w:r>
              <w:rPr>
                <w:rFonts w:eastAsia="Times New Roman" w:cs="Times New Roman"/>
                <w:kern w:val="0"/>
                <w:sz w:val="24"/>
                <w:szCs w:val="24"/>
                <w:lang w:val="ru-RU" w:eastAsia="ru-RU" w:bidi="ar-SA"/>
              </w:rPr>
              <w:t>Документ «Формирование выборки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1" w:name="__RefHeading___Toc3134_4046097046"/>
            <w:bookmarkEnd w:id="131"/>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2" w:name="__RefHeading___Toc3136_4046097046"/>
            <w:bookmarkEnd w:id="132"/>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3" w:name="__RefHeading___Toc3138_4046097046"/>
            <w:bookmarkEnd w:id="133"/>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4" w:name="__RefHeading___Toc3140_4046097046"/>
            <w:bookmarkEnd w:id="134"/>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5" w:name="__RefHeading___Toc3142_4046097046"/>
            <w:bookmarkEnd w:id="135"/>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6" w:name="__RefHeading___Toc3144_4046097046"/>
            <w:bookmarkEnd w:id="13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7" w:name="__RefHeading___Toc3146_4046097046"/>
            <w:bookmarkEnd w:id="137"/>
            <w:r>
              <w:rPr>
                <w:rFonts w:eastAsia="Times New Roman" w:cs="Times New Roman"/>
                <w:kern w:val="0"/>
                <w:sz w:val="24"/>
                <w:szCs w:val="24"/>
                <w:lang w:val="ru-RU" w:eastAsia="ru-RU" w:bidi="ar-SA"/>
              </w:rPr>
              <w:t>Группа Товара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8" w:name="__RefHeading___Toc3148_4046097046"/>
            <w:bookmarkEnd w:id="138"/>
            <w:r>
              <w:rPr>
                <w:rFonts w:eastAsia="Times New Roman" w:cs="Times New Roman"/>
                <w:kern w:val="0"/>
                <w:sz w:val="24"/>
                <w:szCs w:val="24"/>
                <w:lang w:val="ru-RU" w:eastAsia="ru-RU" w:bidi="ar-SA"/>
              </w:rPr>
              <w:t>Справочник Ссылка. Группы товара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39" w:name="__RefHeading___Toc3150_4046097046"/>
            <w:bookmarkEnd w:id="139"/>
            <w:r>
              <w:rPr>
                <w:rFonts w:eastAsia="Times New Roman" w:cs="Times New Roman"/>
                <w:kern w:val="0"/>
                <w:sz w:val="24"/>
                <w:szCs w:val="24"/>
                <w:lang w:val="ru-RU" w:eastAsia="ru-RU" w:bidi="ar-SA"/>
              </w:rPr>
              <w:t>-</w:t>
            </w:r>
          </w:p>
        </w:tc>
      </w:tr>
      <w:tr>
        <w:trPr/>
        <w:tc>
          <w:tcPr>
            <w:tcW w:w="1997"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0" w:name="__RefHeading___Toc3152_4046097046"/>
            <w:bookmarkEnd w:id="140"/>
            <w:r>
              <w:rPr>
                <w:rFonts w:eastAsia="Times New Roman" w:cs="Times New Roman"/>
                <w:kern w:val="0"/>
                <w:sz w:val="24"/>
                <w:szCs w:val="24"/>
                <w:lang w:val="ru-RU" w:eastAsia="ru-RU" w:bidi="ar-SA"/>
              </w:rPr>
              <w:t>Табличная часть «Список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1" w:name="__RefHeading___Toc3154_4046097046"/>
            <w:bookmarkEnd w:id="141"/>
            <w:r>
              <w:rPr>
                <w:rFonts w:eastAsia="Times New Roman" w:cs="Times New Roman"/>
                <w:kern w:val="0"/>
                <w:sz w:val="24"/>
                <w:szCs w:val="24"/>
                <w:lang w:val="ru-RU" w:eastAsia="ru-RU" w:bidi="ar-SA"/>
              </w:rPr>
              <w:t>Наименование</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2" w:name="__RefHeading___Toc3156_4046097046"/>
            <w:bookmarkEnd w:id="142"/>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3" w:name="__RefHeading___Toc3158_4046097046"/>
            <w:bookmarkEnd w:id="143"/>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4" w:name="__RefHeading___Toc3160_4046097046"/>
            <w:bookmarkEnd w:id="144"/>
            <w:r>
              <w:rPr>
                <w:rFonts w:eastAsia="Times New Roman" w:cs="Times New Roman"/>
                <w:kern w:val="0"/>
                <w:sz w:val="24"/>
                <w:szCs w:val="24"/>
                <w:lang w:val="ru-RU" w:eastAsia="ru-RU" w:bidi="ar-SA"/>
              </w:rPr>
              <w:t>Документ «Анализ Выборка»</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5" w:name="__RefHeading___Toc3162_4046097046"/>
            <w:bookmarkEnd w:id="145"/>
            <w:r>
              <w:rPr>
                <w:rFonts w:eastAsia="Times New Roman" w:cs="Times New Roman"/>
                <w:kern w:val="0"/>
                <w:sz w:val="24"/>
                <w:szCs w:val="24"/>
                <w:lang w:val="ru-RU" w:eastAsia="ru-RU" w:bidi="ar-SA"/>
              </w:rPr>
              <w:t>Номер</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6" w:name="__RefHeading___Toc3164_4046097046"/>
            <w:bookmarkEnd w:id="146"/>
            <w:r>
              <w:rPr>
                <w:rFonts w:eastAsia="Times New Roman" w:cs="Times New Roman"/>
                <w:kern w:val="0"/>
                <w:sz w:val="24"/>
                <w:szCs w:val="24"/>
                <w:lang w:val="ru-RU" w:eastAsia="ru-RU" w:bidi="ar-SA"/>
              </w:rPr>
              <w:t>Строка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7" w:name="__RefHeading___Toc3166_4046097046"/>
            <w:bookmarkEnd w:id="147"/>
            <w:r>
              <w:rPr>
                <w:rFonts w:eastAsia="Times New Roman" w:cs="Times New Roman"/>
                <w:kern w:val="0"/>
                <w:sz w:val="24"/>
                <w:szCs w:val="24"/>
                <w:lang w:val="ru-RU" w:eastAsia="ru-RU" w:bidi="ar-SA"/>
              </w:rPr>
              <w:t>Длина - 9</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8" w:name="__RefHeading___Toc3168_4046097046"/>
            <w:bookmarkEnd w:id="148"/>
            <w:r>
              <w:rPr>
                <w:rFonts w:eastAsia="Times New Roman" w:cs="Times New Roman"/>
                <w:kern w:val="0"/>
                <w:sz w:val="24"/>
                <w:szCs w:val="24"/>
                <w:lang w:val="ru-RU" w:eastAsia="ru-RU" w:bidi="ar-SA"/>
              </w:rPr>
              <w:t>Дата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49" w:name="__RefHeading___Toc3170_4046097046"/>
            <w:bookmarkEnd w:id="149"/>
            <w:r>
              <w:rPr>
                <w:rFonts w:eastAsia="Times New Roman" w:cs="Times New Roman"/>
                <w:kern w:val="0"/>
                <w:sz w:val="24"/>
                <w:szCs w:val="24"/>
                <w:lang w:val="ru-RU" w:eastAsia="ru-RU" w:bidi="ar-SA"/>
              </w:rPr>
              <w:t>Дата</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0" w:name="__RefHeading___Toc3172_4046097046"/>
            <w:bookmarkEnd w:id="15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1" w:name="__RefHeading___Toc3174_4046097046"/>
            <w:bookmarkEnd w:id="151"/>
            <w:r>
              <w:rPr>
                <w:rFonts w:eastAsia="Times New Roman" w:cs="Times New Roman"/>
                <w:kern w:val="0"/>
                <w:sz w:val="24"/>
                <w:szCs w:val="24"/>
                <w:lang w:val="ru-RU" w:eastAsia="ru-RU" w:bidi="ar-SA"/>
              </w:rPr>
              <w:t>Выборка поставщиков</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2" w:name="__RefHeading___Toc3176_4046097046"/>
            <w:bookmarkEnd w:id="152"/>
            <w:r>
              <w:rPr>
                <w:rFonts w:eastAsia="Times New Roman" w:cs="Times New Roman"/>
                <w:kern w:val="0"/>
                <w:sz w:val="24"/>
                <w:szCs w:val="24"/>
                <w:lang w:val="ru-RU" w:eastAsia="ru-RU" w:bidi="ar-SA"/>
              </w:rPr>
              <w:t>Документ Ссылка. Формирование выборки поставщиков</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3" w:name="__RefHeading___Toc3178_4046097046"/>
            <w:bookmarkEnd w:id="153"/>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4" w:name="__RefHeading___Toc3180_4046097046"/>
            <w:bookmarkEnd w:id="154"/>
            <w:r>
              <w:rPr>
                <w:rFonts w:eastAsia="Times New Roman" w:cs="Times New Roman"/>
                <w:kern w:val="0"/>
                <w:sz w:val="24"/>
                <w:szCs w:val="24"/>
                <w:lang w:val="ru-RU" w:eastAsia="ru-RU" w:bidi="ar-SA"/>
              </w:rPr>
              <w:t>Рекомендуемый 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5" w:name="__RefHeading___Toc3182_4046097046"/>
            <w:bookmarkEnd w:id="155"/>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6" w:name="__RefHeading___Toc3184_4046097046"/>
            <w:bookmarkEnd w:id="156"/>
            <w:r>
              <w:rPr>
                <w:rFonts w:eastAsia="Times New Roman" w:cs="Times New Roman"/>
                <w:kern w:val="0"/>
                <w:sz w:val="24"/>
                <w:szCs w:val="24"/>
                <w:lang w:val="ru-RU" w:eastAsia="ru-RU" w:bidi="ar-SA"/>
              </w:rPr>
              <w:t>-</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7" w:name="__RefHeading___Toc3186_4046097046"/>
            <w:bookmarkEnd w:id="157"/>
            <w:r>
              <w:rPr>
                <w:rFonts w:eastAsia="Times New Roman" w:cs="Times New Roman"/>
                <w:kern w:val="0"/>
                <w:sz w:val="24"/>
                <w:szCs w:val="24"/>
                <w:lang w:val="ru-RU" w:eastAsia="ru-RU" w:bidi="ar-SA"/>
              </w:rPr>
              <w:t>Табличная часть «Результаты оценки»</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8" w:name="__RefHeading___Toc3188_4046097046"/>
            <w:bookmarkEnd w:id="158"/>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59" w:name="__RefHeading___Toc3190_4046097046"/>
            <w:bookmarkEnd w:id="159"/>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0" w:name="__RefHeading___Toc3192_4046097046"/>
            <w:bookmarkEnd w:id="16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1" w:name="__RefHeading___Toc3194_4046097046"/>
            <w:bookmarkEnd w:id="161"/>
            <w:r>
              <w:rPr>
                <w:rFonts w:eastAsia="Times New Roman" w:cs="Times New Roman"/>
                <w:kern w:val="0"/>
                <w:sz w:val="24"/>
                <w:szCs w:val="24"/>
                <w:lang w:val="ru-RU" w:eastAsia="ru-RU" w:bidi="ar-SA"/>
              </w:rPr>
              <w:t>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2" w:name="__RefHeading___Toc3196_4046097046"/>
            <w:bookmarkEnd w:id="162"/>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3" w:name="__RefHeading___Toc3198_4046097046"/>
            <w:bookmarkEnd w:id="163"/>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4" w:name="__RefHeading___Toc3200_4046097046"/>
            <w:bookmarkEnd w:id="164"/>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5" w:name="__RefHeading___Toc3202_4046097046"/>
            <w:bookmarkEnd w:id="165"/>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6" w:name="__RefHeading___Toc3204_4046097046"/>
            <w:bookmarkEnd w:id="166"/>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7" w:name="__RefHeading___Toc3206_4046097046"/>
            <w:bookmarkEnd w:id="167"/>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8" w:name="__RefHeading___Toc3208_4046097046"/>
            <w:bookmarkEnd w:id="168"/>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69" w:name="__RefHeading___Toc3210_4046097046"/>
            <w:bookmarkEnd w:id="169"/>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0" w:name="__RefHeading___Toc3212_4046097046"/>
            <w:bookmarkEnd w:id="170"/>
            <w:r>
              <w:rPr>
                <w:rFonts w:eastAsia="Times New Roman" w:cs="Times New Roman"/>
                <w:kern w:val="0"/>
                <w:sz w:val="24"/>
                <w:szCs w:val="24"/>
                <w:lang w:val="ru-RU" w:eastAsia="ru-RU" w:bidi="ar-SA"/>
              </w:rPr>
              <w:t>Финансовый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1" w:name="__RefHeading___Toc3214_4046097046"/>
            <w:bookmarkEnd w:id="171"/>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2" w:name="__RefHeading___Toc3216_4046097046"/>
            <w:bookmarkEnd w:id="172"/>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3" w:name="__RefHeading___Toc3218_4046097046"/>
            <w:bookmarkEnd w:id="173"/>
            <w:r>
              <w:rPr>
                <w:rFonts w:eastAsia="Times New Roman" w:cs="Times New Roman"/>
                <w:kern w:val="0"/>
                <w:sz w:val="24"/>
                <w:szCs w:val="24"/>
                <w:lang w:val="ru-RU" w:eastAsia="ru-RU" w:bidi="ar-SA"/>
              </w:rPr>
              <w:t>Юридический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4" w:name="__RefHeading___Toc3220_4046097046"/>
            <w:bookmarkEnd w:id="174"/>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5" w:name="__RefHeading___Toc3222_4046097046"/>
            <w:bookmarkEnd w:id="175"/>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6" w:name="__RefHeading___Toc3224_4046097046"/>
            <w:bookmarkEnd w:id="176"/>
            <w:r>
              <w:rPr>
                <w:rFonts w:eastAsia="Times New Roman" w:cs="Times New Roman"/>
                <w:kern w:val="0"/>
                <w:sz w:val="24"/>
                <w:szCs w:val="24"/>
                <w:lang w:val="ru-RU" w:eastAsia="ru-RU" w:bidi="ar-SA"/>
              </w:rPr>
              <w:t>Репутационный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7" w:name="__RefHeading___Toc3226_4046097046"/>
            <w:bookmarkEnd w:id="177"/>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8" w:name="__RefHeading___Toc3228_4046097046"/>
            <w:bookmarkEnd w:id="178"/>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79" w:name="__RefHeading___Toc3230_4046097046"/>
            <w:bookmarkEnd w:id="179"/>
            <w:r>
              <w:rPr>
                <w:rFonts w:eastAsia="Times New Roman" w:cs="Times New Roman"/>
                <w:kern w:val="0"/>
                <w:sz w:val="24"/>
                <w:szCs w:val="24"/>
                <w:lang w:val="ru-RU" w:eastAsia="ru-RU" w:bidi="ar-SA"/>
              </w:rPr>
              <w:t>Операционный риск</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0" w:name="__RefHeading___Toc3232_4046097046"/>
            <w:bookmarkEnd w:id="180"/>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1" w:name="__RefHeading___Toc3234_4046097046"/>
            <w:bookmarkEnd w:id="181"/>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2" w:name="__RefHeading___Toc3236_4046097046"/>
            <w:bookmarkEnd w:id="182"/>
            <w:r>
              <w:rPr>
                <w:rFonts w:eastAsia="Times New Roman" w:cs="Times New Roman"/>
                <w:kern w:val="0"/>
                <w:sz w:val="24"/>
                <w:szCs w:val="24"/>
                <w:lang w:val="ru-RU" w:eastAsia="ru-RU" w:bidi="ar-SA"/>
              </w:rPr>
              <w:t>Оценка стабильности</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3" w:name="__RefHeading___Toc3238_4046097046"/>
            <w:bookmarkEnd w:id="183"/>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4" w:name="__RefHeading___Toc3240_4046097046"/>
            <w:bookmarkEnd w:id="184"/>
            <w:r>
              <w:rPr>
                <w:rFonts w:eastAsia="Times New Roman" w:cs="Times New Roman"/>
                <w:kern w:val="0"/>
                <w:sz w:val="24"/>
                <w:szCs w:val="24"/>
                <w:lang w:val="ru-RU" w:eastAsia="ru-RU" w:bidi="ar-SA"/>
              </w:rPr>
              <w:t>Длина – 10,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5" w:name="__RefHeading___Toc3242_4046097046"/>
            <w:bookmarkEnd w:id="185"/>
            <w:r>
              <w:rPr>
                <w:rFonts w:eastAsia="Times New Roman" w:cs="Times New Roman"/>
                <w:kern w:val="0"/>
                <w:sz w:val="24"/>
                <w:szCs w:val="24"/>
                <w:lang w:val="ru-RU" w:eastAsia="ru-RU" w:bidi="ar-SA"/>
              </w:rPr>
              <w:t>Вероятность высокого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6" w:name="__RefHeading___Toc3244_4046097046"/>
            <w:bookmarkEnd w:id="186"/>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7" w:name="__RefHeading___Toc3246_4046097046"/>
            <w:bookmarkEnd w:id="187"/>
            <w:r>
              <w:rPr>
                <w:rFonts w:eastAsia="Times New Roman" w:cs="Times New Roman"/>
                <w:kern w:val="0"/>
                <w:sz w:val="24"/>
                <w:szCs w:val="24"/>
                <w:lang w:val="ru-RU" w:eastAsia="ru-RU" w:bidi="ar-SA"/>
              </w:rPr>
              <w:t>Длина – 5, точн. - 2</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8" w:name="__RefHeading___Toc3248_4046097046"/>
            <w:bookmarkEnd w:id="188"/>
            <w:r>
              <w:rPr>
                <w:rFonts w:eastAsia="Times New Roman" w:cs="Times New Roman"/>
                <w:kern w:val="0"/>
                <w:sz w:val="24"/>
                <w:szCs w:val="24"/>
                <w:lang w:val="ru-RU" w:eastAsia="ru-RU" w:bidi="ar-SA"/>
              </w:rPr>
              <w:t>Расчетный балл</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89" w:name="__RefHeading___Toc3250_4046097046"/>
            <w:bookmarkEnd w:id="189"/>
            <w:r>
              <w:rPr>
                <w:rFonts w:eastAsia="Times New Roman" w:cs="Times New Roman"/>
                <w:kern w:val="0"/>
                <w:sz w:val="24"/>
                <w:szCs w:val="24"/>
                <w:lang w:val="ru-RU" w:eastAsia="ru-RU" w:bidi="ar-SA"/>
              </w:rPr>
              <w:t>Число</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0" w:name="__RefHeading___Toc3252_4046097046"/>
            <w:bookmarkEnd w:id="190"/>
            <w:r>
              <w:rPr>
                <w:rFonts w:eastAsia="Times New Roman" w:cs="Times New Roman"/>
                <w:kern w:val="0"/>
                <w:sz w:val="24"/>
                <w:szCs w:val="24"/>
                <w:lang w:val="ru-RU" w:eastAsia="ru-RU" w:bidi="ar-SA"/>
              </w:rPr>
              <w:t>Длина – 10, точн. - 2</w:t>
            </w:r>
          </w:p>
        </w:tc>
      </w:tr>
      <w:tr>
        <w:trPr/>
        <w:tc>
          <w:tcPr>
            <w:tcW w:w="1997"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1" w:name="__RefHeading___Toc3254_4046097046"/>
            <w:bookmarkEnd w:id="191"/>
            <w:r>
              <w:rPr>
                <w:rFonts w:eastAsia="Times New Roman" w:cs="Times New Roman"/>
                <w:kern w:val="0"/>
                <w:sz w:val="24"/>
                <w:szCs w:val="24"/>
                <w:lang w:val="ru-RU" w:eastAsia="ru-RU" w:bidi="ar-SA"/>
              </w:rPr>
              <w:t>Табличная часть «Рейтинг поставщиков»</w:t>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2" w:name="__RefHeading___Toc3256_4046097046"/>
            <w:bookmarkEnd w:id="192"/>
            <w:r>
              <w:rPr>
                <w:rFonts w:eastAsia="Times New Roman" w:cs="Times New Roman"/>
                <w:kern w:val="0"/>
                <w:sz w:val="24"/>
                <w:szCs w:val="24"/>
                <w:lang w:val="ru-RU" w:eastAsia="ru-RU" w:bidi="ar-SA"/>
              </w:rPr>
              <w:t>Поставщик</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3" w:name="__RefHeading___Toc3258_4046097046"/>
            <w:bookmarkEnd w:id="193"/>
            <w:r>
              <w:rPr>
                <w:rFonts w:eastAsia="Times New Roman" w:cs="Times New Roman"/>
                <w:kern w:val="0"/>
                <w:sz w:val="24"/>
                <w:szCs w:val="24"/>
                <w:lang w:val="ru-RU" w:eastAsia="ru-RU" w:bidi="ar-SA"/>
              </w:rPr>
              <w:t>Справочник Ссылка. Поставщики</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4" w:name="__RefHeading___Toc3260_4046097046"/>
            <w:bookmarkEnd w:id="194"/>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5" w:name="__RefHeading___Toc3262_4046097046"/>
            <w:bookmarkEnd w:id="195"/>
            <w:r>
              <w:rPr>
                <w:rFonts w:eastAsia="Times New Roman" w:cs="Times New Roman"/>
                <w:kern w:val="0"/>
                <w:sz w:val="24"/>
                <w:szCs w:val="24"/>
                <w:lang w:val="ru-RU" w:eastAsia="ru-RU" w:bidi="ar-SA"/>
              </w:rPr>
              <w:t>Итоговая оценка</w:t>
            </w:r>
          </w:p>
        </w:tc>
        <w:tc>
          <w:tcPr>
            <w:tcW w:w="294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6" w:name="__RefHeading___Toc3264_4046097046"/>
            <w:bookmarkEnd w:id="196"/>
            <w:r>
              <w:rPr>
                <w:rFonts w:eastAsia="Times New Roman" w:cs="Times New Roman"/>
                <w:kern w:val="0"/>
                <w:sz w:val="24"/>
                <w:szCs w:val="24"/>
                <w:lang w:val="ru-RU" w:eastAsia="ru-RU" w:bidi="ar-SA"/>
              </w:rPr>
              <w:t>Число</w:t>
            </w:r>
          </w:p>
        </w:tc>
        <w:tc>
          <w:tcPr>
            <w:tcW w:w="2403"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7" w:name="__RefHeading___Toc3266_4046097046"/>
            <w:bookmarkEnd w:id="197"/>
            <w:r>
              <w:rPr>
                <w:rFonts w:eastAsia="Times New Roman" w:cs="Times New Roman"/>
                <w:kern w:val="0"/>
                <w:sz w:val="24"/>
                <w:szCs w:val="24"/>
                <w:lang w:val="ru-RU" w:eastAsia="ru-RU" w:bidi="ar-SA"/>
              </w:rPr>
              <w:t>Длина – 6, точн. - 0</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8" w:name="__RefHeading___Toc3268_4046097046"/>
            <w:bookmarkEnd w:id="198"/>
            <w:r>
              <w:rPr>
                <w:rFonts w:eastAsia="Times New Roman" w:cs="Times New Roman"/>
                <w:kern w:val="0"/>
                <w:sz w:val="24"/>
                <w:szCs w:val="24"/>
                <w:lang w:val="ru-RU" w:eastAsia="ru-RU" w:bidi="ar-SA"/>
              </w:rPr>
              <w:t>Уровень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199" w:name="__RefHeading___Toc3270_4046097046"/>
            <w:bookmarkEnd w:id="199"/>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0" w:name="__RefHeading___Toc3272_4046097046"/>
            <w:bookmarkEnd w:id="200"/>
            <w:r>
              <w:rPr>
                <w:rFonts w:eastAsia="Times New Roman" w:cs="Times New Roman"/>
                <w:kern w:val="0"/>
                <w:sz w:val="24"/>
                <w:szCs w:val="24"/>
                <w:lang w:val="ru-RU" w:eastAsia="ru-RU" w:bidi="ar-SA"/>
              </w:rPr>
              <w:t>-</w:t>
            </w:r>
          </w:p>
        </w:tc>
      </w:tr>
      <w:tr>
        <w:trPr/>
        <w:tc>
          <w:tcPr>
            <w:tcW w:w="1997"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1" w:name="__RefHeading___Toc3274_4046097046"/>
            <w:bookmarkEnd w:id="201"/>
            <w:r>
              <w:rPr>
                <w:rFonts w:eastAsia="Times New Roman" w:cs="Times New Roman"/>
                <w:kern w:val="0"/>
                <w:sz w:val="24"/>
                <w:szCs w:val="24"/>
                <w:lang w:val="ru-RU" w:eastAsia="ru-RU" w:bidi="ar-SA"/>
              </w:rPr>
              <w:t>Факторы риска</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2" w:name="__RefHeading___Toc3276_4046097046"/>
            <w:bookmarkEnd w:id="202"/>
            <w:r>
              <w:rPr>
                <w:rFonts w:eastAsia="Times New Roman" w:cs="Times New Roman"/>
                <w:kern w:val="0"/>
                <w:sz w:val="24"/>
                <w:szCs w:val="24"/>
                <w:lang w:val="ru-RU" w:eastAsia="ru-RU" w:bidi="ar-SA"/>
              </w:rPr>
              <w:t>Строка</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3" w:name="__RefHeading___Toc3278_4046097046"/>
            <w:bookmarkEnd w:id="203"/>
            <w:r>
              <w:rPr>
                <w:rFonts w:eastAsia="Times New Roman" w:cs="Times New Roman"/>
                <w:kern w:val="0"/>
                <w:sz w:val="24"/>
                <w:szCs w:val="24"/>
                <w:lang w:val="ru-RU" w:eastAsia="ru-RU" w:bidi="ar-SA"/>
              </w:rPr>
              <w:t>-</w:t>
            </w:r>
          </w:p>
        </w:tc>
      </w:tr>
      <w:tr>
        <w:trPr/>
        <w:tc>
          <w:tcPr>
            <w:tcW w:w="1997"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4" w:name="__RefHeading___Toc3280_4046097046"/>
            <w:bookmarkEnd w:id="204"/>
            <w:r>
              <w:rPr>
                <w:rFonts w:eastAsia="Times New Roman" w:cs="Times New Roman"/>
                <w:kern w:val="0"/>
                <w:sz w:val="24"/>
                <w:szCs w:val="24"/>
                <w:lang w:val="ru-RU" w:eastAsia="ru-RU" w:bidi="ar-SA"/>
              </w:rPr>
              <w:t>Табличная часть «Список поставщиков»</w:t>
            </w:r>
          </w:p>
        </w:tc>
        <w:tc>
          <w:tcPr>
            <w:tcW w:w="1996"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5" w:name="__RefHeading___Toc3282_4046097046"/>
            <w:bookmarkEnd w:id="205"/>
            <w:r>
              <w:rPr>
                <w:rFonts w:eastAsia="Times New Roman" w:cs="Times New Roman"/>
                <w:kern w:val="0"/>
                <w:sz w:val="24"/>
                <w:szCs w:val="24"/>
                <w:lang w:val="ru-RU" w:eastAsia="ru-RU" w:bidi="ar-SA"/>
              </w:rPr>
              <w:t>Наименование</w:t>
            </w:r>
          </w:p>
        </w:tc>
        <w:tc>
          <w:tcPr>
            <w:tcW w:w="2948"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6" w:name="__RefHeading___Toc3284_4046097046"/>
            <w:bookmarkEnd w:id="206"/>
            <w:r>
              <w:rPr>
                <w:rFonts w:eastAsia="Times New Roman" w:cs="Times New Roman"/>
                <w:kern w:val="0"/>
                <w:sz w:val="24"/>
                <w:szCs w:val="24"/>
                <w:lang w:val="ru-RU" w:eastAsia="ru-RU" w:bidi="ar-SA"/>
              </w:rPr>
              <w:t>Справочник Ссылка. Поставщики</w:t>
            </w:r>
          </w:p>
        </w:tc>
        <w:tc>
          <w:tcPr>
            <w:tcW w:w="2403" w:type="dxa"/>
            <w:tcBorders>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07" w:name="__RefHeading___Toc3286_4046097046"/>
            <w:bookmarkEnd w:id="207"/>
            <w:r>
              <w:rPr>
                <w:rFonts w:eastAsia="Times New Roman" w:cs="Times New Roman"/>
                <w:kern w:val="0"/>
                <w:sz w:val="24"/>
                <w:szCs w:val="24"/>
                <w:lang w:val="ru-RU" w:eastAsia="ru-RU" w:bidi="ar-SA"/>
              </w:rPr>
              <w:t>-</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«Формирование выборки поставщиков» необходим для формирования перечня поставщиков по выбранным параметрам для проведения анализа </w:t>
      </w:r>
      <w:r>
        <w:rPr>
          <w:rFonts w:cs="Times New Roman"/>
          <w:sz w:val="28"/>
          <w:szCs w:val="28"/>
          <w:lang w:eastAsia="ru-RU"/>
        </w:rPr>
        <w:t>(Рисунок 3.5).</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1836420" cy="2162810"/>
            <wp:effectExtent l="0" t="0" r="0" b="0"/>
            <wp:docPr id="19" name="Рисунок 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Рисунок 18" descr=""/>
                    <pic:cNvPicPr>
                      <a:picLocks noChangeAspect="1" noChangeArrowheads="1"/>
                    </pic:cNvPicPr>
                  </pic:nvPicPr>
                  <pic:blipFill>
                    <a:blip r:embed="rId15"/>
                    <a:stretch>
                      <a:fillRect/>
                    </a:stretch>
                  </pic:blipFill>
                  <pic:spPr bwMode="auto">
                    <a:xfrm>
                      <a:off x="0" y="0"/>
                      <a:ext cx="1836420" cy="216281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3.5 – Структура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3">
            <wp:simplePos x="0" y="0"/>
            <wp:positionH relativeFrom="column">
              <wp:posOffset>549910</wp:posOffset>
            </wp:positionH>
            <wp:positionV relativeFrom="paragraph">
              <wp:posOffset>-14605</wp:posOffset>
            </wp:positionV>
            <wp:extent cx="4789170" cy="1271270"/>
            <wp:effectExtent l="0" t="0" r="0" b="0"/>
            <wp:wrapTopAndBottom/>
            <wp:docPr id="20" name="Изображение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Изображение4" descr=""/>
                    <pic:cNvPicPr>
                      <a:picLocks noChangeAspect="1" noChangeArrowheads="1"/>
                    </pic:cNvPicPr>
                  </pic:nvPicPr>
                  <pic:blipFill>
                    <a:blip r:embed="rId16"/>
                    <a:stretch>
                      <a:fillRect/>
                    </a:stretch>
                  </pic:blipFill>
                  <pic:spPr bwMode="auto">
                    <a:xfrm>
                      <a:off x="0" y="0"/>
                      <a:ext cx="4789170" cy="127127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3.6 – Форма документа «</w:t>
      </w:r>
      <w:r>
        <w:rPr>
          <w:rFonts w:cs="Times New Roman"/>
          <w:bCs/>
          <w:sz w:val="28"/>
          <w:szCs w:val="28"/>
        </w:rPr>
        <w:t>Формирование выборки поставщиков</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Для заполнения табличной части со списком поставщиков используется процедура, которая формирует запрос к регистру сведений «Значения параметров» с установленными параметрами </w:t>
      </w:r>
      <w:r>
        <w:rPr>
          <w:rFonts w:cs="Times New Roman"/>
          <w:sz w:val="28"/>
          <w:szCs w:val="28"/>
          <w:lang w:eastAsia="ru-RU"/>
        </w:rPr>
        <w:t>(Рисунок 3.7).</w:t>
      </w:r>
    </w:p>
    <w:p>
      <w:pPr>
        <w:pStyle w:val="Normal"/>
        <w:spacing w:lineRule="auto" w:line="360" w:before="0" w:after="0"/>
        <w:ind w:firstLine="709"/>
        <w:jc w:val="center"/>
        <w:rPr>
          <w:rFonts w:ascii="Times New Roman" w:hAnsi="Times New Roman" w:cs="Times New Roman"/>
          <w:bCs/>
          <w:sz w:val="28"/>
          <w:szCs w:val="28"/>
        </w:rPr>
      </w:pPr>
      <w:r>
        <w:rPr/>
        <w:drawing>
          <wp:inline distT="0" distB="0" distL="0" distR="0">
            <wp:extent cx="5210175" cy="3335020"/>
            <wp:effectExtent l="0" t="0" r="0" b="0"/>
            <wp:docPr id="21" name="Рисунок 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Рисунок 22" descr=""/>
                    <pic:cNvPicPr>
                      <a:picLocks noChangeAspect="1" noChangeArrowheads="1"/>
                    </pic:cNvPicPr>
                  </pic:nvPicPr>
                  <pic:blipFill>
                    <a:blip r:embed="rId17"/>
                    <a:stretch>
                      <a:fillRect/>
                    </a:stretch>
                  </pic:blipFill>
                  <pic:spPr bwMode="auto">
                    <a:xfrm>
                      <a:off x="0" y="0"/>
                      <a:ext cx="5210175" cy="3335020"/>
                    </a:xfrm>
                    <a:prstGeom prst="rect">
                      <a:avLst/>
                    </a:prstGeom>
                  </pic:spPr>
                </pic:pic>
              </a:graphicData>
            </a:graphic>
          </wp:inline>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3.7 – Процедура заполнения списка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Документ «Анализ выборки» необходим для проведения анализа и оценки поставщиков по указанным критериям </w:t>
      </w:r>
      <w:r>
        <w:rPr>
          <w:rFonts w:cs="Times New Roman"/>
          <w:sz w:val="28"/>
          <w:szCs w:val="28"/>
          <w:lang w:eastAsia="ru-RU"/>
        </w:rPr>
        <w:t>(Рисунок 3.8).</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4">
            <wp:simplePos x="0" y="0"/>
            <wp:positionH relativeFrom="column">
              <wp:posOffset>1934845</wp:posOffset>
            </wp:positionH>
            <wp:positionV relativeFrom="paragraph">
              <wp:posOffset>142875</wp:posOffset>
            </wp:positionV>
            <wp:extent cx="2070735" cy="2263775"/>
            <wp:effectExtent l="0" t="0" r="0" b="0"/>
            <wp:wrapTopAndBottom/>
            <wp:docPr id="22" name="Изображение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Изображение5" descr=""/>
                    <pic:cNvPicPr>
                      <a:picLocks noChangeAspect="1" noChangeArrowheads="1"/>
                    </pic:cNvPicPr>
                  </pic:nvPicPr>
                  <pic:blipFill>
                    <a:blip r:embed="rId18"/>
                    <a:stretch>
                      <a:fillRect/>
                    </a:stretch>
                  </pic:blipFill>
                  <pic:spPr bwMode="auto">
                    <a:xfrm>
                      <a:off x="0" y="0"/>
                      <a:ext cx="2070735" cy="226377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3.8 – Структура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left="0"/>
        <w:jc w:val="both"/>
        <w:rPr>
          <w:rFonts w:ascii="Times New Roman" w:hAnsi="Times New Roman" w:cs="Times New Roman"/>
          <w:bCs/>
          <w:sz w:val="28"/>
          <w:szCs w:val="28"/>
        </w:rPr>
      </w:pPr>
      <w:bookmarkStart w:id="208" w:name="__RefHeading___Toc3308_4046097046"/>
      <w:bookmarkEnd w:id="208"/>
      <w:r>
        <w:rPr>
          <w:rFonts w:cs="Times New Roman"/>
          <w:bCs/>
          <w:sz w:val="28"/>
          <w:szCs w:val="28"/>
          <w:lang w:eastAsia="ru-RU"/>
        </w:rPr>
        <w:t xml:space="preserve">В форме документа требуется указать документ с выборкой поставщиков для заполнения списка поставщиков, по которым будет проведена оценка </w:t>
      </w:r>
      <w:r>
        <w:rPr>
          <w:rFonts w:cs="Times New Roman"/>
          <w:sz w:val="28"/>
          <w:szCs w:val="28"/>
          <w:lang w:eastAsia="ru-RU"/>
        </w:rPr>
        <w:t>(Рисунок 3.9).</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5">
            <wp:simplePos x="0" y="0"/>
            <wp:positionH relativeFrom="column">
              <wp:align>center</wp:align>
            </wp:positionH>
            <wp:positionV relativeFrom="paragraph">
              <wp:posOffset>635</wp:posOffset>
            </wp:positionV>
            <wp:extent cx="5940425" cy="1621155"/>
            <wp:effectExtent l="0" t="0" r="0" b="0"/>
            <wp:wrapTopAndBottom/>
            <wp:docPr id="23" name="Изображение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Изображение6" descr=""/>
                    <pic:cNvPicPr>
                      <a:picLocks noChangeAspect="1" noChangeArrowheads="1"/>
                    </pic:cNvPicPr>
                  </pic:nvPicPr>
                  <pic:blipFill>
                    <a:blip r:embed="rId19"/>
                    <a:stretch>
                      <a:fillRect/>
                    </a:stretch>
                  </pic:blipFill>
                  <pic:spPr bwMode="auto">
                    <a:xfrm>
                      <a:off x="0" y="0"/>
                      <a:ext cx="5940425" cy="162115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3.9 – Форма документа «</w:t>
      </w:r>
      <w:r>
        <w:rPr>
          <w:rFonts w:cs="Times New Roman"/>
          <w:bCs/>
          <w:sz w:val="28"/>
          <w:szCs w:val="28"/>
        </w:rPr>
        <w:t>Анализ выборки</w:t>
      </w:r>
      <w:r>
        <w:rPr>
          <w:rFonts w:cs="Times New Roman"/>
          <w:sz w:val="28"/>
          <w:szCs w:val="28"/>
          <w:lang w:eastAsia="ru-RU"/>
        </w:rPr>
        <w:t>»</w:t>
      </w:r>
    </w:p>
    <w:p>
      <w:pPr>
        <w:pStyle w:val="Normal"/>
        <w:spacing w:lineRule="auto" w:line="360" w:before="0" w:after="0"/>
        <w:ind w:firstLine="709"/>
        <w:jc w:val="both"/>
        <w:rPr>
          <w:rFonts w:ascii="Times New Roman" w:hAnsi="Times New Roman"/>
        </w:rPr>
      </w:pPr>
      <w:r>
        <w:rPr/>
      </w:r>
    </w:p>
    <w:p>
      <w:pPr>
        <w:pStyle w:val="Normal"/>
        <w:spacing w:lineRule="auto" w:line="360" w:before="0" w:after="0"/>
        <w:ind w:firstLine="709" w:left="0"/>
        <w:jc w:val="both"/>
        <w:rPr>
          <w:rFonts w:ascii="Times New Roman" w:hAnsi="Times New Roman"/>
        </w:rPr>
      </w:pPr>
      <w:r>
        <w:rPr>
          <w:rFonts w:cs="Times New Roman"/>
          <w:bCs/>
          <w:sz w:val="28"/>
          <w:szCs w:val="28"/>
          <w:shd w:fill="auto" w:val="clear"/>
        </w:rPr>
        <w:t>Для проведения оценки надежности поставщиков необходимо вызвать процедуру «Провести анализ на сервере» с помощью кнопки «Провести анализ». Данная процедура, представленная в листинге 2.2, формирует HTTP-запрос с ИНН и КПП поставщиков в формате JSON и отправляет его на FastAPI-сервер по адресу localhost:8001/api/v1/check. FastAPI-сервер, в свою очередь, выполняет асинхронный запрос к внешнему сервису api.reputation.ru для получения расширенных данных о компаниях, обрабатывает эти данные с помощью предобученной модели машинного обучения, выполняет расчет рейтинга и возвращает структурированные результаты обратно в систему 1С, где они отображаются в пользовательском интерфейсе и сохраняются в табличных частях для дальнейшего анализа.</w:t>
      </w:r>
      <w:r>
        <w:rPr>
          <w:rFonts w:cs="Times New Roman"/>
          <w:bCs/>
          <w:sz w:val="28"/>
          <w:szCs w:val="28"/>
          <w:shd w:fill="auto" w:val="clear"/>
          <w:lang w:eastAsia="ru-RU"/>
        </w:rPr>
        <w:t xml:space="preserve"> </w:t>
      </w:r>
      <w:r>
        <w:rPr>
          <w:rFonts w:cs="Times New Roman"/>
          <w:sz w:val="28"/>
          <w:szCs w:val="28"/>
          <w:lang w:eastAsia="ru-RU"/>
        </w:rPr>
        <w:t>(Рисунок 3.10).</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6">
            <wp:simplePos x="0" y="0"/>
            <wp:positionH relativeFrom="column">
              <wp:posOffset>-1080135</wp:posOffset>
            </wp:positionH>
            <wp:positionV relativeFrom="paragraph">
              <wp:posOffset>8255</wp:posOffset>
            </wp:positionV>
            <wp:extent cx="4069080" cy="3391535"/>
            <wp:effectExtent l="0" t="0" r="0" b="0"/>
            <wp:wrapTopAndBottom/>
            <wp:docPr id="24" name="Изображение7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Изображение7 Копия 1" descr=""/>
                    <pic:cNvPicPr>
                      <a:picLocks noChangeAspect="1" noChangeArrowheads="1"/>
                    </pic:cNvPicPr>
                  </pic:nvPicPr>
                  <pic:blipFill>
                    <a:blip r:embed="rId20"/>
                    <a:stretch>
                      <a:fillRect/>
                    </a:stretch>
                  </pic:blipFill>
                  <pic:spPr bwMode="auto">
                    <a:xfrm>
                      <a:off x="0" y="0"/>
                      <a:ext cx="4069080" cy="3391535"/>
                    </a:xfrm>
                    <a:prstGeom prst="rect">
                      <a:avLst/>
                    </a:prstGeom>
                  </pic:spPr>
                </pic:pic>
              </a:graphicData>
            </a:graphic>
          </wp:anchor>
        </w:drawing>
        <w:drawing>
          <wp:anchor behindDoc="0" distT="0" distB="0" distL="0" distR="0" simplePos="0" locked="0" layoutInCell="0" allowOverlap="1" relativeHeight="27">
            <wp:simplePos x="0" y="0"/>
            <wp:positionH relativeFrom="column">
              <wp:posOffset>2892425</wp:posOffset>
            </wp:positionH>
            <wp:positionV relativeFrom="paragraph">
              <wp:posOffset>55880</wp:posOffset>
            </wp:positionV>
            <wp:extent cx="3587115" cy="3077210"/>
            <wp:effectExtent l="0" t="0" r="0" b="0"/>
            <wp:wrapTopAndBottom/>
            <wp:docPr id="25" name="Изображение8 Копия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Изображение8 Копия 1" descr=""/>
                    <pic:cNvPicPr>
                      <a:picLocks noChangeAspect="1" noChangeArrowheads="1"/>
                    </pic:cNvPicPr>
                  </pic:nvPicPr>
                  <pic:blipFill>
                    <a:blip r:embed="rId21"/>
                    <a:stretch>
                      <a:fillRect/>
                    </a:stretch>
                  </pic:blipFill>
                  <pic:spPr bwMode="auto">
                    <a:xfrm>
                      <a:off x="0" y="0"/>
                      <a:ext cx="3587115" cy="307721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3.10 – Процедура для анализа поставщиков</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Результаты оценки фиксируются в соответствующей табличной части </w:t>
      </w:r>
      <w:r>
        <w:rPr>
          <w:rFonts w:cs="Times New Roman"/>
          <w:sz w:val="28"/>
          <w:szCs w:val="28"/>
          <w:lang w:eastAsia="ru-RU"/>
        </w:rPr>
        <w:t>(Рисунок 3.11).</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8">
            <wp:simplePos x="0" y="0"/>
            <wp:positionH relativeFrom="column">
              <wp:posOffset>42545</wp:posOffset>
            </wp:positionH>
            <wp:positionV relativeFrom="paragraph">
              <wp:posOffset>42545</wp:posOffset>
            </wp:positionV>
            <wp:extent cx="5940425" cy="2131695"/>
            <wp:effectExtent l="0" t="0" r="0" b="0"/>
            <wp:wrapTopAndBottom/>
            <wp:docPr id="26" name="Изображение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Изображение9" descr=""/>
                    <pic:cNvPicPr>
                      <a:picLocks noChangeAspect="1" noChangeArrowheads="1"/>
                    </pic:cNvPicPr>
                  </pic:nvPicPr>
                  <pic:blipFill>
                    <a:blip r:embed="rId22"/>
                    <a:stretch>
                      <a:fillRect/>
                    </a:stretch>
                  </pic:blipFill>
                  <pic:spPr bwMode="auto">
                    <a:xfrm>
                      <a:off x="0" y="0"/>
                      <a:ext cx="5940425" cy="2131695"/>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 xml:space="preserve">Рисунок 3.11 – </w:t>
      </w:r>
      <w:r>
        <w:rPr>
          <w:rFonts w:cs="Times New Roman"/>
          <w:bCs/>
          <w:sz w:val="28"/>
          <w:szCs w:val="28"/>
          <w:lang w:eastAsia="ru-RU"/>
        </w:rPr>
        <w:t>Результаты оценки</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 xml:space="preserve">После чего таблица с результатами оценки группируется по поставщикам, поле оценка суммируется и сортируется по убыванию, полученный результат фиксируется в таблице «Рейтинг поставщиков». Первый поставщик в данном списке предполагается самым благонадёжным для сотрудничества и фиксируется в поле «Рекомендуемый поставщик» </w:t>
      </w:r>
      <w:r>
        <w:rPr>
          <w:rFonts w:cs="Times New Roman"/>
          <w:sz w:val="28"/>
          <w:szCs w:val="28"/>
          <w:lang w:eastAsia="ru-RU"/>
        </w:rPr>
        <w:t>(Рисунок 3.12).</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drawing>
          <wp:anchor behindDoc="0" distT="0" distB="0" distL="0" distR="0" simplePos="0" locked="0" layoutInCell="0" allowOverlap="1" relativeHeight="29">
            <wp:simplePos x="0" y="0"/>
            <wp:positionH relativeFrom="column">
              <wp:posOffset>0</wp:posOffset>
            </wp:positionH>
            <wp:positionV relativeFrom="paragraph">
              <wp:posOffset>201295</wp:posOffset>
            </wp:positionV>
            <wp:extent cx="5940425" cy="2141220"/>
            <wp:effectExtent l="0" t="0" r="0" b="0"/>
            <wp:wrapTopAndBottom/>
            <wp:docPr id="27" name="Изображение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Изображение10" descr=""/>
                    <pic:cNvPicPr>
                      <a:picLocks noChangeAspect="1" noChangeArrowheads="1"/>
                    </pic:cNvPicPr>
                  </pic:nvPicPr>
                  <pic:blipFill>
                    <a:blip r:embed="rId23"/>
                    <a:stretch>
                      <a:fillRect/>
                    </a:stretch>
                  </pic:blipFill>
                  <pic:spPr bwMode="auto">
                    <a:xfrm>
                      <a:off x="0" y="0"/>
                      <a:ext cx="5940425" cy="2141220"/>
                    </a:xfrm>
                    <a:prstGeom prst="rect">
                      <a:avLst/>
                    </a:prstGeom>
                  </pic:spPr>
                </pic:pic>
              </a:graphicData>
            </a:graphic>
          </wp:anchor>
        </w:drawing>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Рисунок 3.12 – Рейтинг поставщиков</w:t>
      </w:r>
    </w:p>
    <w:p>
      <w:pPr>
        <w:pStyle w:val="Normal"/>
        <w:jc w:val="center"/>
        <w:rPr/>
      </w:pPr>
      <w:bookmarkStart w:id="209" w:name="__RefHeading___Toc22199_2829662935"/>
      <w:bookmarkEnd w:id="209"/>
      <w:r>
        <w:rPr>
          <w:b w:val="false"/>
          <w:color w:val="auto"/>
          <w:lang w:eastAsia="ru-RU"/>
        </w:rPr>
        <w:t>3</w:t>
      </w:r>
      <w:bookmarkStart w:id="210" w:name="_Toc515886998"/>
      <w:r>
        <w:rPr>
          <w:b w:val="false"/>
          <w:color w:val="auto"/>
          <w:lang w:eastAsia="ru-RU"/>
        </w:rPr>
        <w:t>.1.3. Регистры накопления</w:t>
      </w:r>
      <w:bookmarkEnd w:id="210"/>
    </w:p>
    <w:p>
      <w:pPr>
        <w:pStyle w:val="Normal"/>
        <w:spacing w:lineRule="auto" w:line="360" w:before="0" w:after="0"/>
        <w:ind w:firstLine="709"/>
        <w:jc w:val="both"/>
        <w:rPr>
          <w:rFonts w:ascii="Times New Roman" w:hAnsi="Times New Roman" w:cs="Times New Roman"/>
          <w:sz w:val="28"/>
          <w:szCs w:val="28"/>
        </w:rPr>
      </w:pPr>
      <w:bookmarkStart w:id="211" w:name="OLE_LINK6"/>
      <w:bookmarkStart w:id="212" w:name="OLE_LINK7"/>
      <w:bookmarkEnd w:id="211"/>
      <w:bookmarkEnd w:id="212"/>
      <w:r>
        <w:rPr>
          <w:rFonts w:cs="Times New Roman"/>
          <w:sz w:val="28"/>
          <w:szCs w:val="28"/>
        </w:rPr>
        <w:t>Р</w:t>
      </w:r>
      <w:bookmarkStart w:id="213" w:name="OLE_LINK5"/>
      <w:bookmarkStart w:id="214" w:name="OLE_LINK4"/>
      <w:r>
        <w:rPr>
          <w:rFonts w:cs="Times New Roman"/>
          <w:sz w:val="28"/>
          <w:szCs w:val="28"/>
        </w:rPr>
        <w:t>егистры накопления -</w:t>
      </w:r>
      <w:r>
        <w:rPr>
          <w:rFonts w:cs="Times New Roman"/>
          <w:sz w:val="28"/>
          <w:szCs w:val="28"/>
          <w:shd w:fill="FFFFFF" w:val="clear"/>
        </w:rPr>
        <w:t xml:space="preserve"> это таблицы для накопления оперативных данных и получения сводной информации.</w:t>
      </w:r>
    </w:p>
    <w:p>
      <w:pPr>
        <w:pStyle w:val="ListParagraph"/>
        <w:spacing w:lineRule="auto" w:line="360" w:before="0" w:after="0"/>
        <w:ind w:firstLine="709" w:left="0"/>
        <w:contextualSpacing/>
        <w:rPr>
          <w:rFonts w:ascii="Times New Roman" w:hAnsi="Times New Roman"/>
          <w:sz w:val="28"/>
          <w:szCs w:val="28"/>
        </w:rPr>
      </w:pPr>
      <w:bookmarkStart w:id="215" w:name="OLE_LINK7_Копия_1"/>
      <w:bookmarkStart w:id="216" w:name="OLE_LINK6_Копия_1"/>
      <w:bookmarkStart w:id="217" w:name="OLE_LINK1"/>
      <w:bookmarkStart w:id="218" w:name="OLE_LINK2"/>
      <w:bookmarkStart w:id="219" w:name="OLE_LINK3"/>
      <w:bookmarkEnd w:id="213"/>
      <w:bookmarkEnd w:id="214"/>
      <w:bookmarkEnd w:id="215"/>
      <w:bookmarkEnd w:id="216"/>
      <w:bookmarkEnd w:id="217"/>
      <w:bookmarkEnd w:id="218"/>
      <w:bookmarkEnd w:id="219"/>
      <w:r>
        <w:rPr>
          <w:sz w:val="28"/>
          <w:szCs w:val="28"/>
        </w:rPr>
        <w:t>Структура и свойства реквизитов регистров сведений и накоплении представлены в таблице 3.3</w:t>
      </w:r>
    </w:p>
    <w:p>
      <w:pPr>
        <w:pStyle w:val="ListParagraph"/>
        <w:spacing w:lineRule="auto" w:line="360" w:before="0" w:after="0"/>
        <w:ind w:firstLine="709" w:left="0"/>
        <w:contextualSpacing/>
        <w:jc w:val="right"/>
        <w:rPr>
          <w:rFonts w:ascii="Times New Roman" w:hAnsi="Times New Roman"/>
          <w:sz w:val="28"/>
          <w:szCs w:val="28"/>
        </w:rPr>
      </w:pPr>
      <w:r>
        <w:rPr>
          <w:rFonts w:eastAsia="Times New Roman"/>
          <w:sz w:val="28"/>
          <w:szCs w:val="28"/>
        </w:rPr>
        <w:t>Таблица 3.3</w:t>
      </w:r>
    </w:p>
    <w:p>
      <w:pPr>
        <w:pStyle w:val="ListParagraph"/>
        <w:spacing w:lineRule="auto" w:line="360" w:before="0" w:after="0"/>
        <w:ind w:firstLine="709" w:left="0"/>
        <w:contextualSpacing/>
        <w:jc w:val="center"/>
        <w:rPr>
          <w:rFonts w:ascii="Times New Roman" w:hAnsi="Times New Roman"/>
        </w:rPr>
      </w:pPr>
      <w:bookmarkStart w:id="220" w:name="__RefHeading___Toc3334_4046097046"/>
      <w:bookmarkEnd w:id="220"/>
      <w:r>
        <w:rPr>
          <w:sz w:val="28"/>
          <w:szCs w:val="28"/>
        </w:rPr>
        <w:t>Структура и свойства реквизитов регистров</w:t>
      </w:r>
      <w:r>
        <w:rPr>
          <w:rFonts w:eastAsia="Times New Roman"/>
          <w:sz w:val="28"/>
          <w:szCs w:val="28"/>
        </w:rPr>
        <w:t xml:space="preserve"> накопления</w:t>
      </w:r>
    </w:p>
    <w:tbl>
      <w:tblPr>
        <w:tblW w:w="9345" w:type="dxa"/>
        <w:jc w:val="left"/>
        <w:tblInd w:w="-113" w:type="dxa"/>
        <w:tblLayout w:type="fixed"/>
        <w:tblCellMar>
          <w:top w:w="0" w:type="dxa"/>
          <w:left w:w="108" w:type="dxa"/>
          <w:bottom w:w="0" w:type="dxa"/>
          <w:right w:w="108" w:type="dxa"/>
        </w:tblCellMar>
      </w:tblPr>
      <w:tblGrid>
        <w:gridCol w:w="2282"/>
        <w:gridCol w:w="2868"/>
        <w:gridCol w:w="4195"/>
      </w:tblGrid>
      <w:tr>
        <w:trPr/>
        <w:tc>
          <w:tcPr>
            <w:tcW w:w="2282"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1" w:name="__RefHeading___Toc3336_4046097046"/>
            <w:bookmarkEnd w:id="221"/>
            <w:r>
              <w:rPr>
                <w:rFonts w:eastAsia="Times New Roman" w:cs="Times New Roman"/>
                <w:kern w:val="0"/>
                <w:sz w:val="24"/>
                <w:szCs w:val="24"/>
                <w:lang w:val="ru-RU" w:eastAsia="ru-RU" w:bidi="ar-SA"/>
              </w:rPr>
              <w:t>Наименование объекта</w:t>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2" w:name="__RefHeading___Toc3338_4046097046"/>
            <w:bookmarkEnd w:id="222"/>
            <w:r>
              <w:rPr>
                <w:rFonts w:eastAsia="Times New Roman" w:cs="Times New Roman"/>
                <w:kern w:val="0"/>
                <w:sz w:val="24"/>
                <w:szCs w:val="24"/>
                <w:lang w:val="ru-RU" w:eastAsia="ru-RU" w:bidi="ar-SA"/>
              </w:rPr>
              <w:t>Наименование реквизита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3" w:name="__RefHeading___Toc3340_4046097046"/>
            <w:bookmarkEnd w:id="223"/>
            <w:r>
              <w:rPr>
                <w:rFonts w:eastAsia="Times New Roman" w:cs="Times New Roman"/>
                <w:kern w:val="0"/>
                <w:sz w:val="24"/>
                <w:szCs w:val="24"/>
                <w:lang w:val="ru-RU" w:eastAsia="ru-RU" w:bidi="ar-SA"/>
              </w:rPr>
              <w:t>Тип данных и свойства</w:t>
            </w:r>
          </w:p>
        </w:tc>
      </w:tr>
      <w:tr>
        <w:trPr/>
        <w:tc>
          <w:tcPr>
            <w:tcW w:w="2282" w:type="dxa"/>
            <w:vMerge w:val="restart"/>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left"/>
              <w:rPr>
                <w:sz w:val="24"/>
                <w:szCs w:val="24"/>
              </w:rPr>
            </w:pPr>
            <w:bookmarkStart w:id="224" w:name="__RefHeading___Toc3342_4046097046"/>
            <w:bookmarkEnd w:id="224"/>
            <w:r>
              <w:rPr>
                <w:rFonts w:eastAsia="Times New Roman" w:cs="Times New Roman"/>
                <w:kern w:val="0"/>
                <w:sz w:val="24"/>
                <w:szCs w:val="24"/>
                <w:lang w:val="ru-RU" w:eastAsia="ru-RU" w:bidi="ar-SA"/>
              </w:rPr>
              <w:t>Результаты оценки</w:t>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5" w:name="__RefHeading___Toc3344_4046097046"/>
            <w:bookmarkEnd w:id="225"/>
            <w:r>
              <w:rPr>
                <w:rFonts w:eastAsia="Times New Roman" w:cs="Times New Roman"/>
                <w:kern w:val="0"/>
                <w:sz w:val="24"/>
                <w:szCs w:val="24"/>
                <w:lang w:val="ru-RU" w:eastAsia="ru-RU" w:bidi="ar-SA"/>
              </w:rPr>
              <w:t>Измерения</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tabs>
                <w:tab w:val="clear" w:pos="708"/>
                <w:tab w:val="center" w:pos="1325" w:leader="none"/>
              </w:tabs>
              <w:suppressAutoHyphens w:val="true"/>
              <w:spacing w:lineRule="auto" w:line="240" w:before="0" w:after="0"/>
              <w:ind w:hanging="0" w:left="0"/>
              <w:jc w:val="both"/>
              <w:rPr>
                <w:sz w:val="24"/>
                <w:szCs w:val="24"/>
              </w:rPr>
            </w:pPr>
            <w:bookmarkStart w:id="226" w:name="__RefHeading___Toc3346_4046097046"/>
            <w:bookmarkEnd w:id="226"/>
            <w:r>
              <w:rPr>
                <w:rFonts w:eastAsia="Times New Roman" w:cs="Times New Roman"/>
                <w:kern w:val="0"/>
                <w:sz w:val="24"/>
                <w:szCs w:val="24"/>
                <w:lang w:val="ru-RU" w:eastAsia="ru-RU" w:bidi="ar-SA"/>
              </w:rPr>
              <w:t>Поставщик</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7" w:name="__RefHeading___Toc3348_4046097046"/>
            <w:bookmarkEnd w:id="227"/>
            <w:r>
              <w:rPr>
                <w:rFonts w:eastAsia="Times New Roman" w:cs="Times New Roman"/>
                <w:kern w:val="0"/>
                <w:sz w:val="24"/>
                <w:szCs w:val="24"/>
                <w:lang w:val="ru-RU" w:eastAsia="ru-RU" w:bidi="ar-SA"/>
              </w:rPr>
              <w:t>Справочник. Поставщики</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7063" w:type="dxa"/>
            <w:gridSpan w:val="2"/>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center"/>
              <w:rPr>
                <w:sz w:val="24"/>
                <w:szCs w:val="24"/>
              </w:rPr>
            </w:pPr>
            <w:bookmarkStart w:id="228" w:name="__RefHeading___Toc3350_4046097046"/>
            <w:bookmarkEnd w:id="228"/>
            <w:r>
              <w:rPr>
                <w:rFonts w:eastAsia="Times New Roman" w:cs="Times New Roman"/>
                <w:kern w:val="0"/>
                <w:sz w:val="24"/>
                <w:szCs w:val="24"/>
                <w:lang w:val="ru-RU" w:eastAsia="ru-RU" w:bidi="ar-SA"/>
              </w:rPr>
              <w:t>Ресурсы</w:t>
            </w:r>
          </w:p>
        </w:tc>
      </w:tr>
      <w:tr>
        <w:trPr/>
        <w:tc>
          <w:tcPr>
            <w:tcW w:w="2282" w:type="dxa"/>
            <w:vMerge w:val="continue"/>
            <w:tcBorders>
              <w:top w:val="single" w:sz="4" w:space="0" w:color="000000"/>
              <w:left w:val="single" w:sz="4" w:space="0" w:color="000000"/>
              <w:bottom w:val="single" w:sz="4" w:space="0" w:color="000000"/>
              <w:right w:val="single" w:sz="4" w:space="0" w:color="000000"/>
            </w:tcBorders>
          </w:tcPr>
          <w:p>
            <w:pPr>
              <w:pStyle w:val="Normal"/>
              <w:widowControl/>
              <w:suppressAutoHyphens w:val="true"/>
              <w:overflowPunct w:val="false"/>
              <w:bidi w:val="0"/>
              <w:spacing w:lineRule="auto" w:line="360" w:before="0" w:after="160"/>
              <w:jc w:val="both"/>
              <w:rPr/>
            </w:pPr>
            <w:r>
              <w:rPr/>
            </w:r>
          </w:p>
        </w:tc>
        <w:tc>
          <w:tcPr>
            <w:tcW w:w="2868"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29" w:name="__RefHeading___Toc3352_4046097046"/>
            <w:bookmarkEnd w:id="229"/>
            <w:r>
              <w:rPr>
                <w:rFonts w:eastAsia="Times New Roman" w:cs="Times New Roman"/>
                <w:kern w:val="0"/>
                <w:sz w:val="24"/>
                <w:szCs w:val="24"/>
                <w:lang w:val="ru-RU" w:eastAsia="ru-RU" w:bidi="ar-SA"/>
              </w:rPr>
              <w:t>Оценка</w:t>
            </w:r>
          </w:p>
        </w:tc>
        <w:tc>
          <w:tcPr>
            <w:tcW w:w="4195" w:type="dxa"/>
            <w:tcBorders>
              <w:top w:val="single" w:sz="4" w:space="0" w:color="000000"/>
              <w:left w:val="single" w:sz="4" w:space="0" w:color="000000"/>
              <w:bottom w:val="single" w:sz="4" w:space="0" w:color="000000"/>
              <w:right w:val="single" w:sz="4" w:space="0" w:color="000000"/>
            </w:tcBorders>
          </w:tcPr>
          <w:p>
            <w:pPr>
              <w:pStyle w:val="Normal"/>
              <w:widowControl/>
              <w:suppressAutoHyphens w:val="true"/>
              <w:spacing w:lineRule="auto" w:line="240" w:before="0" w:after="0"/>
              <w:ind w:hanging="0" w:left="0"/>
              <w:jc w:val="both"/>
              <w:rPr>
                <w:sz w:val="24"/>
                <w:szCs w:val="24"/>
              </w:rPr>
            </w:pPr>
            <w:bookmarkStart w:id="230" w:name="__RefHeading___Toc3354_4046097046"/>
            <w:bookmarkEnd w:id="230"/>
            <w:r>
              <w:rPr>
                <w:rFonts w:eastAsia="Times New Roman" w:cs="Times New Roman"/>
                <w:kern w:val="0"/>
                <w:sz w:val="24"/>
                <w:szCs w:val="24"/>
                <w:lang w:val="ru-RU" w:eastAsia="ru-RU" w:bidi="ar-SA"/>
              </w:rPr>
              <w:t xml:space="preserve">Число, длина - </w:t>
            </w:r>
            <w:r>
              <w:rPr>
                <w:rFonts w:eastAsia="Times New Roman" w:cs="Times New Roman"/>
                <w:kern w:val="0"/>
                <w:sz w:val="24"/>
                <w:szCs w:val="24"/>
                <w:lang w:val="en-US" w:eastAsia="ru-RU" w:bidi="ar-SA"/>
              </w:rPr>
              <w:t>7</w:t>
            </w:r>
            <w:r>
              <w:rPr>
                <w:rFonts w:eastAsia="Times New Roman" w:cs="Times New Roman"/>
                <w:kern w:val="0"/>
                <w:sz w:val="24"/>
                <w:szCs w:val="24"/>
                <w:lang w:val="ru-RU" w:eastAsia="ru-RU" w:bidi="ar-SA"/>
              </w:rPr>
              <w:t xml:space="preserve">, точность - </w:t>
            </w:r>
            <w:r>
              <w:rPr>
                <w:rFonts w:eastAsia="Times New Roman" w:cs="Times New Roman"/>
                <w:kern w:val="0"/>
                <w:sz w:val="24"/>
                <w:szCs w:val="24"/>
                <w:lang w:val="en-US" w:eastAsia="ru-RU" w:bidi="ar-SA"/>
              </w:rPr>
              <w:t>2</w:t>
            </w:r>
          </w:p>
        </w:tc>
      </w:tr>
    </w:tbl>
    <w:p>
      <w:pPr>
        <w:pStyle w:val="Normal"/>
        <w:spacing w:lineRule="auto" w:line="360" w:before="0" w:after="0"/>
        <w:ind w:hanging="0"/>
        <w:jc w:val="both"/>
        <w:rPr>
          <w:rFonts w:ascii="Times New Roman" w:hAnsi="Times New Roman" w:cs="Times New Roman"/>
          <w:sz w:val="28"/>
          <w:szCs w:val="28"/>
          <w:lang w:eastAsia="ru-RU"/>
        </w:rPr>
      </w:pPr>
      <w:r>
        <w:rPr>
          <w:rFonts w:cs="Times New Roman"/>
          <w:sz w:val="28"/>
          <w:szCs w:val="28"/>
          <w:lang w:eastAsia="ru-RU"/>
        </w:rPr>
      </w:r>
      <w:bookmarkStart w:id="231" w:name="OLE_LINK2_Копия_1"/>
      <w:bookmarkStart w:id="232" w:name="OLE_LINK3_Копия_1"/>
      <w:bookmarkStart w:id="233" w:name="OLE_LINK1_Копия_1"/>
      <w:bookmarkStart w:id="234" w:name="OLE_LINK2_Копия_1"/>
      <w:bookmarkStart w:id="235" w:name="OLE_LINK3_Копия_1"/>
      <w:bookmarkStart w:id="236" w:name="OLE_LINK1_Копия_1"/>
      <w:bookmarkEnd w:id="234"/>
      <w:bookmarkEnd w:id="235"/>
      <w:bookmarkEnd w:id="236"/>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Регистр накопления «Результаты оценки» - хранит информации о результатах проведённого анализа поставщиков, необходимую для более расширенного анализа с помощью формирования отчётов (Рисунок 3.13-3.14).</w:t>
      </w:r>
    </w:p>
    <w:p>
      <w:pPr>
        <w:pStyle w:val="Normal"/>
        <w:spacing w:lineRule="auto" w:line="360" w:before="0" w:after="0"/>
        <w:ind w:firstLine="709"/>
        <w:jc w:val="center"/>
        <w:rPr>
          <w:rFonts w:ascii="Times New Roman" w:hAnsi="Times New Roman" w:cs="Times New Roman"/>
          <w:sz w:val="28"/>
          <w:szCs w:val="28"/>
          <w:lang w:eastAsia="ru-RU"/>
        </w:rPr>
      </w:pPr>
      <w:r>
        <w:rPr/>
        <w:drawing>
          <wp:inline distT="0" distB="0" distL="0" distR="0">
            <wp:extent cx="1209675" cy="1736090"/>
            <wp:effectExtent l="0" t="0" r="0" b="0"/>
            <wp:docPr id="28" name="Рисунок 3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Рисунок 38" descr=""/>
                    <pic:cNvPicPr>
                      <a:picLocks noChangeAspect="1" noChangeArrowheads="1"/>
                    </pic:cNvPicPr>
                  </pic:nvPicPr>
                  <pic:blipFill>
                    <a:blip r:embed="rId24"/>
                    <a:stretch>
                      <a:fillRect/>
                    </a:stretch>
                  </pic:blipFill>
                  <pic:spPr bwMode="auto">
                    <a:xfrm>
                      <a:off x="0" y="0"/>
                      <a:ext cx="1209675" cy="1736090"/>
                    </a:xfrm>
                    <a:prstGeom prst="rect">
                      <a:avLst/>
                    </a:prstGeom>
                  </pic:spPr>
                </pic:pic>
              </a:graphicData>
            </a:graphic>
          </wp:inline>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3.13 – Структура регистра накопления «Результаты оценки»</w:t>
      </w:r>
    </w:p>
    <w:p>
      <w:pPr>
        <w:pStyle w:val="Normal"/>
        <w:spacing w:lineRule="auto" w:line="360" w:before="0" w:after="0"/>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30">
            <wp:simplePos x="0" y="0"/>
            <wp:positionH relativeFrom="column">
              <wp:posOffset>0</wp:posOffset>
            </wp:positionH>
            <wp:positionV relativeFrom="paragraph">
              <wp:posOffset>190500</wp:posOffset>
            </wp:positionV>
            <wp:extent cx="5940425" cy="969010"/>
            <wp:effectExtent l="0" t="0" r="0" b="0"/>
            <wp:wrapTopAndBottom/>
            <wp:docPr id="29" name="Изображение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Изображение11" descr=""/>
                    <pic:cNvPicPr>
                      <a:picLocks noChangeAspect="1" noChangeArrowheads="1"/>
                    </pic:cNvPicPr>
                  </pic:nvPicPr>
                  <pic:blipFill>
                    <a:blip r:embed="rId25"/>
                    <a:stretch>
                      <a:fillRect/>
                    </a:stretch>
                  </pic:blipFill>
                  <pic:spPr bwMode="auto">
                    <a:xfrm>
                      <a:off x="0" y="0"/>
                      <a:ext cx="5940425" cy="96901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3.14 – Форма списка регистра накопления «Результаты оценки»</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 данному регистру формирует движения документы «Анализ данных» (Рисунок 3.15).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drawing>
          <wp:anchor behindDoc="0" distT="0" distB="0" distL="0" distR="0" simplePos="0" locked="0" layoutInCell="0" allowOverlap="1" relativeHeight="31">
            <wp:simplePos x="0" y="0"/>
            <wp:positionH relativeFrom="column">
              <wp:align>center</wp:align>
            </wp:positionH>
            <wp:positionV relativeFrom="paragraph">
              <wp:posOffset>635</wp:posOffset>
            </wp:positionV>
            <wp:extent cx="5940425" cy="1803400"/>
            <wp:effectExtent l="0" t="0" r="0" b="0"/>
            <wp:wrapTopAndBottom/>
            <wp:docPr id="30" name="Изображение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Изображение12" descr=""/>
                    <pic:cNvPicPr>
                      <a:picLocks noChangeAspect="1" noChangeArrowheads="1"/>
                    </pic:cNvPicPr>
                  </pic:nvPicPr>
                  <pic:blipFill>
                    <a:blip r:embed="rId26"/>
                    <a:stretch>
                      <a:fillRect/>
                    </a:stretch>
                  </pic:blipFill>
                  <pic:spPr bwMode="auto">
                    <a:xfrm>
                      <a:off x="0" y="0"/>
                      <a:ext cx="5940425" cy="1803400"/>
                    </a:xfrm>
                    <a:prstGeom prst="rect">
                      <a:avLst/>
                    </a:prstGeom>
                  </pic:spPr>
                </pic:pic>
              </a:graphicData>
            </a:graphic>
          </wp:anchor>
        </w:drawing>
      </w:r>
    </w:p>
    <w:p>
      <w:pPr>
        <w:pStyle w:val="ListParagraph"/>
        <w:spacing w:lineRule="auto" w:line="360" w:before="0" w:after="0"/>
        <w:ind w:left="1069"/>
        <w:contextualSpacing/>
        <w:jc w:val="center"/>
        <w:rPr>
          <w:rFonts w:ascii="Times New Roman" w:hAnsi="Times New Roman" w:cs="Times New Roman"/>
          <w:sz w:val="28"/>
          <w:szCs w:val="28"/>
          <w:lang w:eastAsia="ru-RU"/>
        </w:rPr>
      </w:pPr>
      <w:r>
        <w:rPr>
          <w:rFonts w:cs="Times New Roman"/>
          <w:sz w:val="28"/>
          <w:szCs w:val="28"/>
          <w:lang w:eastAsia="ru-RU"/>
        </w:rPr>
        <w:t>Рисунок 3.15 – Процедура обработки проведения документа «Анализ данных»</w:t>
      </w:r>
    </w:p>
    <w:p>
      <w:pPr>
        <w:pStyle w:val="ListParagraph"/>
        <w:spacing w:lineRule="auto" w:line="360" w:before="0" w:after="0"/>
        <w:ind w:left="450"/>
        <w:contextualSpacing/>
        <w:rPr>
          <w:rFonts w:ascii="Times New Roman" w:hAnsi="Times New Roman"/>
          <w:sz w:val="28"/>
          <w:szCs w:val="28"/>
        </w:rPr>
      </w:pPr>
      <w:r>
        <w:rPr>
          <w:sz w:val="28"/>
          <w:szCs w:val="28"/>
        </w:rPr>
      </w:r>
    </w:p>
    <w:p>
      <w:pPr>
        <w:pStyle w:val="ListParagraph"/>
        <w:spacing w:lineRule="auto" w:line="360" w:before="0" w:after="0"/>
        <w:ind w:left="450"/>
        <w:contextualSpacing/>
        <w:rPr>
          <w:rFonts w:ascii="Times New Roman" w:hAnsi="Times New Roman"/>
          <w:sz w:val="28"/>
          <w:szCs w:val="28"/>
        </w:rPr>
      </w:pPr>
      <w:r>
        <w:rPr>
          <w:sz w:val="28"/>
          <w:szCs w:val="28"/>
        </w:rPr>
      </w:r>
    </w:p>
    <w:p>
      <w:pPr>
        <w:pStyle w:val="Heading1"/>
        <w:keepLines/>
        <w:widowControl/>
        <w:spacing w:lineRule="auto" w:line="259" w:before="240" w:after="0"/>
        <w:ind w:hanging="0" w:left="0"/>
        <w:jc w:val="both"/>
        <w:rPr>
          <w:rFonts w:ascii="Times New Roman" w:hAnsi="Times New Roman"/>
          <w:b w:val="false"/>
          <w:color w:val="auto"/>
        </w:rPr>
      </w:pPr>
      <w:r>
        <w:rPr>
          <w:b w:val="false"/>
          <w:color w:val="auto"/>
        </w:rPr>
      </w:r>
      <w:r>
        <w:br w:type="page"/>
      </w:r>
    </w:p>
    <w:p>
      <w:pPr>
        <w:pStyle w:val="Normal"/>
        <w:spacing w:before="0" w:after="160"/>
        <w:jc w:val="center"/>
        <w:rPr/>
      </w:pPr>
      <w:bookmarkStart w:id="237" w:name="__RefHeading___Toc3368_4046097046"/>
      <w:bookmarkEnd w:id="237"/>
      <w:r>
        <w:rPr>
          <w:b w:val="false"/>
          <w:color w:val="auto"/>
        </w:rPr>
        <w:t xml:space="preserve">3.2. Проектирование информационной системы </w:t>
      </w:r>
      <w:r>
        <w:rPr>
          <w:b w:val="false"/>
          <w:color w:val="auto"/>
          <w:lang w:val="en-US"/>
        </w:rPr>
        <w:t>Python</w:t>
      </w:r>
    </w:p>
    <w:p>
      <w:pPr>
        <w:pStyle w:val="Normal"/>
        <w:jc w:val="center"/>
        <w:rPr>
          <w:rFonts w:ascii="Times New Roman" w:hAnsi="Times New Roman"/>
          <w:sz w:val="28"/>
          <w:szCs w:val="28"/>
        </w:rPr>
      </w:pPr>
      <w:bookmarkStart w:id="238" w:name="__RefHeading___Toc3370_4046097046"/>
      <w:bookmarkEnd w:id="238"/>
      <w:r>
        <w:rPr>
          <w:sz w:val="28"/>
          <w:szCs w:val="28"/>
        </w:rPr>
        <w:t xml:space="preserve">3.2.1 </w:t>
      </w:r>
      <w:r>
        <w:rPr>
          <w:sz w:val="28"/>
          <w:szCs w:val="28"/>
          <w:lang w:val="ru-RU"/>
        </w:rPr>
        <w:t>Разработка модели искусственного интеллекта</w:t>
      </w:r>
    </w:p>
    <w:p>
      <w:pPr>
        <w:pStyle w:val="Normal"/>
        <w:rPr/>
      </w:pPr>
      <w:bookmarkStart w:id="239" w:name="__RefHeading___Toc3372_4046097046"/>
      <w:bookmarkEnd w:id="239"/>
      <w:r>
        <w:rPr/>
        <w:tab/>
        <w:t>Основным инструментом при разработке систем машинного обучения является модель данных, которая представляет собой формализованное описание процессов обучения и прогнозирования на основе исторических или синтетических данных. В рамках данной работы была разработана модель оценки рисков поставщиков на основе ансамбля алгоритмов классификации. Модель реализована на языке Python с использованием библиотек scikit-learn, imbalanced-learn, xgboost и других.</w:t>
      </w:r>
    </w:p>
    <w:p>
      <w:pPr>
        <w:pStyle w:val="Normal"/>
        <w:rPr/>
      </w:pPr>
      <w:bookmarkStart w:id="240" w:name="__RefHeading___Toc3374_4046097046"/>
      <w:bookmarkEnd w:id="240"/>
      <w:r>
        <w:rPr/>
        <w:tab/>
        <w:t>Современный подход к разработке ML-моделей предполагает использование объектно-ориентированного программирования, что позволяет инкапсулировать логику обработки данных, обучения и прогнозирования в единый класс. Это обеспечивает удобство использования, возможность повторного обучения и интеграции модели в производственные системы.</w:t>
      </w:r>
    </w:p>
    <w:p>
      <w:pPr>
        <w:pStyle w:val="Normal"/>
        <w:rPr/>
      </w:pPr>
      <w:bookmarkStart w:id="241" w:name="__RefHeading___Toc3376_4046097046"/>
      <w:bookmarkEnd w:id="241"/>
      <w:r>
        <w:rPr/>
        <w:tab/>
        <w:t>Разработанная модель включает следующие ключевые компоненты:</w:t>
      </w:r>
    </w:p>
    <w:p>
      <w:pPr>
        <w:pStyle w:val="Normal"/>
        <w:numPr>
          <w:ilvl w:val="0"/>
          <w:numId w:val="13"/>
        </w:numPr>
        <w:rPr/>
      </w:pPr>
      <w:bookmarkStart w:id="242" w:name="__RefHeading___Toc3378_4046097046"/>
      <w:bookmarkEnd w:id="242"/>
      <w:r>
        <w:rPr/>
        <w:t>Расчёт интегрального показателя риска на основе бизнес-правил.</w:t>
      </w:r>
    </w:p>
    <w:p>
      <w:pPr>
        <w:pStyle w:val="Normal"/>
        <w:numPr>
          <w:ilvl w:val="0"/>
          <w:numId w:val="13"/>
        </w:numPr>
        <w:rPr/>
      </w:pPr>
      <w:bookmarkStart w:id="243" w:name="__RefHeading___Toc3380_4046097046"/>
      <w:bookmarkEnd w:id="243"/>
      <w:r>
        <w:rPr/>
        <w:t>Генерация синтетического обучающего набора данных.</w:t>
      </w:r>
    </w:p>
    <w:p>
      <w:pPr>
        <w:pStyle w:val="Normal"/>
        <w:numPr>
          <w:ilvl w:val="0"/>
          <w:numId w:val="13"/>
        </w:numPr>
        <w:rPr/>
      </w:pPr>
      <w:bookmarkStart w:id="244" w:name="__RefHeading___Toc3382_4046097046"/>
      <w:bookmarkEnd w:id="244"/>
      <w:r>
        <w:rPr/>
        <w:t>Расширение признакового пространства за счёт производных метрик.</w:t>
      </w:r>
    </w:p>
    <w:p>
      <w:pPr>
        <w:pStyle w:val="Normal"/>
        <w:numPr>
          <w:ilvl w:val="0"/>
          <w:numId w:val="13"/>
        </w:numPr>
        <w:rPr/>
      </w:pPr>
      <w:bookmarkStart w:id="245" w:name="__RefHeading___Toc3384_4046097046"/>
      <w:bookmarkEnd w:id="245"/>
      <w:r>
        <w:rPr/>
        <w:t>Применение техник балансировки данных (SMOTE).</w:t>
      </w:r>
    </w:p>
    <w:p>
      <w:pPr>
        <w:pStyle w:val="Normal"/>
        <w:numPr>
          <w:ilvl w:val="0"/>
          <w:numId w:val="13"/>
        </w:numPr>
        <w:rPr/>
      </w:pPr>
      <w:bookmarkStart w:id="246" w:name="__RefHeading___Toc3386_4046097046"/>
      <w:bookmarkEnd w:id="246"/>
      <w:r>
        <w:rPr/>
        <w:t>Использование ансамбля моделей (StackingClassifier) для повышения точности прогнозирования.</w:t>
      </w:r>
    </w:p>
    <w:p>
      <w:pPr>
        <w:pStyle w:val="Normal"/>
        <w:rPr/>
      </w:pPr>
      <w:bookmarkStart w:id="247" w:name="__RefHeading___Toc3388_4046097046"/>
      <w:bookmarkEnd w:id="247"/>
      <w:r>
        <w:rPr/>
        <w:tab/>
        <w:t>Интерфейс взаимодействия с моделью представлен в виде класса SupplierRiskModel, который предоставляет методы для обучения, прогнозирования, оценки и сохранения модели.</w:t>
      </w:r>
    </w:p>
    <w:p>
      <w:pPr>
        <w:pStyle w:val="Normal"/>
        <w:rPr/>
      </w:pPr>
      <w:r>
        <w:rPr/>
      </w:r>
    </w:p>
    <w:p>
      <w:pPr>
        <w:pStyle w:val="Normal"/>
        <w:rPr/>
      </w:pPr>
      <w:bookmarkStart w:id="248" w:name="__RefHeading___Toc3390_4046097046"/>
      <w:bookmarkEnd w:id="248"/>
      <w:r>
        <w:rPr/>
        <w:tab/>
        <w:t>Разработка модели машинного обучения в среде Python предполагает создание и настройку объектов-классификаторов, определение пайплайнов предобработки данных, а также реализацию методов валидации и интерпретации результатов. Все созданные объекты и методы инкапсулированы в единый класс, что обеспечивает целостность и сопровождаемость решения.</w:t>
      </w:r>
    </w:p>
    <w:p>
      <w:pPr>
        <w:pStyle w:val="Normal"/>
        <w:rPr/>
      </w:pPr>
      <w:bookmarkStart w:id="249" w:name="__RefHeading___Toc3392_4046097046"/>
      <w:bookmarkEnd w:id="249"/>
      <w:r>
        <w:rPr/>
        <w:tab/>
        <w:t>Рассмотрим подробнее ключевые методы разработанного класса SupplierRiskModel.</w:t>
      </w:r>
    </w:p>
    <w:p>
      <w:pPr>
        <w:pStyle w:val="Normal"/>
        <w:rPr/>
      </w:pPr>
      <w:bookmarkStart w:id="250" w:name="__RefHeading___Toc3394_4046097046"/>
      <w:bookmarkEnd w:id="250"/>
      <w:r>
        <w:rPr/>
        <w:tab/>
        <w:t>Метод calculate_risk_score:</w:t>
      </w:r>
    </w:p>
    <w:p>
      <w:pPr>
        <w:pStyle w:val="Normal"/>
        <w:rPr/>
      </w:pPr>
      <w:bookmarkStart w:id="251" w:name="__RefHeading___Toc3396_4046097046"/>
      <w:bookmarkEnd w:id="251"/>
      <w:r>
        <w:rPr/>
        <w:tab/>
        <w:t>Предназначен для расчёта интегрального показателя риска поставщика на основе взвешенной суммы факторов риска. Формула расчёта включает такие параметры, как наличие убытков, нулевая выручка, налоговая задолженность, арбитражные дела и другие. Весовые коэффициенты определены на основе экспертной оценки значимости каждого фактора. Результирующее значение нормализуется в диапазон от 0 до 10.</w:t>
      </w:r>
    </w:p>
    <w:p>
      <w:pPr>
        <w:pStyle w:val="Normal"/>
        <w:rPr/>
      </w:pPr>
      <w:bookmarkStart w:id="252" w:name="__RefHeading___Toc3398_4046097046"/>
      <w:bookmarkEnd w:id="252"/>
      <w:r>
        <w:rPr/>
        <w:tab/>
        <w:t>Метод prepare_advanced_features:</w:t>
      </w:r>
    </w:p>
    <w:p>
      <w:pPr>
        <w:pStyle w:val="Normal"/>
        <w:rPr/>
      </w:pPr>
      <w:bookmarkStart w:id="253" w:name="__RefHeading___Toc3400_4046097046"/>
      <w:bookmarkEnd w:id="253"/>
      <w:r>
        <w:rPr/>
        <w:tab/>
        <w:t>Выполняет расширение исходного признакового пространства за счёт создания производных признаков, таких как:</w:t>
      </w:r>
    </w:p>
    <w:p>
      <w:pPr>
        <w:pStyle w:val="Normal"/>
        <w:numPr>
          <w:ilvl w:val="0"/>
          <w:numId w:val="14"/>
        </w:numPr>
        <w:rPr/>
      </w:pPr>
      <w:bookmarkStart w:id="254" w:name="__RefHeading___Toc3402_4046097046"/>
      <w:bookmarkEnd w:id="254"/>
      <w:r>
        <w:rPr/>
        <w:t>Общее количество негативных факторов.</w:t>
      </w:r>
    </w:p>
    <w:p>
      <w:pPr>
        <w:pStyle w:val="Normal"/>
        <w:numPr>
          <w:ilvl w:val="0"/>
          <w:numId w:val="14"/>
        </w:numPr>
        <w:rPr/>
      </w:pPr>
      <w:bookmarkStart w:id="255" w:name="__RefHeading___Toc3404_4046097046"/>
      <w:bookmarkEnd w:id="255"/>
      <w:r>
        <w:rPr/>
        <w:t>Индекс стабильности поставщика.</w:t>
      </w:r>
    </w:p>
    <w:p>
      <w:pPr>
        <w:pStyle w:val="Normal"/>
        <w:numPr>
          <w:ilvl w:val="0"/>
          <w:numId w:val="14"/>
        </w:numPr>
        <w:rPr/>
      </w:pPr>
      <w:bookmarkStart w:id="256" w:name="__RefHeading___Toc3406_4046097046"/>
      <w:bookmarkEnd w:id="256"/>
      <w:r>
        <w:rPr/>
        <w:t>Взаимодействия между ключевыми рисковыми факторами.</w:t>
      </w:r>
    </w:p>
    <w:p>
      <w:pPr>
        <w:pStyle w:val="Normal"/>
        <w:numPr>
          <w:ilvl w:val="0"/>
          <w:numId w:val="14"/>
        </w:numPr>
        <w:rPr/>
      </w:pPr>
      <w:bookmarkStart w:id="257" w:name="__RefHeading___Toc3408_4046097046"/>
      <w:bookmarkEnd w:id="257"/>
      <w:r>
        <w:rPr/>
        <w:t>Относительные показатели (например, риск на год работы компании).</w:t>
      </w:r>
    </w:p>
    <w:p>
      <w:pPr>
        <w:pStyle w:val="Normal"/>
        <w:rPr/>
      </w:pPr>
      <w:bookmarkStart w:id="258" w:name="__RefHeading___Toc3410_4046097046"/>
      <w:bookmarkEnd w:id="258"/>
      <w:r>
        <w:rPr/>
        <w:tab/>
        <w:t>Это позволяет модели учитывать не только исходные данные, но и сложные зависимости между ними.</w:t>
      </w:r>
    </w:p>
    <w:p>
      <w:pPr>
        <w:pStyle w:val="Normal"/>
        <w:rPr/>
      </w:pPr>
      <w:r>
        <w:rPr/>
      </w:r>
    </w:p>
    <w:p>
      <w:pPr>
        <w:pStyle w:val="Normal"/>
        <w:rPr/>
      </w:pPr>
      <w:bookmarkStart w:id="259" w:name="__RefHeading___Toc3412_4046097046"/>
      <w:bookmarkEnd w:id="259"/>
      <w:r>
        <w:rPr/>
        <w:tab/>
        <w:t>Метод create_super_ensemble:</w:t>
      </w:r>
    </w:p>
    <w:p>
      <w:pPr>
        <w:pStyle w:val="Normal"/>
        <w:rPr/>
      </w:pPr>
      <w:bookmarkStart w:id="260" w:name="__RefHeading___Toc3414_4046097046"/>
      <w:bookmarkEnd w:id="260"/>
      <w:r>
        <w:rPr/>
        <w:tab/>
        <w:t>Реализует ансамблевую модель на основе стекинга (StackingClassifier). В качестве базовых моделей используются:</w:t>
      </w:r>
    </w:p>
    <w:p>
      <w:pPr>
        <w:pStyle w:val="Normal"/>
        <w:numPr>
          <w:ilvl w:val="0"/>
          <w:numId w:val="15"/>
        </w:numPr>
        <w:rPr/>
      </w:pPr>
      <w:bookmarkStart w:id="261" w:name="__RefHeading___Toc3416_4046097046"/>
      <w:bookmarkEnd w:id="261"/>
      <w:r>
        <w:rPr/>
        <w:t>RandomForestClassifier с балансировкой классов.</w:t>
      </w:r>
    </w:p>
    <w:p>
      <w:pPr>
        <w:pStyle w:val="Normal"/>
        <w:numPr>
          <w:ilvl w:val="0"/>
          <w:numId w:val="15"/>
        </w:numPr>
        <w:rPr/>
      </w:pPr>
      <w:bookmarkStart w:id="262" w:name="__RefHeading___Toc3418_4046097046"/>
      <w:bookmarkEnd w:id="262"/>
      <w:r>
        <w:rPr/>
        <w:t>BalancedRandomForestClassifier.</w:t>
      </w:r>
    </w:p>
    <w:p>
      <w:pPr>
        <w:pStyle w:val="Normal"/>
        <w:numPr>
          <w:ilvl w:val="0"/>
          <w:numId w:val="15"/>
        </w:numPr>
        <w:rPr/>
      </w:pPr>
      <w:bookmarkStart w:id="263" w:name="__RefHeading___Toc3420_4046097046"/>
      <w:bookmarkEnd w:id="263"/>
      <w:r>
        <w:rPr/>
        <w:t>XGBoost.</w:t>
      </w:r>
    </w:p>
    <w:p>
      <w:pPr>
        <w:pStyle w:val="Normal"/>
        <w:numPr>
          <w:ilvl w:val="0"/>
          <w:numId w:val="15"/>
        </w:numPr>
        <w:rPr/>
      </w:pPr>
      <w:bookmarkStart w:id="264" w:name="__RefHeading___Toc3422_4046097046"/>
      <w:bookmarkEnd w:id="264"/>
      <w:r>
        <w:rPr/>
        <w:t>GradientBoostingClassifier.</w:t>
      </w:r>
    </w:p>
    <w:p>
      <w:pPr>
        <w:pStyle w:val="Normal"/>
        <w:rPr/>
      </w:pPr>
      <w:bookmarkStart w:id="265" w:name="__RefHeading___Toc3424_4046097046"/>
      <w:bookmarkEnd w:id="265"/>
      <w:r>
        <w:rPr/>
        <w:tab/>
        <w:t>В качестве метамодели применяется логистическая регрессия. Такой подход позволяет объединить сильные стороны различных алгоритмов и повысить общую точность прогнозирования.</w:t>
      </w:r>
    </w:p>
    <w:p>
      <w:pPr>
        <w:pStyle w:val="Normal"/>
        <w:rPr/>
      </w:pPr>
      <w:bookmarkStart w:id="266" w:name="__RefHeading___Toc3426_4046097046"/>
      <w:bookmarkEnd w:id="266"/>
      <w:r>
        <w:rPr/>
        <w:tab/>
        <w:t>Метод train_high_accuracy_model:</w:t>
      </w:r>
    </w:p>
    <w:p>
      <w:pPr>
        <w:pStyle w:val="Normal"/>
        <w:rPr/>
      </w:pPr>
      <w:bookmarkStart w:id="267" w:name="__RefHeading___Toc3428_4046097046"/>
      <w:bookmarkEnd w:id="267"/>
      <w:r>
        <w:rPr/>
        <w:tab/>
        <w:t>Осуществляет полный цикл обучения модели:</w:t>
      </w:r>
    </w:p>
    <w:p>
      <w:pPr>
        <w:pStyle w:val="Normal"/>
        <w:numPr>
          <w:ilvl w:val="0"/>
          <w:numId w:val="16"/>
        </w:numPr>
        <w:rPr/>
      </w:pPr>
      <w:bookmarkStart w:id="268" w:name="__RefHeading___Toc3430_4046097046"/>
      <w:bookmarkEnd w:id="268"/>
      <w:r>
        <w:rPr/>
        <w:t>Генерация синтетического набора данных.</w:t>
      </w:r>
    </w:p>
    <w:p>
      <w:pPr>
        <w:pStyle w:val="Normal"/>
        <w:numPr>
          <w:ilvl w:val="0"/>
          <w:numId w:val="16"/>
        </w:numPr>
        <w:rPr/>
      </w:pPr>
      <w:bookmarkStart w:id="269" w:name="__RefHeading___Toc3432_4046097046"/>
      <w:bookmarkEnd w:id="269"/>
      <w:r>
        <w:rPr/>
        <w:t>Расширение признакового пространства.</w:t>
      </w:r>
    </w:p>
    <w:p>
      <w:pPr>
        <w:pStyle w:val="Normal"/>
        <w:numPr>
          <w:ilvl w:val="0"/>
          <w:numId w:val="16"/>
        </w:numPr>
        <w:rPr/>
      </w:pPr>
      <w:bookmarkStart w:id="270" w:name="__RefHeading___Toc3434_4046097046"/>
      <w:bookmarkEnd w:id="270"/>
      <w:r>
        <w:rPr/>
        <w:t>Балансировка классов с помощью SMOTE.</w:t>
      </w:r>
    </w:p>
    <w:p>
      <w:pPr>
        <w:pStyle w:val="Normal"/>
        <w:numPr>
          <w:ilvl w:val="0"/>
          <w:numId w:val="16"/>
        </w:numPr>
        <w:rPr/>
      </w:pPr>
      <w:bookmarkStart w:id="271" w:name="__RefHeading___Toc3436_4046097046"/>
      <w:bookmarkEnd w:id="271"/>
      <w:r>
        <w:rPr/>
        <w:t>Разделение данных на обучающую и тестовую выборки.</w:t>
      </w:r>
    </w:p>
    <w:p>
      <w:pPr>
        <w:pStyle w:val="Normal"/>
        <w:numPr>
          <w:ilvl w:val="0"/>
          <w:numId w:val="16"/>
        </w:numPr>
        <w:rPr/>
      </w:pPr>
      <w:bookmarkStart w:id="272" w:name="__RefHeading___Toc3438_4046097046"/>
      <w:bookmarkEnd w:id="272"/>
      <w:r>
        <w:rPr/>
        <w:t>Масштабирование и преобразование признаков.</w:t>
      </w:r>
    </w:p>
    <w:p>
      <w:pPr>
        <w:pStyle w:val="Normal"/>
        <w:numPr>
          <w:ilvl w:val="0"/>
          <w:numId w:val="16"/>
        </w:numPr>
        <w:rPr/>
      </w:pPr>
      <w:bookmarkStart w:id="273" w:name="__RefHeading___Toc3440_4046097046"/>
      <w:bookmarkEnd w:id="273"/>
      <w:r>
        <w:rPr/>
        <w:t>Обучение ансамблевой модели.</w:t>
      </w:r>
    </w:p>
    <w:p>
      <w:pPr>
        <w:pStyle w:val="Normal"/>
        <w:numPr>
          <w:ilvl w:val="0"/>
          <w:numId w:val="16"/>
        </w:numPr>
        <w:rPr/>
      </w:pPr>
      <w:bookmarkStart w:id="274" w:name="__RefHeading___Toc3442_4046097046"/>
      <w:bookmarkEnd w:id="274"/>
      <w:r>
        <w:rPr/>
        <w:t>Оценка качества модели на тестовых данных.</w:t>
      </w:r>
    </w:p>
    <w:p>
      <w:pPr>
        <w:pStyle w:val="Normal"/>
        <w:rPr/>
      </w:pPr>
      <w:bookmarkStart w:id="275" w:name="__RefHeading___Toc3444_4046097046"/>
      <w:bookmarkEnd w:id="275"/>
      <w:r>
        <w:rPr/>
        <w:tab/>
        <w:t>Метод predict_risk:</w:t>
      </w:r>
    </w:p>
    <w:p>
      <w:pPr>
        <w:pStyle w:val="Normal"/>
        <w:rPr/>
      </w:pPr>
      <w:bookmarkStart w:id="276" w:name="__RefHeading___Toc3446_4046097046"/>
      <w:bookmarkEnd w:id="276"/>
      <w:r>
        <w:rPr/>
        <w:tab/>
        <w:t>Выполняет прогнозирование уровня риска для новых данных. Он включает валидацию входных данных, расчёт дополнительных признаков, преобразование данных и получение прогноза с вероятностными оценками для каждого класса. Результат возвращается в структурированном формате, включая предсказанный класс, уверенность модели, распределение вероятностей и детальный анализ факторов риска.</w:t>
      </w:r>
    </w:p>
    <w:p>
      <w:pPr>
        <w:pStyle w:val="Normal"/>
        <w:rPr/>
      </w:pPr>
      <w:bookmarkStart w:id="277" w:name="__RefHeading___Toc3448_4046097046"/>
      <w:bookmarkEnd w:id="277"/>
      <w:r>
        <w:rPr/>
        <w:tab/>
        <w:t>Таким образом, разработанная модель представляет собой комплексное решение для автоматической оценки рисков поставщиков, сочетающее в себе бизнес-логику расчёта рисков, методы машинного обучения и техники обработки данных. Модель демонстрирует высокую точность (accuracy: 0.8577) и может быть интегрирована в существующие системы управления поставщиками.</w:t>
      </w:r>
    </w:p>
    <w:p>
      <w:pPr>
        <w:pStyle w:val="Normal"/>
        <w:rPr/>
      </w:pPr>
      <w:r>
        <w:rPr/>
      </w:r>
      <w:r>
        <w:br w:type="page"/>
      </w:r>
    </w:p>
    <w:p>
      <w:pPr>
        <w:pStyle w:val="Normal"/>
        <w:widowControl/>
        <w:suppressAutoHyphens w:val="true"/>
        <w:spacing w:lineRule="auto" w:line="259" w:before="0" w:after="0"/>
        <w:ind w:hanging="0" w:left="0"/>
        <w:jc w:val="center"/>
        <w:rPr>
          <w:rFonts w:ascii="Times New Roman" w:hAnsi="Times New Roman"/>
          <w:sz w:val="28"/>
          <w:szCs w:val="28"/>
        </w:rPr>
      </w:pPr>
      <w:bookmarkStart w:id="278" w:name="__RefHeading___Toc3450_4046097046"/>
      <w:bookmarkEnd w:id="278"/>
      <w:r>
        <w:rPr>
          <w:b w:val="false"/>
          <w:color w:val="auto"/>
          <w:sz w:val="28"/>
          <w:szCs w:val="28"/>
          <w:lang w:val="ru-RU"/>
        </w:rPr>
        <w:t>3</w:t>
      </w:r>
      <w:r>
        <w:rPr>
          <w:b w:val="false"/>
          <w:color w:val="auto"/>
          <w:sz w:val="28"/>
          <w:szCs w:val="28"/>
          <w:lang w:val="en-US"/>
        </w:rPr>
        <w:t>.</w:t>
      </w:r>
      <w:r>
        <w:rPr>
          <w:b w:val="false"/>
          <w:color w:val="auto"/>
          <w:sz w:val="28"/>
          <w:szCs w:val="28"/>
          <w:lang w:val="ru-RU"/>
        </w:rPr>
        <w:t>2</w:t>
      </w:r>
      <w:r>
        <w:rPr>
          <w:b w:val="false"/>
          <w:color w:val="auto"/>
          <w:sz w:val="28"/>
          <w:szCs w:val="28"/>
          <w:lang w:val="en-US"/>
        </w:rPr>
        <w:t>.</w:t>
      </w:r>
      <w:r>
        <w:rPr>
          <w:b w:val="false"/>
          <w:color w:val="auto"/>
          <w:sz w:val="28"/>
          <w:szCs w:val="28"/>
          <w:lang w:val="ru-RU"/>
        </w:rPr>
        <w:t>2</w:t>
      </w:r>
      <w:r>
        <w:rPr>
          <w:b w:val="false"/>
          <w:color w:val="auto"/>
          <w:sz w:val="28"/>
          <w:szCs w:val="28"/>
          <w:lang w:val="en-US"/>
        </w:rPr>
        <w:t xml:space="preserve"> </w:t>
      </w:r>
      <w:r>
        <w:rPr>
          <w:b w:val="false"/>
          <w:color w:val="auto"/>
          <w:sz w:val="28"/>
          <w:szCs w:val="28"/>
          <w:lang w:val="ru-RU"/>
        </w:rPr>
        <w:t xml:space="preserve">Разработка </w:t>
      </w:r>
      <w:r>
        <w:rPr>
          <w:b w:val="false"/>
          <w:color w:val="auto"/>
          <w:sz w:val="28"/>
          <w:szCs w:val="28"/>
          <w:lang w:val="en-US"/>
        </w:rPr>
        <w:t>API</w:t>
      </w:r>
    </w:p>
    <w:p>
      <w:pPr>
        <w:pStyle w:val="Normal"/>
        <w:widowControl/>
        <w:suppressAutoHyphens w:val="true"/>
        <w:spacing w:lineRule="auto" w:line="259" w:before="0" w:after="0"/>
        <w:ind w:hanging="0" w:left="0"/>
        <w:jc w:val="center"/>
        <w:rPr>
          <w:rFonts w:ascii="Times New Roman" w:hAnsi="Times New Roman"/>
          <w:sz w:val="28"/>
          <w:szCs w:val="28"/>
        </w:rPr>
      </w:pPr>
      <w:r>
        <w:rPr>
          <w:sz w:val="28"/>
          <w:szCs w:val="28"/>
        </w:rPr>
      </w:r>
    </w:p>
    <w:p>
      <w:pPr>
        <w:pStyle w:val="Normal"/>
        <w:rPr/>
      </w:pPr>
      <w:bookmarkStart w:id="279" w:name="__RefHeading___Toc3452_4046097046"/>
      <w:bookmarkEnd w:id="279"/>
      <w:r>
        <w:rPr>
          <w:b w:val="false"/>
          <w:color w:val="auto"/>
        </w:rPr>
        <w:tab/>
        <w:t>Для расширения функциональности системы комплексной оценки надежности поставщиков и реализации современных алгоритмов машинного обучения был разработан специализированный Python-сервис, интегрируемый с платформой 1С:Предприятие через REST API. Данный сервис представляет собой микросервисную архитектуру, построенную на принципах модульности и масштабируемости</w:t>
      </w:r>
      <w:r>
        <w:rPr>
          <w:rFonts w:cs="Times New Roman"/>
          <w:b w:val="false"/>
          <w:color w:val="auto"/>
          <w:lang w:eastAsia="ru-RU"/>
        </w:rPr>
        <w:t>.</w:t>
      </w:r>
    </w:p>
    <w:p>
      <w:pPr>
        <w:pStyle w:val="Normal"/>
        <w:widowControl/>
        <w:suppressAutoHyphens w:val="true"/>
        <w:spacing w:lineRule="auto" w:line="259" w:before="0" w:after="0"/>
        <w:ind w:hanging="0" w:left="0"/>
        <w:jc w:val="center"/>
        <w:rPr>
          <w:rFonts w:ascii="Times New Roman" w:hAnsi="Times New Roman"/>
          <w:b w:val="false"/>
          <w:color w:val="auto"/>
          <w:sz w:val="28"/>
          <w:szCs w:val="28"/>
        </w:rPr>
      </w:pPr>
      <w:bookmarkStart w:id="280" w:name="__RefHeading___Toc3454_4046097046"/>
      <w:bookmarkEnd w:id="280"/>
      <w:r>
        <w:drawing>
          <wp:anchor behindDoc="0" distT="0" distB="0" distL="0" distR="0" simplePos="0" locked="0" layoutInCell="0" allowOverlap="1" relativeHeight="32">
            <wp:simplePos x="0" y="0"/>
            <wp:positionH relativeFrom="column">
              <wp:posOffset>1092200</wp:posOffset>
            </wp:positionH>
            <wp:positionV relativeFrom="paragraph">
              <wp:posOffset>70485</wp:posOffset>
            </wp:positionV>
            <wp:extent cx="3755390" cy="4862195"/>
            <wp:effectExtent l="0" t="0" r="0" b="0"/>
            <wp:wrapTopAndBottom/>
            <wp:docPr id="31" name="Изображение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Изображение13" descr=""/>
                    <pic:cNvPicPr>
                      <a:picLocks noChangeAspect="1" noChangeArrowheads="1"/>
                    </pic:cNvPicPr>
                  </pic:nvPicPr>
                  <pic:blipFill>
                    <a:blip r:embed="rId27"/>
                    <a:stretch>
                      <a:fillRect/>
                    </a:stretch>
                  </pic:blipFill>
                  <pic:spPr bwMode="auto">
                    <a:xfrm>
                      <a:off x="0" y="0"/>
                      <a:ext cx="3755390" cy="4862195"/>
                    </a:xfrm>
                    <a:prstGeom prst="rect">
                      <a:avLst/>
                    </a:prstGeom>
                  </pic:spPr>
                </pic:pic>
              </a:graphicData>
            </a:graphic>
          </wp:anchor>
        </w:drawing>
      </w:r>
      <w:r>
        <w:rPr>
          <w:b w:val="false"/>
          <w:color w:val="auto"/>
          <w:sz w:val="28"/>
          <w:szCs w:val="28"/>
        </w:rPr>
        <w:t>Рисунок 3.16 -  Архитектура Python-сервиса</w:t>
      </w:r>
    </w:p>
    <w:p>
      <w:pPr>
        <w:pStyle w:val="Normal"/>
        <w:widowControl/>
        <w:suppressAutoHyphens w:val="true"/>
        <w:spacing w:lineRule="auto" w:line="259" w:before="0" w:after="0"/>
        <w:ind w:hanging="0" w:left="0"/>
        <w:jc w:val="both"/>
        <w:rPr>
          <w:rFonts w:ascii="Times New Roman" w:hAnsi="Times New Roman"/>
          <w:b w:val="false"/>
          <w:color w:val="auto"/>
          <w:sz w:val="28"/>
          <w:szCs w:val="28"/>
        </w:rPr>
      </w:pPr>
      <w:r>
        <w:rPr>
          <w:b w:val="false"/>
          <w:color w:val="auto"/>
          <w:sz w:val="28"/>
          <w:szCs w:val="28"/>
        </w:rPr>
      </w:r>
    </w:p>
    <w:p>
      <w:pPr>
        <w:pStyle w:val="Normal"/>
        <w:rPr>
          <w:b w:val="false"/>
          <w:color w:val="auto"/>
        </w:rPr>
      </w:pPr>
      <w:bookmarkStart w:id="281" w:name="__RefHeading___Toc3456_4046097046"/>
      <w:bookmarkEnd w:id="281"/>
      <w:r>
        <w:rPr>
          <w:b w:val="false"/>
          <w:color w:val="auto"/>
        </w:rPr>
        <w:tab/>
        <w:t>Архитектура Python-сервиса включает следующие основные компоненты (Рисунок 3.16):</w:t>
      </w:r>
    </w:p>
    <w:p>
      <w:pPr>
        <w:pStyle w:val="Normal"/>
        <w:rPr/>
      </w:pPr>
      <w:bookmarkStart w:id="282" w:name="__RefHeading___Toc3458_4046097046"/>
      <w:bookmarkEnd w:id="282"/>
      <w:r>
        <w:rPr/>
        <w:tab/>
      </w:r>
      <w:r>
        <w:rPr>
          <w:lang w:val="ru-RU"/>
        </w:rPr>
        <w:t>Переменные окружения (</w:t>
      </w:r>
      <w:r>
        <w:rPr/>
        <w:t xml:space="preserve">env.py </w:t>
      </w:r>
      <w:r>
        <w:rPr>
          <w:lang w:val="ru-RU"/>
        </w:rPr>
        <w:t>и .</w:t>
      </w:r>
      <w:r>
        <w:rPr/>
        <w:t xml:space="preserve">env) </w:t>
      </w:r>
      <w:r>
        <w:rPr>
          <w:lang w:val="ru-RU"/>
        </w:rPr>
        <w:t>нужны для:\</w:t>
      </w:r>
    </w:p>
    <w:p>
      <w:pPr>
        <w:pStyle w:val="Normal"/>
        <w:numPr>
          <w:ilvl w:val="0"/>
          <w:numId w:val="17"/>
        </w:numPr>
        <w:rPr/>
      </w:pPr>
      <w:bookmarkStart w:id="283" w:name="__RefHeading___Toc3460_4046097046"/>
      <w:bookmarkEnd w:id="283"/>
      <w:r>
        <w:rPr>
          <w:lang w:val="ru-RU"/>
        </w:rPr>
        <w:t xml:space="preserve">Хранения переменных окружения (ключ </w:t>
      </w:r>
      <w:r>
        <w:rPr>
          <w:b w:val="false"/>
          <w:color w:val="auto"/>
          <w:lang w:val="ru-RU"/>
        </w:rPr>
        <w:t>API "Репутация")</w:t>
      </w:r>
    </w:p>
    <w:p>
      <w:pPr>
        <w:pStyle w:val="Normal"/>
        <w:ind w:hanging="0" w:left="720"/>
        <w:rPr/>
      </w:pPr>
      <w:bookmarkStart w:id="284" w:name="__RefHeading___Toc3462_4046097046"/>
      <w:bookmarkEnd w:id="284"/>
      <w:r>
        <w:rPr>
          <w:lang w:val="ru-RU"/>
        </w:rPr>
        <w:t xml:space="preserve">Логирование событий </w:t>
      </w:r>
      <w:r>
        <w:rPr/>
        <w:t>Python-</w:t>
      </w:r>
      <w:r>
        <w:rPr>
          <w:lang w:val="ru-RU"/>
        </w:rPr>
        <w:t>сервиса (</w:t>
      </w:r>
      <w:r>
        <w:rPr/>
        <w:t>log.py</w:t>
      </w:r>
      <w:r>
        <w:rPr>
          <w:lang w:val="ru-RU"/>
        </w:rPr>
        <w:t>) позволяют производить</w:t>
      </w:r>
      <w:r>
        <w:rPr/>
        <w:t>:</w:t>
      </w:r>
    </w:p>
    <w:p>
      <w:pPr>
        <w:pStyle w:val="Normal"/>
        <w:numPr>
          <w:ilvl w:val="0"/>
          <w:numId w:val="17"/>
        </w:numPr>
        <w:rPr/>
      </w:pPr>
      <w:bookmarkStart w:id="285" w:name="__RefHeading___Toc3464_4046097046"/>
      <w:bookmarkEnd w:id="285"/>
      <w:r>
        <w:rPr/>
        <w:t>Отслеживание, анализ и отладку работы системы</w:t>
      </w:r>
    </w:p>
    <w:p>
      <w:pPr>
        <w:pStyle w:val="Normal"/>
        <w:numPr>
          <w:ilvl w:val="0"/>
          <w:numId w:val="17"/>
        </w:numPr>
        <w:rPr/>
      </w:pPr>
      <w:r>
        <w:rPr/>
        <w:t>Находить и исправлять ошибки, контролировать процессы</w:t>
        <w:tab/>
      </w:r>
    </w:p>
    <w:p>
      <w:pPr>
        <w:pStyle w:val="Normal"/>
        <w:rPr/>
      </w:pPr>
      <w:bookmarkStart w:id="286" w:name="__RefHeading___Toc3470_4046097046"/>
      <w:bookmarkEnd w:id="286"/>
      <w:r>
        <w:rPr/>
        <w:tab/>
      </w:r>
    </w:p>
    <w:p>
      <w:pPr>
        <w:pStyle w:val="Normal"/>
        <w:rPr/>
      </w:pPr>
      <w:r>
        <w:rPr/>
        <w:tab/>
        <w:t>FastAPI-приложение (app.py) выступает в качестве точки входа и обеспечивает:</w:t>
      </w:r>
    </w:p>
    <w:p>
      <w:pPr>
        <w:pStyle w:val="Normal"/>
        <w:numPr>
          <w:ilvl w:val="0"/>
          <w:numId w:val="23"/>
        </w:numPr>
        <w:rPr/>
      </w:pPr>
      <w:bookmarkStart w:id="287" w:name="__RefHeading___Toc3472_4046097046"/>
      <w:bookmarkEnd w:id="287"/>
      <w:r>
        <w:rPr/>
        <w:t>Обработку HTTP-запросов от клиентской части на 1С</w:t>
      </w:r>
    </w:p>
    <w:p>
      <w:pPr>
        <w:pStyle w:val="Normal"/>
        <w:numPr>
          <w:ilvl w:val="0"/>
          <w:numId w:val="23"/>
        </w:numPr>
        <w:rPr/>
      </w:pPr>
      <w:bookmarkStart w:id="288" w:name="__RefHeading___Toc3474_4046097046"/>
      <w:bookmarkEnd w:id="288"/>
      <w:r>
        <w:rPr/>
        <w:t>Управление жизненным циклом приложения через контекстные менеджеры</w:t>
      </w:r>
    </w:p>
    <w:p>
      <w:pPr>
        <w:pStyle w:val="Normal"/>
        <w:numPr>
          <w:ilvl w:val="0"/>
          <w:numId w:val="23"/>
        </w:numPr>
        <w:rPr/>
      </w:pPr>
      <w:bookmarkStart w:id="289" w:name="__RefHeading___Toc3476_4046097046"/>
      <w:bookmarkEnd w:id="289"/>
      <w:r>
        <w:rPr/>
        <w:t>Настройку CORS-политик для кросс-доменных запросов</w:t>
      </w:r>
    </w:p>
    <w:p>
      <w:pPr>
        <w:pStyle w:val="Normal"/>
        <w:numPr>
          <w:ilvl w:val="0"/>
          <w:numId w:val="23"/>
        </w:numPr>
        <w:rPr/>
      </w:pPr>
      <w:bookmarkStart w:id="290" w:name="__RefHeading___Toc3478_4046097046"/>
      <w:bookmarkEnd w:id="290"/>
      <w:r>
        <w:rPr/>
        <w:t>Маршрутизацию запросов к соответствующим обработчикам</w:t>
      </w:r>
    </w:p>
    <w:p>
      <w:pPr>
        <w:pStyle w:val="Normal"/>
        <w:rPr/>
      </w:pPr>
      <w:r>
        <w:rPr/>
      </w:r>
    </w:p>
    <w:p>
      <w:pPr>
        <w:pStyle w:val="Normal"/>
        <w:rPr/>
      </w:pPr>
      <w:bookmarkStart w:id="291" w:name="__RefHeading___Toc3480_4046097046"/>
      <w:bookmarkEnd w:id="291"/>
      <w:r>
        <w:rPr/>
        <w:tab/>
        <w:t>Модуль HTTP-запросов (queries.py) предоставляет:</w:t>
      </w:r>
    </w:p>
    <w:p>
      <w:pPr>
        <w:pStyle w:val="Normal"/>
        <w:numPr>
          <w:ilvl w:val="0"/>
          <w:numId w:val="18"/>
        </w:numPr>
        <w:rPr/>
      </w:pPr>
      <w:bookmarkStart w:id="292" w:name="__RefHeading___Toc3482_4046097046"/>
      <w:bookmarkEnd w:id="292"/>
      <w:r>
        <w:rPr/>
        <w:t>Асинхронные клиенты для выполнения HTTP-запросов</w:t>
      </w:r>
    </w:p>
    <w:p>
      <w:pPr>
        <w:pStyle w:val="Normal"/>
        <w:numPr>
          <w:ilvl w:val="0"/>
          <w:numId w:val="18"/>
        </w:numPr>
        <w:rPr/>
      </w:pPr>
      <w:bookmarkStart w:id="293" w:name="__RefHeading___Toc3484_4046097046"/>
      <w:bookmarkEnd w:id="293"/>
      <w:r>
        <w:rPr/>
        <w:t>Обработку ошибок и таймаутов при работе с внешними API</w:t>
      </w:r>
    </w:p>
    <w:p>
      <w:pPr>
        <w:pStyle w:val="Normal"/>
        <w:numPr>
          <w:ilvl w:val="0"/>
          <w:numId w:val="18"/>
        </w:numPr>
        <w:rPr/>
      </w:pPr>
      <w:bookmarkStart w:id="294" w:name="__RefHeading___Toc3486_4046097046"/>
      <w:bookmarkEnd w:id="294"/>
      <w:r>
        <w:rPr/>
        <w:t>Унифицированный интерфейс для взаимодействия с различными сервисами</w:t>
      </w:r>
    </w:p>
    <w:p>
      <w:pPr>
        <w:pStyle w:val="Normal"/>
        <w:rPr/>
      </w:pPr>
      <w:r>
        <w:rPr/>
      </w:r>
    </w:p>
    <w:p>
      <w:pPr>
        <w:pStyle w:val="Normal"/>
        <w:rPr/>
      </w:pPr>
      <w:bookmarkStart w:id="295" w:name="__RefHeading___Toc3488_4046097046"/>
      <w:bookmarkEnd w:id="295"/>
      <w:r>
        <w:rPr/>
        <w:tab/>
        <w:t>Модуль роутинга (routers.py) определяет конечные точки API, где:</w:t>
      </w:r>
    </w:p>
    <w:p>
      <w:pPr>
        <w:pStyle w:val="Normal"/>
        <w:numPr>
          <w:ilvl w:val="0"/>
          <w:numId w:val="24"/>
        </w:numPr>
        <w:rPr/>
      </w:pPr>
      <w:bookmarkStart w:id="296" w:name="__RefHeading___Toc3490_4046097046"/>
      <w:bookmarkEnd w:id="296"/>
      <w:r>
        <w:rPr/>
        <w:t>Реализован эндпоинт /api/v1/check для обработки POST-запросов</w:t>
      </w:r>
    </w:p>
    <w:p>
      <w:pPr>
        <w:pStyle w:val="Normal"/>
        <w:numPr>
          <w:ilvl w:val="0"/>
          <w:numId w:val="24"/>
        </w:numPr>
        <w:rPr/>
      </w:pPr>
      <w:bookmarkStart w:id="297" w:name="__RefHeading___Toc3492_4046097046"/>
      <w:bookmarkEnd w:id="297"/>
      <w:r>
        <w:rPr/>
        <w:t>Организован пайплайн обработки данных: получение → преобразование → анализ → возврат результатов</w:t>
      </w:r>
    </w:p>
    <w:p>
      <w:pPr>
        <w:pStyle w:val="Normal"/>
        <w:numPr>
          <w:ilvl w:val="0"/>
          <w:numId w:val="24"/>
        </w:numPr>
        <w:rPr/>
      </w:pPr>
      <w:bookmarkStart w:id="298" w:name="__RefHeading___Toc3494_4046097046"/>
      <w:bookmarkEnd w:id="298"/>
      <w:r>
        <w:rPr/>
        <w:t>Обеспечена интеграция с внешними сервисами и ML-моделью</w:t>
      </w:r>
    </w:p>
    <w:p>
      <w:pPr>
        <w:pStyle w:val="Normal"/>
        <w:rPr/>
      </w:pPr>
      <w:bookmarkStart w:id="299" w:name="__RefHeading___Toc3496_4046097046"/>
      <w:bookmarkEnd w:id="299"/>
      <w:r>
        <w:rPr/>
        <w:tab/>
        <w:t>Утилиты обработки данных (utils.py) содержат:</w:t>
      </w:r>
    </w:p>
    <w:p>
      <w:pPr>
        <w:pStyle w:val="Normal"/>
        <w:numPr>
          <w:ilvl w:val="0"/>
          <w:numId w:val="19"/>
        </w:numPr>
        <w:rPr/>
      </w:pPr>
      <w:bookmarkStart w:id="300" w:name="__RefHeading___Toc3498_4046097046"/>
      <w:bookmarkEnd w:id="300"/>
      <w:r>
        <w:rPr/>
        <w:t>Функции для взаимодействия с API сервиса "Репутация"</w:t>
      </w:r>
    </w:p>
    <w:p>
      <w:pPr>
        <w:pStyle w:val="Normal"/>
        <w:numPr>
          <w:ilvl w:val="0"/>
          <w:numId w:val="19"/>
        </w:numPr>
        <w:rPr/>
      </w:pPr>
      <w:bookmarkStart w:id="301" w:name="__RefHeading___Toc3500_4046097046"/>
      <w:bookmarkEnd w:id="301"/>
      <w:r>
        <w:rPr/>
        <w:t>Алгоритмы преобразования сырых данных в признаки для ML-модели</w:t>
      </w:r>
    </w:p>
    <w:p>
      <w:pPr>
        <w:pStyle w:val="Normal"/>
        <w:numPr>
          <w:ilvl w:val="0"/>
          <w:numId w:val="19"/>
        </w:numPr>
        <w:rPr/>
      </w:pPr>
      <w:bookmarkStart w:id="302" w:name="__RefHeading___Toc3502_4046097046"/>
      <w:bookmarkEnd w:id="302"/>
      <w:r>
        <w:rPr/>
        <w:t>Методы извлечения и нормализации данных о компаниях</w:t>
      </w:r>
    </w:p>
    <w:p>
      <w:pPr>
        <w:pStyle w:val="Normal"/>
        <w:numPr>
          <w:ilvl w:val="0"/>
          <w:numId w:val="19"/>
        </w:numPr>
        <w:rPr/>
      </w:pPr>
      <w:bookmarkStart w:id="303" w:name="__RefHeading___Toc3504_4046097046"/>
      <w:bookmarkEnd w:id="303"/>
      <w:r>
        <w:rPr/>
        <w:t>Логику обработки ответов от внешних сервисов</w:t>
      </w:r>
    </w:p>
    <w:p>
      <w:pPr>
        <w:pStyle w:val="Normal"/>
        <w:rPr/>
      </w:pPr>
      <w:r>
        <w:rPr/>
      </w:r>
    </w:p>
    <w:p>
      <w:pPr>
        <w:pStyle w:val="Normal"/>
        <w:rPr/>
      </w:pPr>
      <w:bookmarkStart w:id="304" w:name="__RefHeading___Toc3506_4046097046"/>
      <w:bookmarkEnd w:id="304"/>
      <w:r>
        <w:rPr/>
        <w:tab/>
        <w:t>Модель машинного обучения (model.py) представляет собой ядро системы оценки и включает:</w:t>
      </w:r>
    </w:p>
    <w:p>
      <w:pPr>
        <w:pStyle w:val="Normal"/>
        <w:numPr>
          <w:ilvl w:val="0"/>
          <w:numId w:val="25"/>
        </w:numPr>
        <w:rPr/>
      </w:pPr>
      <w:bookmarkStart w:id="305" w:name="__RefHeading___Toc3508_4046097046"/>
      <w:bookmarkEnd w:id="305"/>
      <w:r>
        <w:rPr/>
        <w:t>Класс SupplierRiskModel для работы с ансамблевой моделью классификации</w:t>
      </w:r>
    </w:p>
    <w:p>
      <w:pPr>
        <w:pStyle w:val="Normal"/>
        <w:numPr>
          <w:ilvl w:val="0"/>
          <w:numId w:val="25"/>
        </w:numPr>
        <w:rPr/>
      </w:pPr>
      <w:bookmarkStart w:id="306" w:name="__RefHeading___Toc3510_4046097046"/>
      <w:bookmarkEnd w:id="306"/>
      <w:r>
        <w:rPr/>
        <w:t>Методы предобработки данных и извлечения признаков</w:t>
      </w:r>
    </w:p>
    <w:p>
      <w:pPr>
        <w:pStyle w:val="Normal"/>
        <w:numPr>
          <w:ilvl w:val="0"/>
          <w:numId w:val="25"/>
        </w:numPr>
        <w:rPr/>
      </w:pPr>
      <w:bookmarkStart w:id="307" w:name="__RefHeading___Toc3512_4046097046"/>
      <w:bookmarkEnd w:id="307"/>
      <w:r>
        <w:rPr/>
        <w:t>Алгоритмы расчета интегральных показателей риска</w:t>
      </w:r>
    </w:p>
    <w:p>
      <w:pPr>
        <w:pStyle w:val="Normal"/>
        <w:numPr>
          <w:ilvl w:val="0"/>
          <w:numId w:val="25"/>
        </w:numPr>
        <w:rPr/>
      </w:pPr>
      <w:bookmarkStart w:id="308" w:name="__RefHeading___Toc3514_4046097046"/>
      <w:bookmarkEnd w:id="308"/>
      <w:r>
        <w:rPr/>
        <w:t>Механизмы валидации и оценки качества предсказаний</w:t>
      </w:r>
      <w:r>
        <w:br w:type="page"/>
      </w:r>
    </w:p>
    <w:p>
      <w:pPr>
        <w:pStyle w:val="Normal"/>
        <w:spacing w:before="0" w:after="160"/>
        <w:rPr/>
      </w:pPr>
      <w:bookmarkStart w:id="309" w:name="__RefHeading___Toc3516_4046097046"/>
      <w:bookmarkEnd w:id="309"/>
      <w:r>
        <w:rPr/>
        <w:tab/>
        <w:t>Поставщик модели (model_provider.py) обеспечивает:</w:t>
      </w:r>
    </w:p>
    <w:p>
      <w:pPr>
        <w:pStyle w:val="Normal"/>
        <w:numPr>
          <w:ilvl w:val="0"/>
          <w:numId w:val="19"/>
        </w:numPr>
        <w:rPr/>
      </w:pPr>
      <w:bookmarkStart w:id="310" w:name="__RefHeading___Toc3518_4046097046"/>
      <w:bookmarkEnd w:id="310"/>
      <w:r>
        <w:rPr/>
        <w:t>Загрузку предобученных моделей из сериализованных файлов</w:t>
      </w:r>
    </w:p>
    <w:p>
      <w:pPr>
        <w:pStyle w:val="Normal"/>
        <w:numPr>
          <w:ilvl w:val="0"/>
          <w:numId w:val="19"/>
        </w:numPr>
        <w:rPr/>
      </w:pPr>
      <w:bookmarkStart w:id="311" w:name="__RefHeading___Toc3520_4046097046"/>
      <w:bookmarkEnd w:id="311"/>
      <w:r>
        <w:rPr/>
        <w:t>Управление жизненным циклом ML-моделей в производственной среде</w:t>
      </w:r>
    </w:p>
    <w:p>
      <w:pPr>
        <w:pStyle w:val="Normal"/>
        <w:numPr>
          <w:ilvl w:val="0"/>
          <w:numId w:val="19"/>
        </w:numPr>
        <w:rPr/>
      </w:pPr>
      <w:bookmarkStart w:id="312" w:name="__RefHeading___Toc3522_4046097046"/>
      <w:bookmarkEnd w:id="312"/>
      <w:r>
        <w:rPr/>
        <w:t>Изоляцию логики работы с моделями для упрощения поддержки</w:t>
      </w:r>
    </w:p>
    <w:p>
      <w:pPr>
        <w:pStyle w:val="Normal"/>
        <w:ind w:hanging="0" w:left="720"/>
        <w:rPr/>
      </w:pPr>
      <w:r>
        <w:rPr/>
      </w:r>
    </w:p>
    <w:p>
      <w:pPr>
        <w:pStyle w:val="Normal"/>
        <w:rPr/>
      </w:pPr>
      <w:r>
        <w:rPr/>
      </w:r>
    </w:p>
    <w:p>
      <w:pPr>
        <w:pStyle w:val="Normal"/>
        <w:rPr/>
      </w:pPr>
      <w:bookmarkStart w:id="313" w:name="__RefHeading___Toc3524_4046097046"/>
      <w:bookmarkEnd w:id="313"/>
      <w:r>
        <w:rPr/>
        <w:tab/>
        <w:t>Взаимодействие компонентов в процессе оценки поставщика происходит по следующему алгоритму:</w:t>
      </w:r>
    </w:p>
    <w:p>
      <w:pPr>
        <w:pStyle w:val="Normal"/>
        <w:numPr>
          <w:ilvl w:val="0"/>
          <w:numId w:val="20"/>
        </w:numPr>
        <w:rPr/>
      </w:pPr>
      <w:bookmarkStart w:id="314" w:name="__RefHeading___Toc3526_4046097046"/>
      <w:bookmarkEnd w:id="314"/>
      <w:r>
        <w:rPr/>
        <w:t>Клиентское приложение на 1С формирует JSON-запрос с ИНН поставщиков</w:t>
      </w:r>
    </w:p>
    <w:p>
      <w:pPr>
        <w:pStyle w:val="Normal"/>
        <w:numPr>
          <w:ilvl w:val="0"/>
          <w:numId w:val="20"/>
        </w:numPr>
        <w:rPr/>
      </w:pPr>
      <w:bookmarkStart w:id="315" w:name="__RefHeading___Toc3528_4046097046"/>
      <w:bookmarkEnd w:id="315"/>
      <w:r>
        <w:rPr/>
        <w:t>FastAPI-сервер принимает запрос и передает его в обработчик роутера</w:t>
      </w:r>
    </w:p>
    <w:p>
      <w:pPr>
        <w:pStyle w:val="Normal"/>
        <w:numPr>
          <w:ilvl w:val="0"/>
          <w:numId w:val="20"/>
        </w:numPr>
        <w:rPr/>
      </w:pPr>
      <w:bookmarkStart w:id="316" w:name="__RefHeading___Toc3530_4046097046"/>
      <w:bookmarkEnd w:id="316"/>
      <w:r>
        <w:rPr/>
        <w:t>Модуль утилит выполняет асинхронные запросы к API "Репутация"</w:t>
      </w:r>
    </w:p>
    <w:p>
      <w:pPr>
        <w:pStyle w:val="Normal"/>
        <w:numPr>
          <w:ilvl w:val="0"/>
          <w:numId w:val="20"/>
        </w:numPr>
        <w:rPr/>
      </w:pPr>
      <w:bookmarkStart w:id="317" w:name="__RefHeading___Toc3532_4046097046"/>
      <w:bookmarkEnd w:id="317"/>
      <w:r>
        <w:rPr/>
        <w:t>Полученные данные преобразуются в структурированные признаки</w:t>
      </w:r>
    </w:p>
    <w:p>
      <w:pPr>
        <w:pStyle w:val="Normal"/>
        <w:numPr>
          <w:ilvl w:val="0"/>
          <w:numId w:val="20"/>
        </w:numPr>
        <w:rPr/>
      </w:pPr>
      <w:bookmarkStart w:id="318" w:name="__RefHeading___Toc3534_4046097046"/>
      <w:bookmarkEnd w:id="318"/>
      <w:r>
        <w:rPr/>
        <w:t>ML-модель анализирует признаки и генерирует оценку надежности</w:t>
      </w:r>
    </w:p>
    <w:p>
      <w:pPr>
        <w:pStyle w:val="Normal"/>
        <w:numPr>
          <w:ilvl w:val="0"/>
          <w:numId w:val="20"/>
        </w:numPr>
        <w:rPr/>
      </w:pPr>
      <w:bookmarkStart w:id="319" w:name="__RefHeading___Toc3536_4046097046"/>
      <w:bookmarkEnd w:id="319"/>
      <w:r>
        <w:rPr/>
        <w:t>Результаты форматируются и возвращаются в 1С для отображения</w:t>
      </w:r>
    </w:p>
    <w:p>
      <w:pPr>
        <w:pStyle w:val="Normal"/>
        <w:rPr/>
      </w:pPr>
      <w:r>
        <w:rPr/>
      </w:r>
    </w:p>
    <w:p>
      <w:pPr>
        <w:pStyle w:val="Normal"/>
        <w:rPr/>
      </w:pPr>
      <w:bookmarkStart w:id="320" w:name="__RefHeading___Toc3538_4046097046"/>
      <w:bookmarkEnd w:id="320"/>
      <w:r>
        <w:rPr/>
        <w:tab/>
        <w:t>Преимущества выбранной архитектуры:</w:t>
      </w:r>
    </w:p>
    <w:p>
      <w:pPr>
        <w:pStyle w:val="Normal"/>
        <w:numPr>
          <w:ilvl w:val="0"/>
          <w:numId w:val="21"/>
        </w:numPr>
        <w:rPr/>
      </w:pPr>
      <w:bookmarkStart w:id="321" w:name="__RefHeading___Toc3540_4046097046"/>
      <w:bookmarkEnd w:id="321"/>
      <w:r>
        <w:rPr/>
        <w:t>Модульность: каждый компонент отвечает за конкретную задачу</w:t>
      </w:r>
    </w:p>
    <w:p>
      <w:pPr>
        <w:pStyle w:val="Normal"/>
        <w:numPr>
          <w:ilvl w:val="0"/>
          <w:numId w:val="21"/>
        </w:numPr>
        <w:rPr/>
      </w:pPr>
      <w:bookmarkStart w:id="322" w:name="__RefHeading___Toc3542_4046097046"/>
      <w:bookmarkEnd w:id="322"/>
      <w:r>
        <w:rPr/>
        <w:t>Масштабируемость: возможность независимого масштабирования компонентов</w:t>
      </w:r>
    </w:p>
    <w:p>
      <w:pPr>
        <w:pStyle w:val="Normal"/>
        <w:numPr>
          <w:ilvl w:val="0"/>
          <w:numId w:val="21"/>
        </w:numPr>
        <w:rPr/>
      </w:pPr>
      <w:bookmarkStart w:id="323" w:name="__RefHeading___Toc3544_4046097046"/>
      <w:bookmarkEnd w:id="323"/>
      <w:r>
        <w:rPr/>
        <w:t>Поддерживаемость: четкое разделение ответственности между модулями</w:t>
      </w:r>
    </w:p>
    <w:p>
      <w:pPr>
        <w:pStyle w:val="Normal"/>
        <w:numPr>
          <w:ilvl w:val="0"/>
          <w:numId w:val="21"/>
        </w:numPr>
        <w:rPr/>
      </w:pPr>
      <w:bookmarkStart w:id="324" w:name="__RefHeading___Toc3546_4046097046"/>
      <w:bookmarkEnd w:id="324"/>
      <w:r>
        <w:rPr/>
        <w:t>Интегрируемость: REST API позволяет легко интегрироваться с различными системами</w:t>
      </w:r>
    </w:p>
    <w:p>
      <w:pPr>
        <w:pStyle w:val="Normal"/>
        <w:rPr/>
      </w:pPr>
      <w:r>
        <w:rPr/>
      </w:r>
    </w:p>
    <w:p>
      <w:pPr>
        <w:pStyle w:val="Normal"/>
        <w:rPr/>
      </w:pPr>
      <w:bookmarkStart w:id="325" w:name="__RefHeading___Toc3548_4046097046"/>
      <w:bookmarkEnd w:id="325"/>
      <w:r>
        <w:rPr/>
        <w:tab/>
        <w:t>Экономическая эффективность решения обеспечивается за счет:</w:t>
      </w:r>
    </w:p>
    <w:p>
      <w:pPr>
        <w:pStyle w:val="Normal"/>
        <w:numPr>
          <w:ilvl w:val="0"/>
          <w:numId w:val="22"/>
        </w:numPr>
        <w:rPr/>
      </w:pPr>
      <w:bookmarkStart w:id="326" w:name="__RefHeading___Toc3550_4046097046"/>
      <w:bookmarkEnd w:id="326"/>
      <w:r>
        <w:rPr/>
        <w:t>Использования API "Репутация" с оплатой по запросам (2,5 рубля за проверку)</w:t>
      </w:r>
    </w:p>
    <w:p>
      <w:pPr>
        <w:pStyle w:val="Normal"/>
        <w:numPr>
          <w:ilvl w:val="0"/>
          <w:numId w:val="22"/>
        </w:numPr>
        <w:rPr/>
      </w:pPr>
      <w:bookmarkStart w:id="327" w:name="__RefHeading___Toc3552_4046097046"/>
      <w:bookmarkEnd w:id="327"/>
      <w:r>
        <w:rPr/>
        <w:t>Отсутствия ограничений на количество проверяемых организаций</w:t>
      </w:r>
    </w:p>
    <w:p>
      <w:pPr>
        <w:pStyle w:val="Normal"/>
        <w:numPr>
          <w:ilvl w:val="0"/>
          <w:numId w:val="22"/>
        </w:numPr>
        <w:rPr/>
      </w:pPr>
      <w:bookmarkStart w:id="328" w:name="__RefHeading___Toc3554_4046097046"/>
      <w:bookmarkEnd w:id="328"/>
      <w:r>
        <w:rPr/>
        <w:t>Минимизации затрат на инфраструктуру благодаря облачной архитектуре</w:t>
      </w:r>
    </w:p>
    <w:p>
      <w:pPr>
        <w:pStyle w:val="Normal"/>
        <w:rPr/>
      </w:pPr>
      <w:r>
        <w:rPr/>
      </w:r>
    </w:p>
    <w:p>
      <w:pPr>
        <w:pStyle w:val="Normal"/>
        <w:rPr/>
      </w:pPr>
      <w:bookmarkStart w:id="329" w:name="__RefHeading___Toc3556_4046097046"/>
      <w:bookmarkEnd w:id="329"/>
      <w:r>
        <w:rPr/>
        <w:tab/>
        <w:t>Данная архитектура позволяет сочетать преимущества платформы 1С:Предприятие для работы с бизнес-логикой и Python-стека для реализации сложных алгоритмов машинного обучения, обеспечивая высокую точность оценок при минимальных эксплуатационных затратах.</w:t>
      </w:r>
      <w:r>
        <w:br w:type="page"/>
      </w:r>
    </w:p>
    <w:p>
      <w:pPr>
        <w:pStyle w:val="Heading1"/>
        <w:spacing w:lineRule="auto" w:line="259" w:before="0" w:after="0"/>
        <w:ind w:hanging="0" w:left="0"/>
        <w:rPr>
          <w:rFonts w:ascii="Times New Roman" w:hAnsi="Times New Roman"/>
          <w:b w:val="false"/>
          <w:color w:val="auto"/>
        </w:rPr>
      </w:pPr>
      <w:bookmarkStart w:id="330" w:name="__RefHeading___Toc22201_2829662935"/>
      <w:bookmarkEnd w:id="330"/>
      <w:r>
        <w:rPr>
          <w:b w:val="false"/>
          <w:color w:val="auto"/>
          <w:lang w:val="ru-RU"/>
        </w:rPr>
        <w:t>4.</w:t>
      </w:r>
      <w:r>
        <w:rPr>
          <w:b w:val="false"/>
          <w:color w:val="auto"/>
          <w:lang w:val="en-US"/>
        </w:rPr>
        <w:t xml:space="preserve"> </w:t>
      </w:r>
      <w:bookmarkStart w:id="331" w:name="_Toc509339948"/>
      <w:bookmarkStart w:id="332" w:name="_Toc509663666"/>
      <w:bookmarkStart w:id="333" w:name="_Toc515887000"/>
      <w:bookmarkStart w:id="334" w:name="_Toc483260915"/>
      <w:r>
        <w:rPr>
          <w:b w:val="false"/>
          <w:color w:val="auto"/>
        </w:rPr>
        <w:t>Тестирование и опытная эксплуатация информационной системы</w:t>
      </w:r>
      <w:bookmarkEnd w:id="331"/>
      <w:bookmarkEnd w:id="332"/>
      <w:bookmarkEnd w:id="333"/>
      <w:bookmarkEnd w:id="334"/>
    </w:p>
    <w:p>
      <w:pPr>
        <w:pStyle w:val="ListParagraph"/>
        <w:spacing w:lineRule="auto" w:line="360" w:before="0" w:after="0"/>
        <w:ind w:firstLine="709" w:left="0"/>
        <w:contextualSpacing/>
        <w:jc w:val="both"/>
        <w:rPr>
          <w:rFonts w:ascii="Times New Roman" w:hAnsi="Times New Roman"/>
          <w:sz w:val="28"/>
          <w:szCs w:val="28"/>
        </w:rPr>
      </w:pPr>
      <w:r>
        <w:rPr>
          <w:sz w:val="28"/>
          <w:szCs w:val="28"/>
        </w:rPr>
      </w:r>
    </w:p>
    <w:p>
      <w:pPr>
        <w:pStyle w:val="ListParagraph"/>
        <w:spacing w:lineRule="auto" w:line="360" w:before="0" w:after="0"/>
        <w:ind w:firstLine="709" w:left="0"/>
        <w:contextualSpacing/>
        <w:jc w:val="both"/>
        <w:rPr>
          <w:rFonts w:ascii="Times New Roman" w:hAnsi="Times New Roman"/>
          <w:sz w:val="28"/>
          <w:szCs w:val="28"/>
        </w:rPr>
      </w:pPr>
      <w:r>
        <w:rPr>
          <w:sz w:val="28"/>
          <w:szCs w:val="28"/>
        </w:rPr>
        <w:t>Целью тестирования ставится выяснение обстоятельств, в которых поведение программы не соответствует спецификации. Для обнаружения всех ошибок в программе необходимо выполнить исчерпывающее тестирование, то есть тестирование на всевозможных наборах данных. [23]</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После реализации информационной системы необходимо провести функциональное тестирование и осуществить отладку информационной системы.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Основная задача тестирования состоит в поиске отсутствующих или неправильно выполняемых функций с целью оценки, насколько хорошо модуль программы отвечает заявленным требованиям. Функциональные тесты подтверждают правильность данных на входе и выходе.</w:t>
      </w:r>
    </w:p>
    <w:p>
      <w:pPr>
        <w:pStyle w:val="Normal"/>
        <w:suppressAutoHyphens w:val="true"/>
        <w:spacing w:lineRule="auto" w:line="360" w:before="0" w:after="0"/>
        <w:ind w:firstLine="709"/>
        <w:jc w:val="both"/>
        <w:rPr>
          <w:rFonts w:ascii="Times New Roman" w:hAnsi="Times New Roman" w:cs="Times New Roman"/>
          <w:sz w:val="28"/>
          <w:szCs w:val="28"/>
        </w:rPr>
      </w:pPr>
      <w:bookmarkStart w:id="335" w:name="OLE_LINK86"/>
      <w:r>
        <w:rPr>
          <w:rFonts w:cs="Times New Roman"/>
          <w:sz w:val="28"/>
          <w:szCs w:val="28"/>
        </w:rPr>
        <w:t>В процессе проведения локальной отладки разработанного модуля были выполнены следующие тесты:</w:t>
      </w:r>
      <w:bookmarkEnd w:id="335"/>
    </w:p>
    <w:p>
      <w:pPr>
        <w:pStyle w:val="Normal"/>
        <w:numPr>
          <w:ilvl w:val="0"/>
          <w:numId w:val="26"/>
        </w:numPr>
        <w:suppressAutoHyphens w:val="true"/>
        <w:spacing w:lineRule="auto" w:line="360" w:before="0" w:after="0"/>
        <w:jc w:val="both"/>
        <w:rPr/>
      </w:pPr>
      <w:r>
        <w:rPr>
          <w:rFonts w:cs="Times New Roman"/>
          <w:sz w:val="28"/>
          <w:szCs w:val="28"/>
        </w:rPr>
        <w:t>Загрузка программы;</w:t>
      </w:r>
    </w:p>
    <w:p>
      <w:pPr>
        <w:pStyle w:val="Normal"/>
        <w:numPr>
          <w:ilvl w:val="0"/>
          <w:numId w:val="26"/>
        </w:numPr>
        <w:suppressAutoHyphens w:val="true"/>
        <w:spacing w:lineRule="auto" w:line="360" w:before="0" w:after="0"/>
        <w:jc w:val="both"/>
        <w:rPr/>
      </w:pPr>
      <w:r>
        <w:rPr>
          <w:rFonts w:cs="Times New Roman"/>
          <w:sz w:val="28"/>
          <w:szCs w:val="28"/>
        </w:rPr>
        <w:t>Ввод пустого поля ИНН;</w:t>
      </w:r>
    </w:p>
    <w:p>
      <w:pPr>
        <w:pStyle w:val="Normal"/>
        <w:numPr>
          <w:ilvl w:val="0"/>
          <w:numId w:val="26"/>
        </w:numPr>
        <w:suppressAutoHyphens w:val="true"/>
        <w:spacing w:lineRule="auto" w:line="360" w:before="0" w:after="0"/>
        <w:jc w:val="both"/>
        <w:rPr/>
      </w:pPr>
      <w:r>
        <w:rPr>
          <w:rFonts w:cs="Times New Roman"/>
          <w:sz w:val="28"/>
          <w:szCs w:val="28"/>
        </w:rPr>
        <w:t>Ввод пустого поля КПП;</w:t>
      </w:r>
    </w:p>
    <w:p>
      <w:pPr>
        <w:pStyle w:val="Normal"/>
        <w:numPr>
          <w:ilvl w:val="0"/>
          <w:numId w:val="26"/>
        </w:numPr>
        <w:suppressAutoHyphens w:val="true"/>
        <w:spacing w:lineRule="auto" w:line="360" w:before="0" w:after="0"/>
        <w:jc w:val="both"/>
        <w:rPr/>
      </w:pPr>
      <w:r>
        <w:rPr>
          <w:rFonts w:cs="Times New Roman"/>
          <w:sz w:val="28"/>
          <w:szCs w:val="28"/>
        </w:rPr>
        <w:t>Ввод ИНН несуществующей компании;</w:t>
      </w:r>
    </w:p>
    <w:p>
      <w:pPr>
        <w:pStyle w:val="Normal"/>
        <w:numPr>
          <w:ilvl w:val="0"/>
          <w:numId w:val="26"/>
        </w:numPr>
        <w:suppressAutoHyphens w:val="true"/>
        <w:spacing w:lineRule="auto" w:line="360" w:before="0" w:after="0"/>
        <w:jc w:val="both"/>
        <w:rPr/>
      </w:pPr>
      <w:r>
        <w:rPr>
          <w:rFonts w:cs="Times New Roman"/>
          <w:sz w:val="28"/>
          <w:szCs w:val="28"/>
        </w:rPr>
        <w:t>Попытка провести анализ при пустой выборке поставщиков.</w:t>
      </w:r>
    </w:p>
    <w:p>
      <w:pPr>
        <w:pStyle w:val="Normal"/>
        <w:numPr>
          <w:ilvl w:val="0"/>
          <w:numId w:val="26"/>
        </w:numPr>
        <w:rPr/>
      </w:pPr>
      <w:r>
        <w:rPr/>
        <w:t>Анализ сформированной выборки поставщиков</w:t>
      </w:r>
    </w:p>
    <w:p>
      <w:pPr>
        <w:pStyle w:val="Normal"/>
        <w:numPr>
          <w:ilvl w:val="0"/>
          <w:numId w:val="26"/>
        </w:numPr>
        <w:rPr/>
      </w:pPr>
      <w:r>
        <w:rPr/>
        <w:t>Выход из программы</w:t>
      </w:r>
    </w:p>
    <w:p>
      <w:pPr>
        <w:pStyle w:val="Normal"/>
        <w:suppressAutoHyphens w:val="true"/>
        <w:spacing w:lineRule="auto" w:line="360" w:before="0" w:after="0"/>
        <w:ind w:firstLine="709"/>
        <w:jc w:val="both"/>
        <w:rPr>
          <w:rFonts w:ascii="Times New Roman" w:hAnsi="Times New Roman" w:cs="Times New Roman"/>
          <w:sz w:val="28"/>
          <w:szCs w:val="28"/>
        </w:rPr>
      </w:pPr>
      <w:r>
        <w:rPr>
          <w:rFonts w:cs="Times New Roman"/>
          <w:sz w:val="28"/>
          <w:szCs w:val="28"/>
        </w:rPr>
        <w:t xml:space="preserve">В ходе локального тестирования ошибок обнаружено не было, </w:t>
      </w:r>
      <w:bookmarkStart w:id="336" w:name="_Toc287542792"/>
      <w:r>
        <w:rPr>
          <w:rFonts w:cs="Times New Roman"/>
          <w:sz w:val="28"/>
          <w:szCs w:val="28"/>
        </w:rPr>
        <w:t>таким образом, разработанная информационная система показала себя как стабильное и надежное приложение</w:t>
      </w:r>
      <w:bookmarkEnd w:id="336"/>
      <w:r>
        <w:rPr>
          <w:rFonts w:cs="Times New Roman"/>
          <w:sz w:val="28"/>
          <w:szCs w:val="28"/>
        </w:rPr>
        <w:t>.</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firstLine="709" w:left="0"/>
        <w:jc w:val="center"/>
        <w:rPr>
          <w:rFonts w:ascii="Times New Roman" w:hAnsi="Times New Roman"/>
          <w:b w:val="false"/>
          <w:color w:val="auto"/>
        </w:rPr>
      </w:pPr>
      <w:bookmarkStart w:id="337" w:name="__RefHeading___Toc22203_2829662935"/>
      <w:bookmarkEnd w:id="337"/>
      <w:r>
        <w:rPr>
          <w:b w:val="false"/>
          <w:color w:val="auto"/>
          <w:lang w:val="ru-RU"/>
        </w:rPr>
        <w:t>5</w:t>
      </w:r>
      <w:bookmarkStart w:id="338" w:name="_Toc515887001"/>
      <w:r>
        <w:rPr>
          <w:b w:val="false"/>
          <w:color w:val="auto"/>
          <w:lang w:val="en-US"/>
        </w:rPr>
        <w:t xml:space="preserve">. </w:t>
      </w:r>
      <w:r>
        <w:rPr>
          <w:b w:val="false"/>
          <w:color w:val="auto"/>
        </w:rPr>
        <w:t>Оценка экономической эффективности проекта</w:t>
      </w:r>
      <w:bookmarkEnd w:id="338"/>
    </w:p>
    <w:p>
      <w:pPr>
        <w:pStyle w:val="Normal"/>
        <w:jc w:val="center"/>
        <w:rPr>
          <w:rFonts w:ascii="Times New Roman" w:hAnsi="Times New Roman"/>
          <w:b w:val="false"/>
          <w:color w:val="auto"/>
        </w:rPr>
      </w:pPr>
      <w:bookmarkStart w:id="339" w:name="__RefHeading___Toc22205_2829662935"/>
      <w:bookmarkEnd w:id="339"/>
      <w:r>
        <w:rPr>
          <w:b w:val="false"/>
          <w:color w:val="auto"/>
        </w:rPr>
        <w:t xml:space="preserve">5.1. </w:t>
      </w:r>
      <w:bookmarkStart w:id="340" w:name="_Toc515887002"/>
      <w:bookmarkStart w:id="341" w:name="_Toc484018865"/>
      <w:r>
        <w:rPr>
          <w:b w:val="false"/>
          <w:color w:val="auto"/>
        </w:rPr>
        <w:t>Расчет затрат на разработку</w:t>
      </w:r>
      <w:bookmarkEnd w:id="340"/>
      <w:bookmarkEnd w:id="341"/>
    </w:p>
    <w:p>
      <w:pPr>
        <w:pStyle w:val="Normal"/>
        <w:spacing w:lineRule="auto" w:line="360" w:before="0" w:after="0"/>
        <w:ind w:firstLine="709"/>
        <w:jc w:val="both"/>
        <w:rPr>
          <w:rFonts w:ascii="Times New Roman" w:hAnsi="Times New Roman" w:cs="Times New Roman"/>
          <w:sz w:val="28"/>
          <w:szCs w:val="28"/>
          <w:lang w:val="en-US" w:eastAsia="ru-RU"/>
        </w:rPr>
      </w:pPr>
      <w:r>
        <w:rPr>
          <w:rFonts w:cs="Times New Roman"/>
          <w:sz w:val="28"/>
          <w:szCs w:val="28"/>
          <w:lang w:eastAsia="ru-RU"/>
        </w:rPr>
        <w:t>Возможность реализации проекта разработки информационной системы обуславливается его экономической целесообразностью. Для этого необходимо рассчитать:</w:t>
      </w:r>
      <w:r>
        <w:rPr>
          <w:rFonts w:cs="Times New Roman"/>
          <w:sz w:val="28"/>
          <w:szCs w:val="28"/>
          <w:lang w:val="en-US" w:eastAsia="ru-RU"/>
        </w:rPr>
        <w:t xml:space="preserve"> [24]</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количество и стоимость временных ресурсов, которые были затрачены на разработку информационной системы;</w:t>
      </w:r>
    </w:p>
    <w:p>
      <w:pPr>
        <w:pStyle w:val="Normal"/>
        <w:numPr>
          <w:ilvl w:val="0"/>
          <w:numId w:val="3"/>
        </w:numPr>
        <w:spacing w:lineRule="auto" w:line="360" w:before="0" w:after="0"/>
        <w:ind w:firstLine="709" w:left="0"/>
        <w:jc w:val="both"/>
        <w:rPr>
          <w:rFonts w:ascii="Times New Roman" w:hAnsi="Times New Roman" w:cs="Times New Roman"/>
          <w:sz w:val="28"/>
          <w:szCs w:val="28"/>
          <w:lang w:eastAsia="ru-RU"/>
        </w:rPr>
      </w:pPr>
      <w:r>
        <w:rPr>
          <w:rFonts w:cs="Times New Roman"/>
          <w:sz w:val="28"/>
          <w:szCs w:val="28"/>
          <w:lang w:eastAsia="ru-RU"/>
        </w:rPr>
        <w:t>техническое обслуживание информационной системы.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Выполнение проекта было разделено на стадии, описание которых представлено в  таблице 5.1.</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Таблица 5.1.</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Стадии выполнения проекта</w:t>
      </w:r>
    </w:p>
    <w:tbl>
      <w:tblPr>
        <w:tblW w:w="9379" w:type="dxa"/>
        <w:jc w:val="left"/>
        <w:tblInd w:w="-34" w:type="dxa"/>
        <w:tblLayout w:type="fixed"/>
        <w:tblCellMar>
          <w:top w:w="0" w:type="dxa"/>
          <w:left w:w="108" w:type="dxa"/>
          <w:bottom w:w="0" w:type="dxa"/>
          <w:right w:w="108" w:type="dxa"/>
        </w:tblCellMar>
      </w:tblPr>
      <w:tblGrid>
        <w:gridCol w:w="2433"/>
        <w:gridCol w:w="4600"/>
        <w:gridCol w:w="2346"/>
      </w:tblGrid>
      <w:tr>
        <w:trPr>
          <w:trHeight w:val="200" w:hRule="atLeast"/>
        </w:trPr>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Стадия разработки</w:t>
            </w:r>
          </w:p>
        </w:tc>
        <w:tc>
          <w:tcPr>
            <w:tcW w:w="46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Описание работы</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8"/>
                <w:lang w:eastAsia="ru-RU"/>
              </w:rPr>
            </w:pPr>
            <w:r>
              <w:rPr>
                <w:rFonts w:cs="Times New Roman"/>
                <w:sz w:val="24"/>
                <w:szCs w:val="28"/>
                <w:lang w:eastAsia="ru-RU"/>
              </w:rPr>
              <w:t>Трудоемкость (час.)</w:t>
            </w:r>
          </w:p>
        </w:tc>
      </w:tr>
      <w:tr>
        <w:trPr>
          <w:trHeight w:val="70" w:hRule="atLeast"/>
        </w:trPr>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Постановка задачи</w:t>
            </w:r>
          </w:p>
        </w:tc>
        <w:tc>
          <w:tcPr>
            <w:tcW w:w="46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Предпроектное исследование.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12</w:t>
            </w:r>
          </w:p>
        </w:tc>
      </w:tr>
      <w:tr>
        <w:trPr>
          <w:trHeight w:val="251" w:hRule="atLeast"/>
        </w:trPr>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Проектирование</w:t>
            </w:r>
          </w:p>
        </w:tc>
        <w:tc>
          <w:tcPr>
            <w:tcW w:w="46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Уточнение структуры и типов входных и выходных данных. Разработка алгоритма решения задачи. Создание планов по разработке и внедрению проекта.</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40</w:t>
            </w:r>
          </w:p>
        </w:tc>
      </w:tr>
      <w:tr>
        <w:trPr>
          <w:trHeight w:val="70" w:hRule="atLeast"/>
        </w:trPr>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ПО</w:t>
            </w:r>
          </w:p>
        </w:tc>
        <w:tc>
          <w:tcPr>
            <w:tcW w:w="46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Написание программы, внедрение, первичная отладка, тестирование.</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81</w:t>
            </w:r>
          </w:p>
        </w:tc>
      </w:tr>
      <w:tr>
        <w:trPr>
          <w:trHeight w:val="104" w:hRule="atLeast"/>
        </w:trPr>
        <w:tc>
          <w:tcPr>
            <w:tcW w:w="243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Документирование и внедрение</w:t>
            </w:r>
          </w:p>
        </w:tc>
        <w:tc>
          <w:tcPr>
            <w:tcW w:w="46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8"/>
                <w:lang w:eastAsia="ru-RU"/>
              </w:rPr>
            </w:pPr>
            <w:r>
              <w:rPr>
                <w:rFonts w:cs="Times New Roman"/>
                <w:sz w:val="24"/>
                <w:szCs w:val="28"/>
                <w:lang w:eastAsia="ru-RU"/>
              </w:rPr>
              <w:t>Разработка документации. Сдача программы и программной документации.</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25</w:t>
            </w:r>
          </w:p>
        </w:tc>
      </w:tr>
      <w:tr>
        <w:trPr>
          <w:trHeight w:val="126" w:hRule="atLeast"/>
        </w:trPr>
        <w:tc>
          <w:tcPr>
            <w:tcW w:w="7033" w:type="dxa"/>
            <w:gridSpan w:val="2"/>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ИТОГО:</w:t>
            </w:r>
          </w:p>
        </w:tc>
        <w:tc>
          <w:tcPr>
            <w:tcW w:w="2346"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right"/>
              <w:rPr>
                <w:rFonts w:ascii="Times New Roman" w:hAnsi="Times New Roman" w:cs="Times New Roman"/>
                <w:sz w:val="24"/>
                <w:szCs w:val="28"/>
                <w:lang w:eastAsia="ru-RU"/>
              </w:rPr>
            </w:pPr>
            <w:r>
              <w:rPr>
                <w:rFonts w:cs="Times New Roman"/>
                <w:sz w:val="24"/>
                <w:szCs w:val="28"/>
                <w:lang w:eastAsia="ru-RU"/>
              </w:rPr>
              <w:t>158</w:t>
            </w:r>
          </w:p>
        </w:tc>
      </w:tr>
    </w:tbl>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Коэффициент сложности задачи  с  - характеризует относительную сложность программы по отношению к так называемой типовой задаче, сложность которой принята равной единице (величина с лежит в пределах от 0,5 до 1,5). Так как программа является сложной, ей присваивается максимальное значение. Поэтому для разрабатываемой информационной системы сложность задачи берем 1,5.</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i/>
          <w:sz w:val="28"/>
          <w:szCs w:val="28"/>
          <w:lang w:eastAsia="ru-RU"/>
        </w:rPr>
        <w:t>c</w:t>
      </w:r>
      <w:r>
        <w:rPr>
          <w:rFonts w:cs="Times New Roman"/>
          <w:sz w:val="28"/>
          <w:szCs w:val="28"/>
          <w:lang w:eastAsia="ru-RU"/>
        </w:rPr>
        <w:t xml:space="preserve"> = 1,5 (коэффициент сложности программы)</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Коэффициент коррекции программы  </w:t>
      </w:r>
      <w:r>
        <w:rPr>
          <w:rFonts w:cs="Times New Roman"/>
          <w:i/>
          <w:sz w:val="28"/>
          <w:szCs w:val="28"/>
          <w:lang w:eastAsia="ru-RU"/>
        </w:rPr>
        <w:t>p</w:t>
      </w:r>
      <w:r>
        <w:rPr>
          <w:rFonts w:cs="Times New Roman"/>
          <w:sz w:val="28"/>
          <w:szCs w:val="28"/>
          <w:lang w:eastAsia="ru-RU"/>
        </w:rPr>
        <w:t xml:space="preserve">  - увеличение объема работ за счет внесения изменений в алгоритм или программу по результатам уточнения постановок (меняется от 0,1 до 0,5). Во время разработки информационной системы я хорошо представлял себе конечный результат, исходя из этого, будем использовать коэффициент равный 0,1.</w:t>
      </w:r>
    </w:p>
    <w:p>
      <w:pPr>
        <w:pStyle w:val="Normal"/>
        <w:spacing w:lineRule="auto" w:line="360" w:before="0" w:after="0"/>
        <w:ind w:firstLine="709"/>
        <w:rPr>
          <w:rFonts w:ascii="Times New Roman" w:hAnsi="Times New Roman" w:cs="Times New Roman"/>
          <w:sz w:val="28"/>
          <w:szCs w:val="28"/>
          <w:lang w:eastAsia="ru-RU"/>
        </w:rPr>
      </w:pPr>
      <w:r>
        <w:rPr>
          <w:rFonts w:cs="Times New Roman"/>
          <w:i/>
          <w:sz w:val="28"/>
          <w:szCs w:val="28"/>
          <w:lang w:eastAsia="ru-RU"/>
        </w:rPr>
        <w:t>p</w:t>
      </w:r>
      <w:r>
        <w:rPr>
          <w:rFonts w:cs="Times New Roman"/>
          <w:sz w:val="28"/>
          <w:szCs w:val="28"/>
          <w:lang w:eastAsia="ru-RU"/>
        </w:rPr>
        <w:t xml:space="preserve"> = 0,1 - коэффициент коррекции программы в ходе разработки.</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При расчете основной заработной платы следует учитывать следующие коэффициенты:</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увеличения затрат труда, вследствие недостаточного описания задачи. В зависимости от сложности задачи принимается от 1 до 1,5. Так как задача была поставлена в общем виде, то </w:t>
      </w:r>
      <w:r>
        <w:rPr>
          <w:rFonts w:eastAsia="SimSun" w:cs="Times New Roman"/>
          <w:i/>
          <w:sz w:val="28"/>
          <w:szCs w:val="28"/>
        </w:rPr>
        <w:t>b</w:t>
      </w:r>
      <w:r>
        <w:rPr>
          <w:rFonts w:eastAsia="SimSun" w:cs="Times New Roman"/>
          <w:sz w:val="28"/>
          <w:szCs w:val="28"/>
        </w:rPr>
        <w:t xml:space="preserve"> = 1,4. </w:t>
      </w:r>
    </w:p>
    <w:p>
      <w:pPr>
        <w:pStyle w:val="ListParagraph"/>
        <w:numPr>
          <w:ilvl w:val="0"/>
          <w:numId w:val="5"/>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 xml:space="preserve">Коэффициент квалификации разработчика </w:t>
      </w:r>
      <w:r>
        <w:rPr>
          <w:rFonts w:eastAsia="SimSun" w:cs="Times New Roman"/>
          <w:i/>
          <w:sz w:val="28"/>
          <w:szCs w:val="28"/>
        </w:rPr>
        <w:t>k</w:t>
      </w:r>
      <w:r>
        <w:rPr>
          <w:rFonts w:eastAsia="SimSun" w:cs="Times New Roman"/>
          <w:sz w:val="28"/>
          <w:szCs w:val="28"/>
        </w:rPr>
        <w:t xml:space="preserve"> определяется в зависимости от стажа работы и составляет: для работающих до двух лет - 0,8; от трех лет до пяти лет - 1,0; от пяти до восьми - 1,2; свыше восьми лет -1,5. Поскольку стажа работы по специальности у меня нет, возьмем </w:t>
      </w:r>
      <w:r>
        <w:rPr>
          <w:rFonts w:eastAsia="SimSun" w:cs="Times New Roman"/>
          <w:i/>
          <w:sz w:val="28"/>
          <w:szCs w:val="28"/>
        </w:rPr>
        <w:t>k</w:t>
      </w:r>
      <w:r>
        <w:rPr>
          <w:rFonts w:eastAsia="SimSun" w:cs="Times New Roman"/>
          <w:sz w:val="28"/>
          <w:szCs w:val="28"/>
        </w:rPr>
        <w:t xml:space="preserve"> = 0,8.</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Расчёт фонда заработной платы (ФЗП) разработчика с учётом всех выше перечисленных коэффициентов выводится по формуле: </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 xml:space="preserve">ФЗП  =  ЗПср * </w:t>
      </w:r>
      <w:r>
        <w:rPr>
          <w:rFonts w:cs="Times New Roman"/>
          <w:i/>
          <w:sz w:val="28"/>
          <w:szCs w:val="28"/>
          <w:lang w:eastAsia="ru-RU"/>
        </w:rPr>
        <w:t>c</w:t>
      </w:r>
      <w:r>
        <w:rPr>
          <w:rFonts w:cs="Times New Roman"/>
          <w:sz w:val="28"/>
          <w:szCs w:val="28"/>
          <w:lang w:eastAsia="ru-RU"/>
        </w:rPr>
        <w:t xml:space="preserve"> * (</w:t>
      </w:r>
      <w:r>
        <w:rPr>
          <w:rFonts w:cs="Times New Roman"/>
          <w:i/>
          <w:sz w:val="28"/>
          <w:szCs w:val="28"/>
          <w:lang w:eastAsia="ru-RU"/>
        </w:rPr>
        <w:t>p</w:t>
      </w:r>
      <w:r>
        <w:rPr>
          <w:rFonts w:cs="Times New Roman"/>
          <w:sz w:val="28"/>
          <w:szCs w:val="28"/>
          <w:lang w:eastAsia="ru-RU"/>
        </w:rPr>
        <w:t xml:space="preserve">+1) * </w:t>
      </w:r>
      <w:r>
        <w:rPr>
          <w:rFonts w:cs="Times New Roman"/>
          <w:i/>
          <w:sz w:val="28"/>
          <w:szCs w:val="28"/>
          <w:lang w:eastAsia="ru-RU"/>
        </w:rPr>
        <w:t>b</w:t>
      </w:r>
      <w:r>
        <w:rPr>
          <w:rFonts w:cs="Times New Roman"/>
          <w:sz w:val="28"/>
          <w:szCs w:val="28"/>
          <w:lang w:eastAsia="ru-RU"/>
        </w:rPr>
        <w:t xml:space="preserve"> * </w:t>
      </w:r>
      <w:r>
        <w:rPr>
          <w:rFonts w:cs="Times New Roman"/>
          <w:i/>
          <w:sz w:val="28"/>
          <w:szCs w:val="28"/>
          <w:lang w:eastAsia="ru-RU"/>
        </w:rPr>
        <w:t>k</w:t>
      </w:r>
      <w:r>
        <w:rPr>
          <w:rFonts w:cs="Times New Roman"/>
          <w:sz w:val="28"/>
          <w:szCs w:val="28"/>
          <w:lang w:eastAsia="ru-RU"/>
        </w:rPr>
        <w:t xml:space="preserve">                                  (1)</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ЗПср– средняя заработная плата разработчика данного предприятия или фирмы, составляющая 20 000 руб/месяц.</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ФЗП  =  (20000 руб.  * 1,5 * (0,1 + 1) * 1,4 * 0,8) = 36 960 руб./мес,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Поскольку дополнительная заработная плата в виде доплат и премий разработчику программного продукта за время выполнения работ не выплачивалась, то заработная плата основная будет равна заработной плате суммарной.</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Страховые отчисления (Со) берутся в размере 26% от заработной платы:</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Со = (З/Посн /100*26)                                           (2)</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Со = 36 960/100*26 = 9 609,6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Суммарные затраты предприятия или фирмы за время разработки программного продукта с учётом страховых отчислений составит:</w:t>
      </w:r>
    </w:p>
    <w:p>
      <w:pPr>
        <w:pStyle w:val="Normal"/>
        <w:spacing w:lineRule="auto" w:line="360" w:before="0" w:after="0"/>
        <w:ind w:firstLine="709"/>
        <w:jc w:val="right"/>
        <w:rPr>
          <w:rFonts w:ascii="Times New Roman" w:hAnsi="Times New Roman" w:cs="Times New Roman"/>
          <w:sz w:val="28"/>
          <w:szCs w:val="28"/>
          <w:lang w:eastAsia="ru-RU"/>
        </w:rPr>
      </w:pPr>
      <w:r>
        <w:rPr>
          <w:rFonts w:cs="Times New Roman"/>
          <w:sz w:val="28"/>
          <w:szCs w:val="28"/>
          <w:lang w:eastAsia="ru-RU"/>
        </w:rPr>
        <w:t>Зобщ = (З/Посн + Со)                                            (3)</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Зобщ = 36 960 + 9 609,6 = 43 923,6 руб.</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где 176 – количество рабочих часов в месяц (8 часов * 22 рабочих дня)</w:t>
      </w:r>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r>
    </w:p>
    <w:p>
      <w:pPr>
        <w:pStyle w:val="Normal"/>
        <w:jc w:val="center"/>
        <w:rPr>
          <w:rFonts w:ascii="Times New Roman" w:hAnsi="Times New Roman"/>
          <w:b w:val="false"/>
          <w:color w:val="auto"/>
        </w:rPr>
      </w:pPr>
      <w:bookmarkStart w:id="342" w:name="__RefHeading___Toc22207_2829662935"/>
      <w:bookmarkEnd w:id="342"/>
      <w:r>
        <w:rPr>
          <w:b w:val="false"/>
          <w:color w:val="auto"/>
        </w:rPr>
        <w:t xml:space="preserve">5.2. </w:t>
      </w:r>
      <w:bookmarkStart w:id="343" w:name="_Toc484018866"/>
      <w:bookmarkStart w:id="344" w:name="_Toc515887003"/>
      <w:r>
        <w:rPr>
          <w:b w:val="false"/>
          <w:color w:val="auto"/>
        </w:rPr>
        <w:t>Содержание и эксплуатация вычислительное техники</w:t>
      </w:r>
      <w:bookmarkEnd w:id="343"/>
      <w:bookmarkEnd w:id="344"/>
    </w:p>
    <w:p>
      <w:pPr>
        <w:pStyle w:val="Normal"/>
        <w:spacing w:lineRule="auto" w:line="360" w:before="0" w:after="0"/>
        <w:ind w:firstLine="709"/>
        <w:rPr>
          <w:rFonts w:ascii="Times New Roman" w:hAnsi="Times New Roman" w:cs="Times New Roman"/>
          <w:sz w:val="28"/>
          <w:szCs w:val="28"/>
          <w:lang w:eastAsia="ru-RU"/>
        </w:rPr>
      </w:pPr>
      <w:r>
        <w:rPr>
          <w:rFonts w:cs="Times New Roman"/>
          <w:sz w:val="28"/>
          <w:szCs w:val="28"/>
          <w:lang w:eastAsia="ru-RU"/>
        </w:rPr>
        <w:t>Для расчета данного вида затрат необходимо иметь значения следующих показаний:</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стоимость электроэнергии;</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амортизационные отчисления;</w:t>
      </w:r>
    </w:p>
    <w:p>
      <w:pPr>
        <w:pStyle w:val="ListParagraph"/>
        <w:numPr>
          <w:ilvl w:val="2"/>
          <w:numId w:val="4"/>
        </w:numPr>
        <w:spacing w:lineRule="auto" w:line="360" w:before="0" w:after="0"/>
        <w:ind w:firstLine="709" w:left="0"/>
        <w:contextualSpacing/>
        <w:jc w:val="both"/>
        <w:rPr>
          <w:rFonts w:ascii="Times New Roman" w:hAnsi="Times New Roman" w:eastAsia="SimSun" w:cs="Times New Roman"/>
          <w:sz w:val="28"/>
          <w:szCs w:val="28"/>
        </w:rPr>
      </w:pPr>
      <w:r>
        <w:rPr>
          <w:rFonts w:eastAsia="SimSun" w:cs="Times New Roman"/>
          <w:sz w:val="28"/>
          <w:szCs w:val="28"/>
        </w:rPr>
        <w:t>техническое обслуживание.</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1 КВт/час электроэнергии равна 3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Один компьютер потребляет в среднем 350 Вт в час.</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 xml:space="preserve">Исходя из этих данных годовые затраты на электроэнергию, потребляемые равны: </w:t>
      </w:r>
    </w:p>
    <w:p>
      <w:pPr>
        <w:pStyle w:val="Normal"/>
        <w:spacing w:lineRule="auto" w:line="360" w:before="0" w:after="0"/>
        <w:ind w:firstLine="709"/>
        <w:jc w:val="center"/>
        <w:rPr>
          <w:rFonts w:ascii="Times New Roman" w:hAnsi="Times New Roman" w:cs="Times New Roman"/>
          <w:sz w:val="28"/>
          <w:szCs w:val="28"/>
          <w:lang w:eastAsia="ru-RU"/>
        </w:rPr>
      </w:pPr>
      <w:r>
        <w:rPr>
          <w:rFonts w:cs="Times New Roman"/>
          <w:sz w:val="28"/>
          <w:szCs w:val="28"/>
          <w:lang w:eastAsia="ru-RU"/>
        </w:rPr>
        <w:t>8 ч. * 22 дня * 12 мес. * 0,35 КВт/ч. * 3 руб. = 2217, 6 руб.</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Амортизационные отчисления зависят от срока полезного использования ПК, а так как срок эксплуатации каждого компьютера составляет 3 года, а срок его полезного использования 4 года, то необходимо исчислять амортизационные отчисления.</w:t>
      </w:r>
    </w:p>
    <w:p>
      <w:pPr>
        <w:pStyle w:val="Normal"/>
        <w:spacing w:lineRule="auto" w:line="360" w:before="0" w:after="0"/>
        <w:ind w:firstLine="709"/>
        <w:jc w:val="both"/>
        <w:rPr>
          <w:rFonts w:ascii="Times New Roman" w:hAnsi="Times New Roman" w:cs="Times New Roman"/>
          <w:sz w:val="28"/>
          <w:szCs w:val="28"/>
          <w:lang w:eastAsia="ru-RU"/>
        </w:rPr>
      </w:pPr>
      <w:r>
        <w:rPr>
          <w:rFonts w:cs="Times New Roman"/>
          <w:sz w:val="28"/>
          <w:szCs w:val="28"/>
          <w:lang w:eastAsia="ru-RU"/>
        </w:rPr>
        <w:t>Стоимость компьютера составляет 35 000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Отчисления = стоимость ПК/ срок полезного использования:</w:t>
      </w:r>
    </w:p>
    <w:p>
      <w:pPr>
        <w:pStyle w:val="Normal"/>
        <w:spacing w:lineRule="auto" w:line="360" w:before="0" w:after="0"/>
        <w:ind w:firstLine="709"/>
        <w:jc w:val="center"/>
        <w:rPr>
          <w:rFonts w:ascii="Times New Roman" w:hAnsi="Times New Roman" w:cs="Times New Roman"/>
          <w:bCs/>
          <w:sz w:val="28"/>
          <w:szCs w:val="28"/>
        </w:rPr>
      </w:pPr>
      <w:r>
        <w:rPr>
          <w:rFonts w:cs="Times New Roman"/>
          <w:bCs/>
          <w:sz w:val="28"/>
          <w:szCs w:val="28"/>
        </w:rPr>
        <w:t>35000руб. / 4 года = 8750руб.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Затраты на ремонт ПК составляют 15% от его стоимости – 1312,6 руб.</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Действительный фонд работы ПК:</w:t>
      </w:r>
    </w:p>
    <w:p>
      <w:pPr>
        <w:pStyle w:val="Normal"/>
        <w:spacing w:lineRule="auto" w:line="360" w:before="0" w:after="0"/>
        <w:ind w:firstLine="709"/>
        <w:jc w:val="right"/>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вт </w:t>
      </w:r>
      <w:r>
        <w:rPr>
          <w:rFonts w:cs="Times New Roman"/>
          <w:bCs/>
          <w:sz w:val="28"/>
          <w:szCs w:val="28"/>
        </w:rPr>
        <w:t>= Ф</w:t>
      </w:r>
      <w:r>
        <w:rPr>
          <w:rFonts w:cs="Times New Roman"/>
          <w:bCs/>
          <w:sz w:val="28"/>
          <w:szCs w:val="28"/>
          <w:vertAlign w:val="subscript"/>
        </w:rPr>
        <w:t>ном</w:t>
      </w:r>
      <w:r>
        <w:rPr>
          <w:rFonts w:cs="Times New Roman"/>
          <w:bCs/>
          <w:sz w:val="28"/>
          <w:szCs w:val="28"/>
        </w:rPr>
        <w:t xml:space="preserve"> – Ф</w:t>
      </w:r>
      <w:r>
        <w:rPr>
          <w:rFonts w:cs="Times New Roman"/>
          <w:bCs/>
          <w:sz w:val="28"/>
          <w:szCs w:val="28"/>
          <w:vertAlign w:val="subscript"/>
        </w:rPr>
        <w:t>проф</w:t>
      </w:r>
      <w:r>
        <w:rPr>
          <w:rFonts w:cs="Times New Roman"/>
          <w:bCs/>
          <w:sz w:val="28"/>
          <w:szCs w:val="28"/>
        </w:rPr>
        <w:t xml:space="preserve">                                               (4)</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ном</w:t>
      </w:r>
      <w:r>
        <w:rPr>
          <w:rFonts w:cs="Times New Roman"/>
          <w:bCs/>
          <w:sz w:val="28"/>
          <w:szCs w:val="28"/>
        </w:rPr>
        <w:t xml:space="preserve"> = 8ч.*22дня*12мес. = 2112ч. – номинальный фонд работы ПК. </w:t>
      </w:r>
    </w:p>
    <w:p>
      <w:pPr>
        <w:pStyle w:val="Normal"/>
        <w:spacing w:lineRule="auto" w:line="360" w:before="0" w:after="0"/>
        <w:ind w:firstLine="709"/>
        <w:jc w:val="both"/>
        <w:rPr>
          <w:rFonts w:ascii="Times New Roman" w:hAnsi="Times New Roman" w:cs="Times New Roman"/>
          <w:bCs/>
          <w:sz w:val="28"/>
          <w:szCs w:val="28"/>
        </w:rPr>
      </w:pPr>
      <w:r>
        <w:rPr>
          <w:rFonts w:cs="Times New Roman"/>
          <w:bCs/>
          <w:sz w:val="28"/>
          <w:szCs w:val="28"/>
        </w:rPr>
        <w:t>Ф</w:t>
      </w:r>
      <w:r>
        <w:rPr>
          <w:rFonts w:cs="Times New Roman"/>
          <w:bCs/>
          <w:sz w:val="28"/>
          <w:szCs w:val="28"/>
          <w:vertAlign w:val="subscript"/>
        </w:rPr>
        <w:t xml:space="preserve">проф </w:t>
      </w:r>
      <w:r>
        <w:rPr>
          <w:rFonts w:cs="Times New Roman"/>
          <w:bCs/>
          <w:sz w:val="28"/>
          <w:szCs w:val="28"/>
        </w:rPr>
        <w:t>= 2112/100*5 = 105,6ч. – годовые затраты времени на профилактические работы, 5% от Ф</w:t>
      </w:r>
      <w:r>
        <w:rPr>
          <w:rFonts w:cs="Times New Roman"/>
          <w:bCs/>
          <w:sz w:val="28"/>
          <w:szCs w:val="28"/>
          <w:vertAlign w:val="subscript"/>
        </w:rPr>
        <w:t>ном</w:t>
      </w:r>
      <w:r>
        <w:rPr>
          <w:rFonts w:cs="Times New Roman"/>
          <w:bCs/>
          <w:sz w:val="28"/>
          <w:szCs w:val="28"/>
        </w:rPr>
        <w:t>*Ф</w:t>
      </w:r>
      <w:r>
        <w:rPr>
          <w:rFonts w:cs="Times New Roman"/>
          <w:bCs/>
          <w:sz w:val="28"/>
          <w:szCs w:val="28"/>
          <w:vertAlign w:val="subscript"/>
        </w:rPr>
        <w:t>вт</w:t>
      </w:r>
      <w:r>
        <w:rPr>
          <w:rFonts w:cs="Times New Roman"/>
          <w:bCs/>
          <w:sz w:val="28"/>
          <w:szCs w:val="28"/>
        </w:rPr>
        <w:t xml:space="preserve"> = 2006ч.</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Стоимость машинного часа равна: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1900,8руб + 1312руб / 2006ч = 1,6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Содержание и эксплуатация вычислительного комплекса на время написания выпускной квалификационной работы составляет (данные из таблицы 11):</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158 час. * 1.6 руб. = 252, 8 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размещения на сервере со средним потреблением 650 Вт в час и по оплате электроэнергии за год составят:</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8ч. * 22дня * 12мес. * 0,65КВт/ч. * 3руб. = 4118,4руб.</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Так как компьютер для функционирования этого программного продукта уже имеется, и он удовлетворяет требованиям ПО, то новый покупать не надо. Привлечение дополнительных сотрудников также не требуется.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Затраты на разработку программного продукта приведены в таблице 5.2.</w:t>
      </w:r>
    </w:p>
    <w:p>
      <w:pPr>
        <w:pStyle w:val="Normal"/>
        <w:spacing w:lineRule="auto" w:line="360" w:before="0" w:after="0"/>
        <w:ind w:firstLine="709"/>
        <w:jc w:val="right"/>
        <w:rPr>
          <w:rFonts w:ascii="Times New Roman" w:hAnsi="Times New Roman" w:cs="Times New Roman"/>
          <w:sz w:val="28"/>
          <w:szCs w:val="28"/>
        </w:rPr>
      </w:pPr>
      <w:r>
        <w:rPr>
          <w:rFonts w:cs="Times New Roman"/>
          <w:sz w:val="28"/>
          <w:szCs w:val="28"/>
        </w:rPr>
        <w:t>Таблица 5.2</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Затраты на разработку ПО</w:t>
      </w:r>
    </w:p>
    <w:tbl>
      <w:tblPr>
        <w:tblW w:w="9498" w:type="dxa"/>
        <w:jc w:val="left"/>
        <w:tblInd w:w="-34" w:type="dxa"/>
        <w:tblLayout w:type="fixed"/>
        <w:tblCellMar>
          <w:top w:w="0" w:type="dxa"/>
          <w:left w:w="108" w:type="dxa"/>
          <w:bottom w:w="0" w:type="dxa"/>
          <w:right w:w="108" w:type="dxa"/>
        </w:tblCellMar>
      </w:tblPr>
      <w:tblGrid>
        <w:gridCol w:w="7088"/>
        <w:gridCol w:w="2409"/>
      </w:tblGrid>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Наименование расхода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Затраты (руб. )</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Основная заработная плата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val="en-US" w:eastAsia="ru-RU"/>
              </w:rPr>
            </w:pPr>
            <w:r>
              <w:rPr>
                <w:rFonts w:cs="Times New Roman"/>
                <w:sz w:val="24"/>
                <w:szCs w:val="24"/>
                <w:lang w:eastAsia="ru-RU"/>
              </w:rPr>
              <w:t>36 960</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Страховые отчисления (26% от ФЗП – фонда заработной платы)</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9 609, 6</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Содержание и эксплуатация вычислительного комплекса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252, 8</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Эксплуатация сервера</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4 118, 4</w:t>
            </w:r>
          </w:p>
        </w:tc>
      </w:tr>
      <w:tr>
        <w:trPr>
          <w:trHeight w:val="70" w:hRule="atLeast"/>
        </w:trPr>
        <w:tc>
          <w:tcPr>
            <w:tcW w:w="7088"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rPr>
                <w:rFonts w:ascii="Times New Roman" w:hAnsi="Times New Roman" w:cs="Times New Roman"/>
                <w:sz w:val="24"/>
                <w:szCs w:val="24"/>
                <w:lang w:eastAsia="ru-RU"/>
              </w:rPr>
            </w:pPr>
            <w:r>
              <w:rPr>
                <w:rFonts w:cs="Times New Roman"/>
                <w:sz w:val="24"/>
                <w:szCs w:val="24"/>
                <w:lang w:eastAsia="ru-RU"/>
              </w:rPr>
              <w:t>ИТОГО:</w:t>
            </w:r>
          </w:p>
        </w:tc>
        <w:tc>
          <w:tcPr>
            <w:tcW w:w="2409"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center"/>
              <w:rPr>
                <w:rFonts w:ascii="Times New Roman" w:hAnsi="Times New Roman" w:cs="Times New Roman"/>
                <w:sz w:val="24"/>
                <w:szCs w:val="24"/>
                <w:lang w:eastAsia="ru-RU"/>
              </w:rPr>
            </w:pPr>
            <w:r>
              <w:rPr>
                <w:rFonts w:cs="Times New Roman"/>
                <w:sz w:val="24"/>
                <w:szCs w:val="24"/>
                <w:lang w:eastAsia="ru-RU"/>
              </w:rPr>
              <w:t>50 940, 8</w:t>
            </w:r>
          </w:p>
        </w:tc>
      </w:tr>
    </w:tbl>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r>
    </w:p>
    <w:p>
      <w:pPr>
        <w:pStyle w:val="Normal"/>
        <w:jc w:val="center"/>
        <w:rPr/>
      </w:pPr>
      <w:bookmarkStart w:id="345" w:name="__RefHeading___Toc22209_2829662935"/>
      <w:bookmarkEnd w:id="345"/>
      <w:r>
        <w:rPr>
          <w:b w:val="false"/>
          <w:color w:val="auto"/>
        </w:rPr>
        <w:t xml:space="preserve">5.3. </w:t>
      </w:r>
      <w:bookmarkStart w:id="346" w:name="_Toc515887004"/>
      <w:bookmarkStart w:id="347" w:name="_Toc484018867"/>
      <w:r>
        <w:rPr>
          <w:b w:val="false"/>
          <w:color w:val="auto"/>
        </w:rPr>
        <w:t>Экономический эффект</w:t>
      </w:r>
      <w:bookmarkEnd w:id="346"/>
      <w:bookmarkEnd w:id="347"/>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 xml:space="preserve">Рассчитаем экономический эффект, получаемый за счёт повышения эффективности работы отдела закупок. Снижение трудозатрат при выборе поставщика с помощью использования разработанной информационной системы позволит повысить эффективность работы и снизить временные затраты. </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В день на функцию выбора поставщика в организации тратится 8 чел/час, при использовании разработанной информационной системы  трудозатраты сократятся в 2,5 раза и составят 3,2 чел/час.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Средняя тарифная ставка сотрудников отдела закупок – 150 руб/час</w:t>
      </w:r>
    </w:p>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t>Рассчитаем стоимость труда вариантов с использованием информационной систем и без в таблице 5.3.</w:t>
      </w:r>
    </w:p>
    <w:p>
      <w:pPr>
        <w:pStyle w:val="Normal"/>
        <w:widowControl w:val="false"/>
        <w:spacing w:lineRule="auto" w:line="360" w:before="0" w:after="0"/>
        <w:ind w:firstLine="709"/>
        <w:jc w:val="right"/>
        <w:rPr>
          <w:rFonts w:ascii="Times New Roman" w:hAnsi="Times New Roman" w:cs="Times New Roman"/>
          <w:sz w:val="28"/>
          <w:szCs w:val="28"/>
        </w:rPr>
      </w:pPr>
      <w:r>
        <w:rPr>
          <w:rFonts w:cs="Times New Roman"/>
          <w:sz w:val="28"/>
          <w:szCs w:val="28"/>
        </w:rPr>
        <w:t>Таблица 5.3.</w:t>
      </w:r>
    </w:p>
    <w:p>
      <w:pPr>
        <w:pStyle w:val="Normal"/>
        <w:widowControl w:val="false"/>
        <w:spacing w:lineRule="auto" w:line="360" w:before="0" w:after="0"/>
        <w:ind w:firstLine="709"/>
        <w:jc w:val="center"/>
        <w:rPr>
          <w:rFonts w:ascii="Times New Roman" w:hAnsi="Times New Roman" w:cs="Times New Roman"/>
          <w:sz w:val="28"/>
          <w:szCs w:val="28"/>
        </w:rPr>
      </w:pPr>
      <w:r>
        <w:rPr>
          <w:rFonts w:cs="Times New Roman"/>
          <w:sz w:val="28"/>
          <w:szCs w:val="28"/>
        </w:rPr>
        <w:t>Сравнение трудозатрат</w:t>
      </w:r>
    </w:p>
    <w:tbl>
      <w:tblPr>
        <w:tblW w:w="9345" w:type="dxa"/>
        <w:jc w:val="left"/>
        <w:tblInd w:w="0" w:type="dxa"/>
        <w:tblLayout w:type="fixed"/>
        <w:tblCellMar>
          <w:top w:w="0" w:type="dxa"/>
          <w:left w:w="108" w:type="dxa"/>
          <w:bottom w:w="0" w:type="dxa"/>
          <w:right w:w="108" w:type="dxa"/>
        </w:tblCellMar>
      </w:tblPr>
      <w:tblGrid>
        <w:gridCol w:w="5201"/>
        <w:gridCol w:w="2160"/>
        <w:gridCol w:w="1984"/>
      </w:tblGrid>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Показатель</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До автоматизации</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center"/>
              <w:rPr>
                <w:sz w:val="24"/>
                <w:szCs w:val="24"/>
              </w:rPr>
            </w:pPr>
            <w:r>
              <w:rPr>
                <w:rFonts w:eastAsia="Times New Roman" w:cs="Times New Roman"/>
                <w:kern w:val="0"/>
                <w:sz w:val="24"/>
                <w:szCs w:val="24"/>
                <w:lang w:val="ru-RU" w:eastAsia="ru-RU" w:bidi="ar-SA"/>
              </w:rPr>
              <w:t>После</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Трудозатраты на выбор поставщика, чел/час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8,0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3,2</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Тарифная ставка сотрудников, руб/час</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150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сутки</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1200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960</w:t>
            </w:r>
          </w:p>
        </w:tc>
      </w:tr>
      <w:tr>
        <w:trPr/>
        <w:tc>
          <w:tcPr>
            <w:tcW w:w="520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both"/>
              <w:rPr>
                <w:sz w:val="24"/>
                <w:szCs w:val="24"/>
              </w:rPr>
            </w:pPr>
            <w:r>
              <w:rPr>
                <w:rFonts w:eastAsia="Times New Roman" w:cs="Times New Roman"/>
                <w:kern w:val="0"/>
                <w:sz w:val="24"/>
                <w:szCs w:val="24"/>
                <w:lang w:val="ru-RU" w:eastAsia="ru-RU" w:bidi="ar-SA"/>
              </w:rPr>
              <w:t>Стоимость труда, год</w:t>
            </w:r>
          </w:p>
        </w:tc>
        <w:tc>
          <w:tcPr>
            <w:tcW w:w="216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296 400</w:t>
            </w:r>
          </w:p>
        </w:tc>
        <w:tc>
          <w:tcPr>
            <w:tcW w:w="1984"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40" w:before="0" w:after="0"/>
              <w:jc w:val="right"/>
              <w:rPr>
                <w:sz w:val="24"/>
                <w:szCs w:val="24"/>
              </w:rPr>
            </w:pPr>
            <w:r>
              <w:rPr>
                <w:rFonts w:eastAsia="Times New Roman" w:cs="Times New Roman"/>
                <w:kern w:val="0"/>
                <w:sz w:val="24"/>
                <w:szCs w:val="24"/>
                <w:lang w:val="ru-RU" w:eastAsia="ru-RU" w:bidi="ar-SA"/>
              </w:rPr>
              <w:t>118 560</w:t>
            </w:r>
          </w:p>
        </w:tc>
      </w:tr>
    </w:tbl>
    <w:p>
      <w:pPr>
        <w:pStyle w:val="Normal"/>
        <w:widowControl w:val="false"/>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 результате можно определения экономическую эффективность проекта:</w:t>
      </w:r>
    </w:p>
    <w:p>
      <w:pPr>
        <w:pStyle w:val="Normal"/>
        <w:spacing w:lineRule="auto" w:line="360" w:before="0" w:after="0"/>
        <w:ind w:firstLine="709"/>
        <w:jc w:val="center"/>
        <w:rPr>
          <w:rFonts w:ascii="Times New Roman" w:hAnsi="Times New Roman" w:cs="Times New Roman"/>
          <w:sz w:val="28"/>
          <w:szCs w:val="28"/>
        </w:rPr>
      </w:pPr>
      <w:r>
        <w:rPr>
          <w:rFonts w:cs="Times New Roman"/>
          <w:sz w:val="28"/>
          <w:szCs w:val="28"/>
        </w:rPr>
        <w:t>Э = 296 400,00 - 118 560,00 = 177 840,00 рублей</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Теперь необходимо определить срок окупаемости проекта автоматизации. На внедрение разработанной системы будет потрачено </w:t>
      </w:r>
      <w:r>
        <w:rPr>
          <w:rFonts w:cs="Times New Roman"/>
          <w:bCs/>
          <w:sz w:val="28"/>
          <w:szCs w:val="28"/>
        </w:rPr>
        <w:t>50 940</w:t>
      </w:r>
      <w:r>
        <w:rPr>
          <w:rFonts w:cs="Times New Roman"/>
          <w:sz w:val="28"/>
          <w:szCs w:val="28"/>
        </w:rPr>
        <w:t xml:space="preserve"> рублей. Автоматизация процессов позволит сэкономить 177 840 рублей в год. Благодаря этим данным можно рассчитать время окупаемости:</w:t>
      </w:r>
    </w:p>
    <w:p>
      <w:pPr>
        <w:pStyle w:val="Normal"/>
        <w:tabs>
          <w:tab w:val="clear" w:pos="708"/>
          <w:tab w:val="left" w:pos="1470" w:leader="none"/>
        </w:tabs>
        <w:spacing w:lineRule="auto" w:line="360" w:before="0" w:after="0"/>
        <w:ind w:firstLine="709"/>
        <w:jc w:val="center"/>
        <w:rPr>
          <w:rFonts w:ascii="Times New Roman" w:hAnsi="Times New Roman" w:cs="Times New Roman"/>
          <w:sz w:val="28"/>
          <w:szCs w:val="28"/>
        </w:rPr>
      </w:pPr>
      <w:r>
        <w:rPr>
          <w:rFonts w:cs="Times New Roman"/>
          <w:bCs/>
          <w:sz w:val="28"/>
          <w:szCs w:val="28"/>
        </w:rPr>
        <w:t>50 940</w:t>
      </w:r>
      <w:r>
        <w:rPr>
          <w:rFonts w:cs="Times New Roman"/>
          <w:sz w:val="28"/>
          <w:szCs w:val="28"/>
        </w:rPr>
        <w:t xml:space="preserve"> / 177 840 = 0.3 года = 4 месяца</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jc w:val="both"/>
        <w:rPr>
          <w:rFonts w:ascii="Times New Roman" w:hAnsi="Times New Roman" w:cs="Times New Roman"/>
          <w:sz w:val="28"/>
          <w:szCs w:val="28"/>
        </w:rPr>
      </w:pPr>
      <w:r>
        <w:rPr>
          <w:rFonts w:cs="Times New Roman"/>
          <w:sz w:val="28"/>
          <w:szCs w:val="28"/>
        </w:rPr>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48" w:name="__RefHeading___Toc22211_2829662935"/>
      <w:bookmarkStart w:id="349" w:name="_Toc515887005"/>
      <w:bookmarkEnd w:id="348"/>
      <w:r>
        <w:rPr>
          <w:b w:val="false"/>
          <w:color w:val="auto"/>
        </w:rPr>
        <w:t>Заключение</w:t>
      </w:r>
      <w:bookmarkEnd w:id="349"/>
    </w:p>
    <w:p>
      <w:pPr>
        <w:pStyle w:val="Normal"/>
        <w:spacing w:lineRule="auto" w:line="360" w:before="0" w:after="0"/>
        <w:ind w:firstLine="709"/>
        <w:jc w:val="both"/>
        <w:rPr>
          <w:rFonts w:ascii="Times New Roman" w:hAnsi="Times New Roman" w:cs="Times New Roman"/>
          <w:sz w:val="28"/>
          <w:szCs w:val="28"/>
        </w:rPr>
      </w:pPr>
      <w:r>
        <w:rPr>
          <w:rFonts w:eastAsia="Times New Roman" w:cs="Times New Roman"/>
          <w:sz w:val="28"/>
          <w:szCs w:val="28"/>
        </w:rPr>
        <w:t xml:space="preserve">В результате выполнения выпускной квалификационной работы была рассмотрена и проанализирована деятельность отдела закупок </w:t>
      </w:r>
      <w:bookmarkStart w:id="350" w:name="OLE_LINK196"/>
      <w:bookmarkStart w:id="351" w:name="OLE_LINK197"/>
      <w:bookmarkStart w:id="352" w:name="OLE_LINK198"/>
      <w:r>
        <w:rPr>
          <w:rFonts w:eastAsia="Times New Roman" w:cs="Times New Roman"/>
          <w:sz w:val="28"/>
          <w:szCs w:val="28"/>
        </w:rPr>
        <w:t>ООО</w:t>
      </w:r>
      <w:bookmarkEnd w:id="350"/>
      <w:bookmarkEnd w:id="351"/>
      <w:bookmarkEnd w:id="352"/>
      <w:r>
        <w:rPr>
          <w:rFonts w:eastAsia="Times New Roman" w:cs="Times New Roman"/>
          <w:sz w:val="28"/>
          <w:szCs w:val="28"/>
        </w:rPr>
        <w:t xml:space="preserve"> «Авангард», разработано и внедрено проектное решение по автоматизации </w:t>
      </w:r>
      <w:bookmarkStart w:id="353" w:name="OLE_LINK199"/>
      <w:bookmarkStart w:id="354" w:name="OLE_LINK200"/>
      <w:r>
        <w:rPr>
          <w:sz w:val="28"/>
          <w:szCs w:val="28"/>
        </w:rPr>
        <w:t xml:space="preserve">процесса </w:t>
      </w:r>
      <w:bookmarkEnd w:id="353"/>
      <w:bookmarkEnd w:id="354"/>
      <w:r>
        <w:rPr>
          <w:sz w:val="28"/>
          <w:szCs w:val="28"/>
        </w:rPr>
        <w:t>оценки благонадёжности поставщиков.</w:t>
      </w:r>
    </w:p>
    <w:p>
      <w:pPr>
        <w:pStyle w:val="Normal"/>
        <w:spacing w:lineRule="auto" w:line="360" w:before="0" w:after="0"/>
        <w:ind w:firstLine="709"/>
        <w:jc w:val="both"/>
        <w:rPr/>
      </w:pPr>
      <w:r>
        <w:rPr>
          <w:rFonts w:cs="Times New Roman"/>
          <w:sz w:val="28"/>
          <w:szCs w:val="28"/>
        </w:rPr>
        <w:t xml:space="preserve">В первой главе выпускной квалификационной работы были изучены и описаны методы и модели анализа данных для оценки благонадежности поставщика товаров, после чего произведено ознакомление с организацией и её деятельностью. На основании полученной и проанализированной информации был определён процесс, который малоэффективен и требует автоматизации – </w:t>
      </w:r>
      <w:r>
        <w:rPr>
          <w:sz w:val="28"/>
          <w:szCs w:val="28"/>
        </w:rPr>
        <w:t>процесса оценки благонадёжности и выбора поставщиков</w:t>
      </w:r>
      <w:r>
        <w:rPr>
          <w:rFonts w:cs="Times New Roman"/>
          <w:sz w:val="28"/>
          <w:szCs w:val="28"/>
        </w:rPr>
        <w:t xml:space="preserve">. После того, как этот процесс был подробно изучен и описан с помощью модели потоков данных </w:t>
      </w:r>
      <w:r>
        <w:rPr>
          <w:rFonts w:cs="Times New Roman"/>
          <w:sz w:val="28"/>
          <w:szCs w:val="28"/>
          <w:lang w:val="en-US"/>
        </w:rPr>
        <w:t>IDEF</w:t>
      </w:r>
      <w:r>
        <w:rPr>
          <w:rFonts w:cs="Times New Roman"/>
          <w:sz w:val="28"/>
          <w:szCs w:val="28"/>
        </w:rPr>
        <w:t>0 в контексте «</w:t>
      </w:r>
      <w:r>
        <w:rPr>
          <w:rFonts w:cs="Times New Roman"/>
          <w:sz w:val="28"/>
          <w:szCs w:val="28"/>
          <w:lang w:val="en-US"/>
        </w:rPr>
        <w:t>AS</w:t>
      </w:r>
      <w:r>
        <w:rPr>
          <w:rFonts w:cs="Times New Roman"/>
          <w:sz w:val="28"/>
          <w:szCs w:val="28"/>
        </w:rPr>
        <w:t xml:space="preserve"> – </w:t>
      </w:r>
      <w:r>
        <w:rPr>
          <w:rFonts w:cs="Times New Roman"/>
          <w:sz w:val="28"/>
          <w:szCs w:val="28"/>
          <w:lang w:val="en-US"/>
        </w:rPr>
        <w:t>IS</w:t>
      </w:r>
      <w:r>
        <w:rPr>
          <w:rFonts w:cs="Times New Roman"/>
          <w:sz w:val="28"/>
          <w:szCs w:val="28"/>
        </w:rPr>
        <w:t>», были выделены все узкие места данного процесса и сформированы предложения их автоматизации и функциональные требования к инструменту решения задач. На основании выявленных проблем, после анализа Российского рынка современного программной обеспечения, было принято решение о разработке собственной системы и обоснован выбор платформы для разработки 1С Предприятие 8.3.</w:t>
      </w:r>
      <w:r>
        <w:rPr/>
        <w:t xml:space="preserve"> </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Во второй главе была построена инфологическая модель информационной системы, после чего построенная модель рассмотрена с точки зрения платформы 1С:Предприятие 8.3, а также рассмотрена архитектура платформы, после чего была описана архитектура и интерфейс информационной системы, структура метаданных и разработанные объекты системы, после чего проведён процесс отладки и тестирования информационной системы. В ходе локального тестирования ошибок обнаружено не было, таким образом, разработанная информационная система показала себя как стабильное и надежное приложение.</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 заключительной, третьей главе выпускной квалификационной работы оценивается экономическая эффективность инвестиций в ИТ-решение. Стоимость разработки и внедрения проекта составляет </w:t>
      </w:r>
      <w:r>
        <w:rPr>
          <w:rFonts w:cs="Times New Roman"/>
          <w:bCs/>
          <w:sz w:val="28"/>
          <w:szCs w:val="28"/>
        </w:rPr>
        <w:t>50 940</w:t>
      </w:r>
      <w:r>
        <w:rPr>
          <w:rFonts w:cs="Times New Roman"/>
          <w:sz w:val="28"/>
          <w:szCs w:val="28"/>
        </w:rPr>
        <w:t>,00 руб., автоматизация позволит снизить трудовые затраты и стоимостные затраты в 2.5 раза. Предположительный срок окупаемости – 4 месяца, после чего система начнёт приносить прибыль, а прямой экономический эффект 177 840,00 рублей в год.</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 xml:space="preserve">Внедрение разработанной системы, несомненно, повысит эффективность труда сотрудников отдела закупок </w:t>
      </w:r>
      <w:r>
        <w:rPr>
          <w:rFonts w:eastAsia="Times New Roman" w:cs="Times New Roman"/>
          <w:sz w:val="28"/>
          <w:szCs w:val="28"/>
        </w:rPr>
        <w:t>ООО «Авангард</w:t>
      </w:r>
      <w:r>
        <w:rPr>
          <w:rFonts w:cs="Times New Roman"/>
          <w:sz w:val="28"/>
          <w:szCs w:val="28"/>
        </w:rPr>
        <w:t>», поможет правильно оценить ситуацию и вовремя принять необходимые решения.</w:t>
      </w:r>
    </w:p>
    <w:p>
      <w:pPr>
        <w:pStyle w:val="Normal"/>
        <w:spacing w:lineRule="auto" w:line="360" w:before="0" w:after="0"/>
        <w:ind w:firstLine="709"/>
        <w:jc w:val="both"/>
        <w:rPr>
          <w:rFonts w:ascii="Times New Roman" w:hAnsi="Times New Roman" w:cs="Times New Roman"/>
          <w:sz w:val="28"/>
          <w:szCs w:val="28"/>
        </w:rPr>
      </w:pPr>
      <w:r>
        <w:rPr>
          <w:rFonts w:cs="Times New Roman"/>
          <w:sz w:val="28"/>
          <w:szCs w:val="28"/>
        </w:rPr>
        <w:t>Таким образом, цели и задачи, поставленные перед написанием выпускной квалификационной работы, были успешно выполнены.</w:t>
      </w:r>
    </w:p>
    <w:p>
      <w:pPr>
        <w:pStyle w:val="Normal"/>
        <w:rPr>
          <w:rFonts w:ascii="Times New Roman" w:hAnsi="Times New Roman" w:cs="Times New Roman"/>
          <w:sz w:val="28"/>
          <w:szCs w:val="28"/>
        </w:rPr>
      </w:pPr>
      <w:r>
        <w:rPr>
          <w:rFonts w:cs="Times New Roman"/>
          <w:sz w:val="28"/>
          <w:szCs w:val="28"/>
        </w:rPr>
      </w:r>
      <w:r>
        <w:br w:type="page"/>
      </w:r>
    </w:p>
    <w:p>
      <w:pPr>
        <w:pStyle w:val="Heading1"/>
        <w:spacing w:before="0" w:after="240"/>
        <w:ind w:hanging="0" w:left="0"/>
        <w:jc w:val="center"/>
        <w:rPr>
          <w:rFonts w:ascii="Times New Roman" w:hAnsi="Times New Roman"/>
          <w:b w:val="false"/>
          <w:color w:val="auto"/>
        </w:rPr>
      </w:pPr>
      <w:bookmarkStart w:id="355" w:name="__RefHeading___Toc22213_2829662935"/>
      <w:bookmarkStart w:id="356" w:name="_Toc515887006"/>
      <w:bookmarkEnd w:id="355"/>
      <w:r>
        <w:rPr>
          <w:b w:val="false"/>
          <w:color w:val="auto"/>
        </w:rPr>
        <w:t>Список литературы</w:t>
      </w:r>
      <w:bookmarkEnd w:id="356"/>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Литвинова А.А. – 72-е Дни науки студентов НИТУ "МИСиС"/ Интеллектуальный анализ в розничной торговле..-621-622 с. – 2017</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ГОСТ Р 51303-2013. Торговля. Термины и определения (с Изменением N 1).</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Бутусов О.Б., Дубин М.Е. Система поддержки принятия решений для выбора поставщика в цепи поставок // Известия Московского государственного технического университета МАМИ. - с 267. – 2013.</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Громова, А. Ю. Оптовая и розничная торговля. Бухучет и налогообложение / А.Ю. Громова, И.Н. Пашкина, Е.А. Рыхлова. - М.: Дашков и Ко, 2012. - 272 c.</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Суслова Е.В. Интеллектуальные системы поддержки принятия решений // Молодой ученый. - 2017. - №3. - С. 171-174.</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Гулина О.М.  Принятие решений в условиях нечеткой информации // Учебное пособие по курсу «Теория принятия решений». – 2008.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Черемных, С.В. Моделирование и анализ систем. IDEF-технологии: практикум / С.В.Черемных [и др.]. – М.: Финансы и статистика, 2006. – 192 с.</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Лендри О торговле на колебаниях / Лендри, Дейв. - М.: Аналитика, 2016. - 248 c.</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Щур Д.Л., Основы торговли, оптовая торговля, издательство "Дело и Сервис", 2005;</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Аванесов Ю.А., Клочко А.Н., Васькин Е.В. Основы коммерции. -    М.: ТОО Люкс-арт, 2015. - 176 с.</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PLUSSELL комплексная система автоматизации и контроля торгово-закупочной деятельности предприятий - URL: https://plussell.org/ (дата обращения 13.05.2018).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Информация о SAP Ariba - URL: https://www.ariba.com/ru-ru/about (дата обращения 12.05.2018).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iTender SRM - URL: http://itender-srm.ru/ (дата обращения 08.05.2018).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Delphi (язык программирования) // Википедия. Свободная энциклопедия – URL: https://ru.wikipedia.org/wiki/Delphi (дата обращения 08.05.2018).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Access – это что такое? Создание базы данных в Microsoft Access // FB.ru – URL: http://fb.ru/article/268269/access---eto-chto-takoe-sozdanie-bazyi-dannyih-v-microsoft-access (дата обращения 20.05.2018).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lang w:val="en-US"/>
        </w:rPr>
      </w:pPr>
      <w:r>
        <w:rPr>
          <w:rFonts w:eastAsia="Calibri" w:cs="Times New Roman"/>
          <w:color w:val="000000"/>
          <w:sz w:val="28"/>
          <w:szCs w:val="28"/>
          <w:lang w:val="en-US"/>
        </w:rPr>
        <w:t>Firebird 3 Developer's Guide released // Firebird – True Universal open source database – URL: http://www.firebirdsql.org/ (</w:t>
      </w:r>
      <w:r>
        <w:rPr>
          <w:rFonts w:eastAsia="Calibri" w:cs="Times New Roman"/>
          <w:color w:val="000000"/>
          <w:sz w:val="28"/>
          <w:szCs w:val="28"/>
        </w:rPr>
        <w:t>дата</w:t>
      </w:r>
      <w:r>
        <w:rPr>
          <w:rFonts w:eastAsia="Calibri" w:cs="Times New Roman"/>
          <w:color w:val="000000"/>
          <w:sz w:val="28"/>
          <w:szCs w:val="28"/>
          <w:lang w:val="en-US"/>
        </w:rPr>
        <w:t xml:space="preserve"> </w:t>
      </w:r>
      <w:r>
        <w:rPr>
          <w:rFonts w:eastAsia="Calibri" w:cs="Times New Roman"/>
          <w:color w:val="000000"/>
          <w:sz w:val="28"/>
          <w:szCs w:val="28"/>
        </w:rPr>
        <w:t>обращения</w:t>
      </w:r>
      <w:r>
        <w:rPr>
          <w:rFonts w:eastAsia="Calibri" w:cs="Times New Roman"/>
          <w:color w:val="000000"/>
          <w:sz w:val="28"/>
          <w:szCs w:val="28"/>
          <w:lang w:val="en-US"/>
        </w:rPr>
        <w:t xml:space="preserve"> 20.05.2018).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Обзор системы «1С: Предприятие 8» // 1C: Предприятие 8. Система программ – URL: http://v8.1c.ru/ (дата обращения 01.05.2018).</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Баженова И.Ю. «Основы проектирования приложений баз данных», 2009</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1С: Предприятие 8.1. Разработка прикладных решений / С.М. Кашаев. –М.: Вильямс, 2009. –368 c.</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Кашаев, С. М. Программирование в 1С: Предприятие 8.3/ С.М. Кашаев. – Санкт-Петербург: Питер, 2014. – 304 с.</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Фаулер, М. Архитектура корпоративных программных приложений / М. Фаулер. – М.: Издательский дом «Вильямс», 2004. – 544 с.</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Хрусталева, Е.Ю. Разработка сложных отчётов в 1С: Предприятии 8. Система компоновки данных/ Е.Ю. Хрусталева. – М.:1С–Паблишинг, 2014. – 501 с.</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Румянцева, Е.Л. Информационные технологии: Учебное пособие / Е.Л. Румянцева, В.В. Слюсарь; Под ред. Л.Г. Гагарина. –  М.: ИД ФОРУМ, НИЦ ИНФРА-М, 2013. – 256 c.</w:t>
      </w:r>
    </w:p>
    <w:p>
      <w:pPr>
        <w:pStyle w:val="ListParagraph"/>
        <w:numPr>
          <w:ilvl w:val="0"/>
          <w:numId w:val="12"/>
        </w:numPr>
        <w:spacing w:lineRule="auto" w:line="360" w:before="0" w:after="0"/>
        <w:ind w:firstLine="709" w:left="0"/>
        <w:contextualSpacing/>
        <w:jc w:val="both"/>
        <w:rPr>
          <w:rFonts w:ascii="Times New Roman" w:hAnsi="Times New Roman" w:eastAsia="Calibri" w:cs="Times New Roman"/>
          <w:color w:val="000000"/>
          <w:sz w:val="28"/>
          <w:szCs w:val="28"/>
        </w:rPr>
      </w:pPr>
      <w:r>
        <w:rPr>
          <w:rFonts w:eastAsia="Calibri" w:cs="Times New Roman"/>
          <w:color w:val="000000"/>
          <w:sz w:val="28"/>
          <w:szCs w:val="28"/>
        </w:rPr>
        <w:t>Методические указания по определению экономической эффективности научно-исследовательских работ и новой техники / Е.В. Габитова, В.В. Данилкин, Т.Ю. Старкова, под ред. В.В. Данилкина. – Челябинск: Издательский центр ЮУрГУ, 2011. – 40 с.</w:t>
      </w:r>
    </w:p>
    <w:sectPr>
      <w:footerReference w:type="even" r:id="rId28"/>
      <w:footerReference w:type="default" r:id="rId29"/>
      <w:footerReference w:type="first" r:id="rId30"/>
      <w:type w:val="nextPage"/>
      <w:pgSz w:w="11906" w:h="16838"/>
      <w:pgMar w:left="1701" w:right="850" w:gutter="0" w:header="0" w:top="1134" w:footer="708"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Calibri">
    <w:charset w:val="cc"/>
    <w:family w:val="roman"/>
    <w:pitch w:val="variable"/>
  </w:font>
  <w:font w:name="Times New Roman">
    <w:charset w:val="cc"/>
    <w:family w:val="roman"/>
    <w:pitch w:val="variable"/>
  </w:font>
  <w:font w:name="Calibri Light">
    <w:charset w:val="cc"/>
    <w:family w:val="roman"/>
    <w:pitch w:val="variable"/>
  </w:font>
  <w:font w:name="Cambria">
    <w:charset w:val="cc"/>
    <w:family w:val="roman"/>
    <w:pitch w:val="variable"/>
  </w:font>
  <w:font w:name="OpenSymbol">
    <w:altName w:val="Arial Unicode MS"/>
    <w:charset w:val="cc"/>
    <w:family w:val="roman"/>
    <w:pitch w:val="variable"/>
  </w:font>
  <w:font w:name="Liberation Sans">
    <w:altName w:val="Arial"/>
    <w:charset w:val="cc"/>
    <w:family w:val="roman"/>
    <w:pitch w:val="variable"/>
  </w:font>
  <w:font w:name="Arial">
    <w:charset w:val="cc"/>
    <w:family w:val="roman"/>
    <w:pitch w:val="variable"/>
  </w:font>
  <w:font w:name="Noto Sans">
    <w:charset w:val="cc"/>
    <w:family w:val="roman"/>
    <w:pitch w:val="variable"/>
  </w:font>
  <w:font w:name="Symbol">
    <w:charset w:val="cc"/>
    <w:family w:val="roman"/>
    <w:pitch w:val="variable"/>
  </w:font>
  <w:font w:name="Wingdings">
    <w:charset w:val="cc"/>
    <w:family w:val="roman"/>
    <w:pitch w:val="variable"/>
  </w:font>
  <w:font w:name="Courier New">
    <w:charset w:val="cc"/>
    <w:family w:val="roman"/>
    <w:pitch w:val="variable"/>
  </w:font>
  <w:font w:name="Courier New">
    <w:charset w:val="01"/>
    <w:family w:val="modern"/>
    <w:pitch w:val="fixed"/>
  </w:font>
  <w:font w:name="Wingdings">
    <w:charset w:val="02"/>
    <w:family w:val="auto"/>
    <w:pitch w:val="variable"/>
  </w:font>
  <w:font w:name="Times New Roman">
    <w:charset w:val="01"/>
    <w:family w:val="roman"/>
    <w:pitch w:val="variable"/>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1712" w:hanging="360"/>
      </w:pPr>
      <w:rPr>
        <w:rFonts w:ascii="Symbol" w:hAnsi="Symbol" w:cs="Symbol" w:hint="default"/>
      </w:rPr>
    </w:lvl>
    <w:lvl w:ilvl="1">
      <w:start w:val="1"/>
      <w:numFmt w:val="bullet"/>
      <w:lvlText w:val="o"/>
      <w:lvlJc w:val="left"/>
      <w:pPr>
        <w:tabs>
          <w:tab w:val="num" w:pos="0"/>
        </w:tabs>
        <w:ind w:left="2432" w:hanging="360"/>
      </w:pPr>
      <w:rPr>
        <w:rFonts w:ascii="Courier New" w:hAnsi="Courier New" w:cs="Courier New" w:hint="default"/>
      </w:rPr>
    </w:lvl>
    <w:lvl w:ilvl="2">
      <w:start w:val="1"/>
      <w:numFmt w:val="bullet"/>
      <w:lvlText w:val=""/>
      <w:lvlJc w:val="left"/>
      <w:pPr>
        <w:tabs>
          <w:tab w:val="num" w:pos="0"/>
        </w:tabs>
        <w:ind w:left="3152" w:hanging="360"/>
      </w:pPr>
      <w:rPr>
        <w:rFonts w:ascii="Wingdings" w:hAnsi="Wingdings" w:cs="Wingdings" w:hint="default"/>
      </w:rPr>
    </w:lvl>
    <w:lvl w:ilvl="3">
      <w:start w:val="1"/>
      <w:numFmt w:val="bullet"/>
      <w:lvlText w:val=""/>
      <w:lvlJc w:val="left"/>
      <w:pPr>
        <w:tabs>
          <w:tab w:val="num" w:pos="0"/>
        </w:tabs>
        <w:ind w:left="3872" w:hanging="360"/>
      </w:pPr>
      <w:rPr>
        <w:rFonts w:ascii="Symbol" w:hAnsi="Symbol" w:cs="Symbol" w:hint="default"/>
      </w:rPr>
    </w:lvl>
    <w:lvl w:ilvl="4">
      <w:start w:val="1"/>
      <w:numFmt w:val="bullet"/>
      <w:lvlText w:val="o"/>
      <w:lvlJc w:val="left"/>
      <w:pPr>
        <w:tabs>
          <w:tab w:val="num" w:pos="0"/>
        </w:tabs>
        <w:ind w:left="4592" w:hanging="360"/>
      </w:pPr>
      <w:rPr>
        <w:rFonts w:ascii="Courier New" w:hAnsi="Courier New" w:cs="Courier New" w:hint="default"/>
      </w:rPr>
    </w:lvl>
    <w:lvl w:ilvl="5">
      <w:start w:val="1"/>
      <w:numFmt w:val="bullet"/>
      <w:lvlText w:val=""/>
      <w:lvlJc w:val="left"/>
      <w:pPr>
        <w:tabs>
          <w:tab w:val="num" w:pos="0"/>
        </w:tabs>
        <w:ind w:left="5312" w:hanging="360"/>
      </w:pPr>
      <w:rPr>
        <w:rFonts w:ascii="Wingdings" w:hAnsi="Wingdings" w:cs="Wingdings" w:hint="default"/>
      </w:rPr>
    </w:lvl>
    <w:lvl w:ilvl="6">
      <w:start w:val="1"/>
      <w:numFmt w:val="bullet"/>
      <w:lvlText w:val=""/>
      <w:lvlJc w:val="left"/>
      <w:pPr>
        <w:tabs>
          <w:tab w:val="num" w:pos="0"/>
        </w:tabs>
        <w:ind w:left="6032" w:hanging="360"/>
      </w:pPr>
      <w:rPr>
        <w:rFonts w:ascii="Symbol" w:hAnsi="Symbol" w:cs="Symbol" w:hint="default"/>
      </w:rPr>
    </w:lvl>
    <w:lvl w:ilvl="7">
      <w:start w:val="1"/>
      <w:numFmt w:val="bullet"/>
      <w:lvlText w:val="o"/>
      <w:lvlJc w:val="left"/>
      <w:pPr>
        <w:tabs>
          <w:tab w:val="num" w:pos="0"/>
        </w:tabs>
        <w:ind w:left="6752" w:hanging="360"/>
      </w:pPr>
      <w:rPr>
        <w:rFonts w:ascii="Courier New" w:hAnsi="Courier New" w:cs="Courier New" w:hint="default"/>
      </w:rPr>
    </w:lvl>
    <w:lvl w:ilvl="8">
      <w:start w:val="1"/>
      <w:numFmt w:val="bullet"/>
      <w:lvlText w:val=""/>
      <w:lvlJc w:val="left"/>
      <w:pPr>
        <w:tabs>
          <w:tab w:val="num" w:pos="0"/>
        </w:tabs>
        <w:ind w:left="7472" w:hanging="360"/>
      </w:pPr>
      <w:rPr>
        <w:rFonts w:ascii="Wingdings" w:hAnsi="Wingdings" w:cs="Wingdings" w:hint="default"/>
      </w:rPr>
    </w:lvl>
  </w:abstractNum>
  <w:abstractNum w:abstractNumId="2">
    <w:lvl w:ilvl="0">
      <w:start w:val="1"/>
      <w:numFmt w:val="bullet"/>
      <w:lvlText w:val="−"/>
      <w:lvlJc w:val="left"/>
      <w:pPr>
        <w:tabs>
          <w:tab w:val="num" w:pos="0"/>
        </w:tabs>
        <w:ind w:left="1429" w:hanging="360"/>
      </w:pPr>
      <w:rPr>
        <w:rFonts w:ascii="Times New Roman" w:hAnsi="Times New Roman" w:cs="Times New Roman"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3">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4">
    <w:lvl w:ilvl="0">
      <w:start w:val="3"/>
      <w:numFmt w:val="decimal"/>
      <w:lvlText w:val="%1"/>
      <w:lvlJc w:val="left"/>
      <w:pPr>
        <w:tabs>
          <w:tab w:val="num" w:pos="0"/>
        </w:tabs>
        <w:ind w:left="375" w:hanging="375"/>
      </w:pPr>
      <w:rPr/>
    </w:lvl>
    <w:lvl w:ilvl="1">
      <w:start w:val="1"/>
      <w:numFmt w:val="decimal"/>
      <w:lvlText w:val="%1.%2"/>
      <w:lvlJc w:val="left"/>
      <w:pPr>
        <w:tabs>
          <w:tab w:val="num" w:pos="0"/>
        </w:tabs>
        <w:ind w:left="735" w:hanging="375"/>
      </w:pPr>
      <w:rPr/>
    </w:lvl>
    <w:lvl w:ilvl="2">
      <w:start w:val="1"/>
      <w:numFmt w:val="decimal"/>
      <w:lvlText w:val="%3."/>
      <w:lvlJc w:val="left"/>
      <w:pPr>
        <w:tabs>
          <w:tab w:val="num" w:pos="0"/>
        </w:tabs>
        <w:ind w:left="1440" w:hanging="720"/>
      </w:pPr>
      <w:rPr/>
    </w:lvl>
    <w:lvl w:ilvl="3">
      <w:start w:val="1"/>
      <w:numFmt w:val="decimal"/>
      <w:lvlText w:val="%1.%2.%3.%4"/>
      <w:lvlJc w:val="left"/>
      <w:pPr>
        <w:tabs>
          <w:tab w:val="num" w:pos="0"/>
        </w:tabs>
        <w:ind w:left="2160" w:hanging="1080"/>
      </w:pPr>
      <w:rPr/>
    </w:lvl>
    <w:lvl w:ilvl="4">
      <w:start w:val="1"/>
      <w:numFmt w:val="decimal"/>
      <w:lvlText w:val="%1.%2.%3.%4.%5"/>
      <w:lvlJc w:val="left"/>
      <w:pPr>
        <w:tabs>
          <w:tab w:val="num" w:pos="0"/>
        </w:tabs>
        <w:ind w:left="2520" w:hanging="1080"/>
      </w:pPr>
      <w:rPr/>
    </w:lvl>
    <w:lvl w:ilvl="5">
      <w:start w:val="1"/>
      <w:numFmt w:val="decimal"/>
      <w:lvlText w:val="%1.%2.%3.%4.%5.%6"/>
      <w:lvlJc w:val="left"/>
      <w:pPr>
        <w:tabs>
          <w:tab w:val="num" w:pos="0"/>
        </w:tabs>
        <w:ind w:left="3240" w:hanging="1440"/>
      </w:pPr>
      <w:rPr/>
    </w:lvl>
    <w:lvl w:ilvl="6">
      <w:start w:val="1"/>
      <w:numFmt w:val="decimal"/>
      <w:lvlText w:val="%1.%2.%3.%4.%5.%6.%7"/>
      <w:lvlJc w:val="left"/>
      <w:pPr>
        <w:tabs>
          <w:tab w:val="num" w:pos="0"/>
        </w:tabs>
        <w:ind w:left="3600" w:hanging="1440"/>
      </w:pPr>
      <w:rPr/>
    </w:lvl>
    <w:lvl w:ilvl="7">
      <w:start w:val="1"/>
      <w:numFmt w:val="decimal"/>
      <w:lvlText w:val="%1.%2.%3.%4.%5.%6.%7.%8"/>
      <w:lvlJc w:val="left"/>
      <w:pPr>
        <w:tabs>
          <w:tab w:val="num" w:pos="0"/>
        </w:tabs>
        <w:ind w:left="4320" w:hanging="1800"/>
      </w:pPr>
      <w:rPr/>
    </w:lvl>
    <w:lvl w:ilvl="8">
      <w:start w:val="1"/>
      <w:numFmt w:val="decimal"/>
      <w:lvlText w:val="%1.%2.%3.%4.%5.%6.%7.%8.%9"/>
      <w:lvlJc w:val="left"/>
      <w:pPr>
        <w:tabs>
          <w:tab w:val="num" w:pos="0"/>
        </w:tabs>
        <w:ind w:left="5040" w:hanging="2160"/>
      </w:pPr>
      <w:rPr/>
    </w:lvl>
  </w:abstractNum>
  <w:abstractNum w:abstractNumId="5">
    <w:lvl w:ilvl="0">
      <w:start w:val="1"/>
      <w:numFmt w:val="bullet"/>
      <w:lvlText w:val=""/>
      <w:lvlJc w:val="left"/>
      <w:pPr>
        <w:tabs>
          <w:tab w:val="num" w:pos="0"/>
        </w:tabs>
        <w:ind w:left="1428" w:hanging="360"/>
      </w:pPr>
      <w:rPr>
        <w:rFonts w:ascii="Symbol" w:hAnsi="Symbol" w:cs="Symbol" w:hint="default"/>
      </w:rPr>
    </w:lvl>
    <w:lvl w:ilvl="1">
      <w:start w:val="1"/>
      <w:numFmt w:val="bullet"/>
      <w:lvlText w:val="o"/>
      <w:lvlJc w:val="left"/>
      <w:pPr>
        <w:tabs>
          <w:tab w:val="num" w:pos="0"/>
        </w:tabs>
        <w:ind w:left="2148" w:hanging="360"/>
      </w:pPr>
      <w:rPr>
        <w:rFonts w:ascii="Courier New" w:hAnsi="Courier New" w:cs="Courier New" w:hint="default"/>
      </w:rPr>
    </w:lvl>
    <w:lvl w:ilvl="2">
      <w:start w:val="1"/>
      <w:numFmt w:val="bullet"/>
      <w:lvlText w:val=""/>
      <w:lvlJc w:val="left"/>
      <w:pPr>
        <w:tabs>
          <w:tab w:val="num" w:pos="0"/>
        </w:tabs>
        <w:ind w:left="2868" w:hanging="360"/>
      </w:pPr>
      <w:rPr>
        <w:rFonts w:ascii="Wingdings" w:hAnsi="Wingdings" w:cs="Wingdings" w:hint="default"/>
      </w:rPr>
    </w:lvl>
    <w:lvl w:ilvl="3">
      <w:start w:val="1"/>
      <w:numFmt w:val="bullet"/>
      <w:lvlText w:val=""/>
      <w:lvlJc w:val="left"/>
      <w:pPr>
        <w:tabs>
          <w:tab w:val="num" w:pos="0"/>
        </w:tabs>
        <w:ind w:left="3588" w:hanging="360"/>
      </w:pPr>
      <w:rPr>
        <w:rFonts w:ascii="Symbol" w:hAnsi="Symbol" w:cs="Symbol" w:hint="default"/>
      </w:rPr>
    </w:lvl>
    <w:lvl w:ilvl="4">
      <w:start w:val="1"/>
      <w:numFmt w:val="bullet"/>
      <w:lvlText w:val="o"/>
      <w:lvlJc w:val="left"/>
      <w:pPr>
        <w:tabs>
          <w:tab w:val="num" w:pos="0"/>
        </w:tabs>
        <w:ind w:left="4308" w:hanging="360"/>
      </w:pPr>
      <w:rPr>
        <w:rFonts w:ascii="Courier New" w:hAnsi="Courier New" w:cs="Courier New" w:hint="default"/>
      </w:rPr>
    </w:lvl>
    <w:lvl w:ilvl="5">
      <w:start w:val="1"/>
      <w:numFmt w:val="bullet"/>
      <w:lvlText w:val=""/>
      <w:lvlJc w:val="left"/>
      <w:pPr>
        <w:tabs>
          <w:tab w:val="num" w:pos="0"/>
        </w:tabs>
        <w:ind w:left="5028" w:hanging="360"/>
      </w:pPr>
      <w:rPr>
        <w:rFonts w:ascii="Wingdings" w:hAnsi="Wingdings" w:cs="Wingdings" w:hint="default"/>
      </w:rPr>
    </w:lvl>
    <w:lvl w:ilvl="6">
      <w:start w:val="1"/>
      <w:numFmt w:val="bullet"/>
      <w:lvlText w:val=""/>
      <w:lvlJc w:val="left"/>
      <w:pPr>
        <w:tabs>
          <w:tab w:val="num" w:pos="0"/>
        </w:tabs>
        <w:ind w:left="5748" w:hanging="360"/>
      </w:pPr>
      <w:rPr>
        <w:rFonts w:ascii="Symbol" w:hAnsi="Symbol" w:cs="Symbol" w:hint="default"/>
      </w:rPr>
    </w:lvl>
    <w:lvl w:ilvl="7">
      <w:start w:val="1"/>
      <w:numFmt w:val="bullet"/>
      <w:lvlText w:val="o"/>
      <w:lvlJc w:val="left"/>
      <w:pPr>
        <w:tabs>
          <w:tab w:val="num" w:pos="0"/>
        </w:tabs>
        <w:ind w:left="6468" w:hanging="360"/>
      </w:pPr>
      <w:rPr>
        <w:rFonts w:ascii="Courier New" w:hAnsi="Courier New" w:cs="Courier New" w:hint="default"/>
      </w:rPr>
    </w:lvl>
    <w:lvl w:ilvl="8">
      <w:start w:val="1"/>
      <w:numFmt w:val="bullet"/>
      <w:lvlText w:val=""/>
      <w:lvlJc w:val="left"/>
      <w:pPr>
        <w:tabs>
          <w:tab w:val="num" w:pos="0"/>
        </w:tabs>
        <w:ind w:left="7188" w:hanging="360"/>
      </w:pPr>
      <w:rPr>
        <w:rFonts w:ascii="Wingdings" w:hAnsi="Wingdings" w:cs="Wingdings" w:hint="default"/>
      </w:rPr>
    </w:lvl>
  </w:abstractNum>
  <w:abstractNum w:abstractNumId="6">
    <w:lvl w:ilvl="0">
      <w:start w:val="2"/>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7">
    <w:lvl w:ilvl="0">
      <w:start w:val="1"/>
      <w:numFmt w:val="decimal"/>
      <w:lvlText w:val="%1."/>
      <w:lvlJc w:val="left"/>
      <w:pPr>
        <w:tabs>
          <w:tab w:val="num" w:pos="0"/>
        </w:tabs>
        <w:ind w:left="450" w:hanging="450"/>
      </w:pPr>
      <w:rPr/>
    </w:lvl>
    <w:lvl w:ilvl="1">
      <w:start w:val="1"/>
      <w:numFmt w:val="decimal"/>
      <w:lvlText w:val="%1.%2."/>
      <w:lvlJc w:val="left"/>
      <w:pPr>
        <w:tabs>
          <w:tab w:val="num" w:pos="0"/>
        </w:tabs>
        <w:ind w:left="1440" w:hanging="720"/>
      </w:pPr>
      <w:rPr/>
    </w:lvl>
    <w:lvl w:ilvl="2">
      <w:start w:val="1"/>
      <w:numFmt w:val="decimal"/>
      <w:lvlText w:val="%1.%2.%3."/>
      <w:lvlJc w:val="left"/>
      <w:pPr>
        <w:tabs>
          <w:tab w:val="num" w:pos="0"/>
        </w:tabs>
        <w:ind w:left="2160" w:hanging="720"/>
      </w:pPr>
      <w:rPr/>
    </w:lvl>
    <w:lvl w:ilvl="3">
      <w:start w:val="1"/>
      <w:numFmt w:val="decimal"/>
      <w:lvlText w:val="%1.%2.%3.%4."/>
      <w:lvlJc w:val="left"/>
      <w:pPr>
        <w:tabs>
          <w:tab w:val="num" w:pos="0"/>
        </w:tabs>
        <w:ind w:left="3240" w:hanging="1080"/>
      </w:pPr>
      <w:rPr/>
    </w:lvl>
    <w:lvl w:ilvl="4">
      <w:start w:val="1"/>
      <w:numFmt w:val="decimal"/>
      <w:lvlText w:val="%1.%2.%3.%4.%5."/>
      <w:lvlJc w:val="left"/>
      <w:pPr>
        <w:tabs>
          <w:tab w:val="num" w:pos="0"/>
        </w:tabs>
        <w:ind w:left="3960" w:hanging="1080"/>
      </w:pPr>
      <w:rPr/>
    </w:lvl>
    <w:lvl w:ilvl="5">
      <w:start w:val="1"/>
      <w:numFmt w:val="decimal"/>
      <w:lvlText w:val="%1.%2.%3.%4.%5.%6."/>
      <w:lvlJc w:val="left"/>
      <w:pPr>
        <w:tabs>
          <w:tab w:val="num" w:pos="0"/>
        </w:tabs>
        <w:ind w:left="5040" w:hanging="1440"/>
      </w:pPr>
      <w:rPr/>
    </w:lvl>
    <w:lvl w:ilvl="6">
      <w:start w:val="1"/>
      <w:numFmt w:val="decimal"/>
      <w:lvlText w:val="%1.%2.%3.%4.%5.%6.%7."/>
      <w:lvlJc w:val="left"/>
      <w:pPr>
        <w:tabs>
          <w:tab w:val="num" w:pos="0"/>
        </w:tabs>
        <w:ind w:left="6120" w:hanging="1800"/>
      </w:pPr>
      <w:rPr/>
    </w:lvl>
    <w:lvl w:ilvl="7">
      <w:start w:val="1"/>
      <w:numFmt w:val="decimal"/>
      <w:lvlText w:val="%1.%2.%3.%4.%5.%6.%7.%8."/>
      <w:lvlJc w:val="left"/>
      <w:pPr>
        <w:tabs>
          <w:tab w:val="num" w:pos="0"/>
        </w:tabs>
        <w:ind w:left="6840" w:hanging="1800"/>
      </w:pPr>
      <w:rPr/>
    </w:lvl>
    <w:lvl w:ilvl="8">
      <w:start w:val="1"/>
      <w:numFmt w:val="decimal"/>
      <w:lvlText w:val="%1.%2.%3.%4.%5.%6.%7.%8.%9."/>
      <w:lvlJc w:val="left"/>
      <w:pPr>
        <w:tabs>
          <w:tab w:val="num" w:pos="0"/>
        </w:tabs>
        <w:ind w:left="7920" w:hanging="2160"/>
      </w:pPr>
      <w:rPr/>
    </w:lvl>
  </w:abstractNum>
  <w:abstractNum w:abstractNumId="8">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9">
    <w:lvl w:ilvl="0">
      <w:start w:val="1"/>
      <w:numFmt w:val="decimal"/>
      <w:lvlText w:val="%1."/>
      <w:lvlJc w:val="left"/>
      <w:pPr>
        <w:tabs>
          <w:tab w:val="num" w:pos="0"/>
        </w:tabs>
        <w:ind w:left="450" w:hanging="450"/>
      </w:pPr>
      <w:rPr/>
    </w:lvl>
    <w:lvl w:ilvl="1">
      <w:start w:val="3"/>
      <w:numFmt w:val="decimal"/>
      <w:lvlText w:val="%1.%2."/>
      <w:lvlJc w:val="left"/>
      <w:pPr>
        <w:tabs>
          <w:tab w:val="num" w:pos="0"/>
        </w:tabs>
        <w:ind w:left="720" w:hanging="720"/>
      </w:pPr>
      <w:rPr/>
    </w:lvl>
    <w:lvl w:ilvl="2">
      <w:start w:val="1"/>
      <w:numFmt w:val="decimal"/>
      <w:lvlText w:val="%1.%2.%3."/>
      <w:lvlJc w:val="left"/>
      <w:pPr>
        <w:tabs>
          <w:tab w:val="num" w:pos="0"/>
        </w:tabs>
        <w:ind w:left="720" w:hanging="720"/>
      </w:pPr>
      <w:rPr/>
    </w:lvl>
    <w:lvl w:ilvl="3">
      <w:start w:val="1"/>
      <w:numFmt w:val="decimal"/>
      <w:lvlText w:val="%1.%2.%3.%4."/>
      <w:lvlJc w:val="left"/>
      <w:pPr>
        <w:tabs>
          <w:tab w:val="num" w:pos="0"/>
        </w:tabs>
        <w:ind w:left="1080" w:hanging="1080"/>
      </w:pPr>
      <w:rPr/>
    </w:lvl>
    <w:lvl w:ilvl="4">
      <w:start w:val="1"/>
      <w:numFmt w:val="decimal"/>
      <w:lvlText w:val="%1.%2.%3.%4.%5."/>
      <w:lvlJc w:val="left"/>
      <w:pPr>
        <w:tabs>
          <w:tab w:val="num" w:pos="0"/>
        </w:tabs>
        <w:ind w:left="1080" w:hanging="1080"/>
      </w:pPr>
      <w:rPr/>
    </w:lvl>
    <w:lvl w:ilvl="5">
      <w:start w:val="1"/>
      <w:numFmt w:val="decimal"/>
      <w:lvlText w:val="%1.%2.%3.%4.%5.%6."/>
      <w:lvlJc w:val="left"/>
      <w:pPr>
        <w:tabs>
          <w:tab w:val="num" w:pos="0"/>
        </w:tabs>
        <w:ind w:left="1440" w:hanging="1440"/>
      </w:pPr>
      <w:rPr/>
    </w:lvl>
    <w:lvl w:ilvl="6">
      <w:start w:val="1"/>
      <w:numFmt w:val="decimal"/>
      <w:lvlText w:val="%1.%2.%3.%4.%5.%6.%7."/>
      <w:lvlJc w:val="left"/>
      <w:pPr>
        <w:tabs>
          <w:tab w:val="num" w:pos="0"/>
        </w:tabs>
        <w:ind w:left="1800" w:hanging="1800"/>
      </w:pPr>
      <w:rPr/>
    </w:lvl>
    <w:lvl w:ilvl="7">
      <w:start w:val="1"/>
      <w:numFmt w:val="decimal"/>
      <w:lvlText w:val="%1.%2.%3.%4.%5.%6.%7.%8."/>
      <w:lvlJc w:val="left"/>
      <w:pPr>
        <w:tabs>
          <w:tab w:val="num" w:pos="0"/>
        </w:tabs>
        <w:ind w:left="1800" w:hanging="1800"/>
      </w:pPr>
      <w:rPr/>
    </w:lvl>
    <w:lvl w:ilvl="8">
      <w:start w:val="1"/>
      <w:numFmt w:val="decimal"/>
      <w:lvlText w:val="%1.%2.%3.%4.%5.%6.%7.%8.%9."/>
      <w:lvlJc w:val="left"/>
      <w:pPr>
        <w:tabs>
          <w:tab w:val="num" w:pos="0"/>
        </w:tabs>
        <w:ind w:left="2160" w:hanging="2160"/>
      </w:pPr>
      <w:rPr/>
    </w:lvl>
  </w:abstractNum>
  <w:abstractNum w:abstractNumId="10">
    <w:lvl w:ilvl="0">
      <w:start w:val="1"/>
      <w:numFmt w:val="decimal"/>
      <w:lvlText w:val="%1."/>
      <w:lvlJc w:val="left"/>
      <w:pPr>
        <w:tabs>
          <w:tab w:val="num" w:pos="0"/>
        </w:tabs>
        <w:ind w:left="450" w:hanging="450"/>
      </w:pPr>
      <w:rPr/>
    </w:lvl>
    <w:lvl w:ilvl="1">
      <w:start w:val="5"/>
      <w:numFmt w:val="decimal"/>
      <w:lvlText w:val="%1.%2."/>
      <w:lvlJc w:val="left"/>
      <w:pPr>
        <w:tabs>
          <w:tab w:val="num" w:pos="0"/>
        </w:tabs>
        <w:ind w:left="1170" w:hanging="720"/>
      </w:pPr>
      <w:rPr/>
    </w:lvl>
    <w:lvl w:ilvl="2">
      <w:start w:val="1"/>
      <w:numFmt w:val="decimal"/>
      <w:lvlText w:val="%1.%2.%3."/>
      <w:lvlJc w:val="left"/>
      <w:pPr>
        <w:tabs>
          <w:tab w:val="num" w:pos="0"/>
        </w:tabs>
        <w:ind w:left="1620" w:hanging="720"/>
      </w:pPr>
      <w:rPr/>
    </w:lvl>
    <w:lvl w:ilvl="3">
      <w:start w:val="1"/>
      <w:numFmt w:val="decimal"/>
      <w:lvlText w:val="%1.%2.%3.%4."/>
      <w:lvlJc w:val="left"/>
      <w:pPr>
        <w:tabs>
          <w:tab w:val="num" w:pos="0"/>
        </w:tabs>
        <w:ind w:left="2430" w:hanging="1080"/>
      </w:pPr>
      <w:rPr/>
    </w:lvl>
    <w:lvl w:ilvl="4">
      <w:start w:val="1"/>
      <w:numFmt w:val="decimal"/>
      <w:lvlText w:val="%1.%2.%3.%4.%5."/>
      <w:lvlJc w:val="left"/>
      <w:pPr>
        <w:tabs>
          <w:tab w:val="num" w:pos="0"/>
        </w:tabs>
        <w:ind w:left="2880" w:hanging="1080"/>
      </w:pPr>
      <w:rPr/>
    </w:lvl>
    <w:lvl w:ilvl="5">
      <w:start w:val="1"/>
      <w:numFmt w:val="decimal"/>
      <w:lvlText w:val="%1.%2.%3.%4.%5.%6."/>
      <w:lvlJc w:val="left"/>
      <w:pPr>
        <w:tabs>
          <w:tab w:val="num" w:pos="0"/>
        </w:tabs>
        <w:ind w:left="3690" w:hanging="1440"/>
      </w:pPr>
      <w:rPr/>
    </w:lvl>
    <w:lvl w:ilvl="6">
      <w:start w:val="1"/>
      <w:numFmt w:val="decimal"/>
      <w:lvlText w:val="%1.%2.%3.%4.%5.%6.%7."/>
      <w:lvlJc w:val="left"/>
      <w:pPr>
        <w:tabs>
          <w:tab w:val="num" w:pos="0"/>
        </w:tabs>
        <w:ind w:left="4500" w:hanging="1800"/>
      </w:pPr>
      <w:rPr/>
    </w:lvl>
    <w:lvl w:ilvl="7">
      <w:start w:val="1"/>
      <w:numFmt w:val="decimal"/>
      <w:lvlText w:val="%1.%2.%3.%4.%5.%6.%7.%8."/>
      <w:lvlJc w:val="left"/>
      <w:pPr>
        <w:tabs>
          <w:tab w:val="num" w:pos="0"/>
        </w:tabs>
        <w:ind w:left="4950" w:hanging="1800"/>
      </w:pPr>
      <w:rPr/>
    </w:lvl>
    <w:lvl w:ilvl="8">
      <w:start w:val="1"/>
      <w:numFmt w:val="decimal"/>
      <w:lvlText w:val="%1.%2.%3.%4.%5.%6.%7.%8.%9."/>
      <w:lvlJc w:val="left"/>
      <w:pPr>
        <w:tabs>
          <w:tab w:val="num" w:pos="0"/>
        </w:tabs>
        <w:ind w:left="5760" w:hanging="2160"/>
      </w:pPr>
      <w:rPr/>
    </w:lvl>
  </w:abstractNum>
  <w:abstractNum w:abstractNumId="11">
    <w:lvl w:ilvl="0">
      <w:start w:val="1"/>
      <w:numFmt w:val="bullet"/>
      <w:lvlText w:val=""/>
      <w:lvlJc w:val="left"/>
      <w:pPr>
        <w:tabs>
          <w:tab w:val="num" w:pos="0"/>
        </w:tabs>
        <w:ind w:left="1429" w:hanging="360"/>
      </w:pPr>
      <w:rPr>
        <w:rFonts w:ascii="Symbol" w:hAnsi="Symbol" w:cs="Symbol" w:hint="default"/>
      </w:rPr>
    </w:lvl>
    <w:lvl w:ilvl="1">
      <w:start w:val="1"/>
      <w:numFmt w:val="bullet"/>
      <w:lvlText w:val="o"/>
      <w:lvlJc w:val="left"/>
      <w:pPr>
        <w:tabs>
          <w:tab w:val="num" w:pos="0"/>
        </w:tabs>
        <w:ind w:left="2149" w:hanging="360"/>
      </w:pPr>
      <w:rPr>
        <w:rFonts w:ascii="Courier New" w:hAnsi="Courier New" w:cs="Courier New" w:hint="default"/>
      </w:rPr>
    </w:lvl>
    <w:lvl w:ilvl="2">
      <w:start w:val="1"/>
      <w:numFmt w:val="bullet"/>
      <w:lvlText w:val=""/>
      <w:lvlJc w:val="left"/>
      <w:pPr>
        <w:tabs>
          <w:tab w:val="num" w:pos="0"/>
        </w:tabs>
        <w:ind w:left="2869" w:hanging="360"/>
      </w:pPr>
      <w:rPr>
        <w:rFonts w:ascii="Wingdings" w:hAnsi="Wingdings" w:cs="Wingdings" w:hint="default"/>
      </w:rPr>
    </w:lvl>
    <w:lvl w:ilvl="3">
      <w:start w:val="1"/>
      <w:numFmt w:val="bullet"/>
      <w:lvlText w:val=""/>
      <w:lvlJc w:val="left"/>
      <w:pPr>
        <w:tabs>
          <w:tab w:val="num" w:pos="0"/>
        </w:tabs>
        <w:ind w:left="3589" w:hanging="360"/>
      </w:pPr>
      <w:rPr>
        <w:rFonts w:ascii="Symbol" w:hAnsi="Symbol" w:cs="Symbol" w:hint="default"/>
      </w:rPr>
    </w:lvl>
    <w:lvl w:ilvl="4">
      <w:start w:val="1"/>
      <w:numFmt w:val="bullet"/>
      <w:lvlText w:val="o"/>
      <w:lvlJc w:val="left"/>
      <w:pPr>
        <w:tabs>
          <w:tab w:val="num" w:pos="0"/>
        </w:tabs>
        <w:ind w:left="4309" w:hanging="360"/>
      </w:pPr>
      <w:rPr>
        <w:rFonts w:ascii="Courier New" w:hAnsi="Courier New" w:cs="Courier New" w:hint="default"/>
      </w:rPr>
    </w:lvl>
    <w:lvl w:ilvl="5">
      <w:start w:val="1"/>
      <w:numFmt w:val="bullet"/>
      <w:lvlText w:val=""/>
      <w:lvlJc w:val="left"/>
      <w:pPr>
        <w:tabs>
          <w:tab w:val="num" w:pos="0"/>
        </w:tabs>
        <w:ind w:left="5029" w:hanging="360"/>
      </w:pPr>
      <w:rPr>
        <w:rFonts w:ascii="Wingdings" w:hAnsi="Wingdings" w:cs="Wingdings" w:hint="default"/>
      </w:rPr>
    </w:lvl>
    <w:lvl w:ilvl="6">
      <w:start w:val="1"/>
      <w:numFmt w:val="bullet"/>
      <w:lvlText w:val=""/>
      <w:lvlJc w:val="left"/>
      <w:pPr>
        <w:tabs>
          <w:tab w:val="num" w:pos="0"/>
        </w:tabs>
        <w:ind w:left="5749" w:hanging="360"/>
      </w:pPr>
      <w:rPr>
        <w:rFonts w:ascii="Symbol" w:hAnsi="Symbol" w:cs="Symbol" w:hint="default"/>
      </w:rPr>
    </w:lvl>
    <w:lvl w:ilvl="7">
      <w:start w:val="1"/>
      <w:numFmt w:val="bullet"/>
      <w:lvlText w:val="o"/>
      <w:lvlJc w:val="left"/>
      <w:pPr>
        <w:tabs>
          <w:tab w:val="num" w:pos="0"/>
        </w:tabs>
        <w:ind w:left="6469" w:hanging="360"/>
      </w:pPr>
      <w:rPr>
        <w:rFonts w:ascii="Courier New" w:hAnsi="Courier New" w:cs="Courier New" w:hint="default"/>
      </w:rPr>
    </w:lvl>
    <w:lvl w:ilvl="8">
      <w:start w:val="1"/>
      <w:numFmt w:val="bullet"/>
      <w:lvlText w:val=""/>
      <w:lvlJc w:val="left"/>
      <w:pPr>
        <w:tabs>
          <w:tab w:val="num" w:pos="0"/>
        </w:tabs>
        <w:ind w:left="7189" w:hanging="360"/>
      </w:pPr>
      <w:rPr>
        <w:rFonts w:ascii="Wingdings" w:hAnsi="Wingdings" w:cs="Wingdings" w:hint="default"/>
      </w:rPr>
    </w:lvl>
  </w:abstractNum>
  <w:abstractNum w:abstractNumId="12">
    <w:lvl w:ilvl="0">
      <w:start w:val="1"/>
      <w:numFmt w:val="decimal"/>
      <w:lvlText w:val="%1."/>
      <w:lvlJc w:val="left"/>
      <w:pPr>
        <w:tabs>
          <w:tab w:val="num" w:pos="0"/>
        </w:tabs>
        <w:ind w:left="1429" w:hanging="360"/>
      </w:pPr>
      <w:rPr/>
    </w:lvl>
    <w:lvl w:ilvl="1">
      <w:start w:val="1"/>
      <w:numFmt w:val="lowerLetter"/>
      <w:lvlText w:val="%2."/>
      <w:lvlJc w:val="left"/>
      <w:pPr>
        <w:tabs>
          <w:tab w:val="num" w:pos="0"/>
        </w:tabs>
        <w:ind w:left="2149" w:hanging="360"/>
      </w:pPr>
      <w:rPr/>
    </w:lvl>
    <w:lvl w:ilvl="2">
      <w:start w:val="1"/>
      <w:numFmt w:val="lowerRoman"/>
      <w:lvlText w:val="%3."/>
      <w:lvlJc w:val="right"/>
      <w:pPr>
        <w:tabs>
          <w:tab w:val="num" w:pos="0"/>
        </w:tabs>
        <w:ind w:left="2869" w:hanging="180"/>
      </w:pPr>
      <w:rPr/>
    </w:lvl>
    <w:lvl w:ilvl="3">
      <w:start w:val="1"/>
      <w:numFmt w:val="decimal"/>
      <w:lvlText w:val="%4."/>
      <w:lvlJc w:val="left"/>
      <w:pPr>
        <w:tabs>
          <w:tab w:val="num" w:pos="0"/>
        </w:tabs>
        <w:ind w:left="3589" w:hanging="360"/>
      </w:pPr>
      <w:rPr/>
    </w:lvl>
    <w:lvl w:ilvl="4">
      <w:start w:val="1"/>
      <w:numFmt w:val="lowerLetter"/>
      <w:lvlText w:val="%5."/>
      <w:lvlJc w:val="left"/>
      <w:pPr>
        <w:tabs>
          <w:tab w:val="num" w:pos="0"/>
        </w:tabs>
        <w:ind w:left="4309" w:hanging="360"/>
      </w:pPr>
      <w:rPr/>
    </w:lvl>
    <w:lvl w:ilvl="5">
      <w:start w:val="1"/>
      <w:numFmt w:val="lowerRoman"/>
      <w:lvlText w:val="%6."/>
      <w:lvlJc w:val="right"/>
      <w:pPr>
        <w:tabs>
          <w:tab w:val="num" w:pos="0"/>
        </w:tabs>
        <w:ind w:left="5029" w:hanging="180"/>
      </w:pPr>
      <w:rPr/>
    </w:lvl>
    <w:lvl w:ilvl="6">
      <w:start w:val="1"/>
      <w:numFmt w:val="decimal"/>
      <w:lvlText w:val="%7."/>
      <w:lvlJc w:val="left"/>
      <w:pPr>
        <w:tabs>
          <w:tab w:val="num" w:pos="0"/>
        </w:tabs>
        <w:ind w:left="5749" w:hanging="360"/>
      </w:pPr>
      <w:rPr/>
    </w:lvl>
    <w:lvl w:ilvl="7">
      <w:start w:val="1"/>
      <w:numFmt w:val="lowerLetter"/>
      <w:lvlText w:val="%8."/>
      <w:lvlJc w:val="left"/>
      <w:pPr>
        <w:tabs>
          <w:tab w:val="num" w:pos="0"/>
        </w:tabs>
        <w:ind w:left="6469" w:hanging="360"/>
      </w:pPr>
      <w:rPr/>
    </w:lvl>
    <w:lvl w:ilvl="8">
      <w:start w:val="1"/>
      <w:numFmt w:val="lowerRoman"/>
      <w:lvlText w:val="%9."/>
      <w:lvlJc w:val="right"/>
      <w:pPr>
        <w:tabs>
          <w:tab w:val="num" w:pos="0"/>
        </w:tabs>
        <w:ind w:left="7189" w:hanging="180"/>
      </w:pPr>
      <w:rPr/>
    </w:lvl>
  </w:abstractNum>
  <w:abstractNum w:abstractNumId="1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7">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0">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1">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2">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3">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26">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bering>
</file>

<file path=word/settings.xml><?xml version="1.0" encoding="utf-8"?>
<w:settings xmlns:w="http://schemas.openxmlformats.org/wordprocessingml/2006/main">
  <w:zoom w:percent="100"/>
  <w:defaultTabStop w:val="708"/>
  <w:autoHyphenation w:val="true"/>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Tahoma"/>
        <w:sz w:val="22"/>
        <w:szCs w:val="22"/>
        <w:lang w:val="ru-RU"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360" w:before="0" w:after="160"/>
      <w:jc w:val="both"/>
    </w:pPr>
    <w:rPr>
      <w:rFonts w:ascii="Times New Roman" w:hAnsi="Times New Roman" w:eastAsia="Calibri" w:cs="Tahoma"/>
      <w:color w:val="auto"/>
      <w:kern w:val="0"/>
      <w:sz w:val="28"/>
      <w:szCs w:val="22"/>
      <w:lang w:val="ru-RU" w:eastAsia="en-US" w:bidi="ar-SA"/>
    </w:rPr>
  </w:style>
  <w:style w:type="paragraph" w:styleId="Heading1">
    <w:name w:val="Heading 1"/>
    <w:basedOn w:val="Normal"/>
    <w:next w:val="Normal"/>
    <w:link w:val="1"/>
    <w:qFormat/>
    <w:pPr>
      <w:keepNext w:val="true"/>
      <w:keepLines/>
      <w:numPr>
        <w:ilvl w:val="0"/>
        <w:numId w:val="0"/>
      </w:numPr>
      <w:spacing w:lineRule="auto" w:line="360" w:before="480" w:after="0"/>
      <w:jc w:val="center"/>
      <w:outlineLvl w:val="0"/>
    </w:pPr>
    <w:rPr>
      <w:rFonts w:ascii="Times New Roman" w:hAnsi="Times New Roman" w:eastAsia="Calibri" w:cs="Times New Roman"/>
      <w:b w:val="false"/>
      <w:bCs/>
      <w:color w:val="000000"/>
      <w:sz w:val="28"/>
      <w:szCs w:val="28"/>
    </w:rPr>
  </w:style>
  <w:style w:type="paragraph" w:styleId="Heading2">
    <w:name w:val="Heading 2"/>
    <w:basedOn w:val="Normal"/>
    <w:next w:val="Normal"/>
    <w:link w:val="2"/>
    <w:qFormat/>
    <w:pPr>
      <w:keepNext w:val="true"/>
      <w:keepLines/>
      <w:numPr>
        <w:ilvl w:val="0"/>
        <w:numId w:val="0"/>
      </w:numPr>
      <w:spacing w:before="40" w:after="0"/>
      <w:outlineLvl w:val="1"/>
    </w:pPr>
    <w:rPr>
      <w:rFonts w:ascii="Calibri Light" w:hAnsi="Calibri Light" w:eastAsia="Calibri" w:cs="Tahoma"/>
      <w:color w:themeColor="accent1" w:themeShade="bf" w:val="2F5496"/>
      <w:sz w:val="26"/>
      <w:szCs w:val="26"/>
    </w:rPr>
  </w:style>
  <w:style w:type="character" w:styleId="DefaultParagraphFont">
    <w:name w:val="Default Paragraph Font"/>
    <w:qFormat/>
    <w:rPr/>
  </w:style>
  <w:style w:type="character" w:styleId="1">
    <w:name w:val="Заголовок 1 Знак"/>
    <w:basedOn w:val="DefaultParagraphFont"/>
    <w:qFormat/>
    <w:rPr>
      <w:rFonts w:ascii="Cambria" w:hAnsi="Cambria" w:eastAsia="Calibri" w:cs="Times New Roman"/>
      <w:b/>
      <w:bCs/>
      <w:color w:val="365F91"/>
      <w:sz w:val="28"/>
      <w:szCs w:val="28"/>
    </w:rPr>
  </w:style>
  <w:style w:type="character" w:styleId="Style12">
    <w:name w:val="Абзац списка Знак"/>
    <w:link w:val="ListParagraph"/>
    <w:qFormat/>
    <w:rPr/>
  </w:style>
  <w:style w:type="character" w:styleId="InternetLink">
    <w:name w:val="Internet Link"/>
    <w:basedOn w:val="DefaultParagraphFont"/>
    <w:qFormat/>
    <w:rPr>
      <w:color w:themeColor="hyperlink" w:val="0563C1"/>
      <w:u w:val="single"/>
    </w:rPr>
  </w:style>
  <w:style w:type="character" w:styleId="2">
    <w:name w:val="Заголовок 2 Знак"/>
    <w:basedOn w:val="DefaultParagraphFont"/>
    <w:qFormat/>
    <w:rPr>
      <w:rFonts w:ascii="Calibri Light" w:hAnsi="Calibri Light" w:eastAsia="Calibri" w:cs="Tahoma"/>
      <w:color w:themeColor="accent1" w:themeShade="bf" w:val="2F5496"/>
      <w:sz w:val="26"/>
      <w:szCs w:val="26"/>
    </w:rPr>
  </w:style>
  <w:style w:type="character" w:styleId="Style13">
    <w:name w:val="Обычный (Интернет) Знак"/>
    <w:link w:val="NormalWeb"/>
    <w:qFormat/>
    <w:rPr>
      <w:rFonts w:ascii="Times New Roman" w:hAnsi="Times New Roman" w:eastAsia="Times New Roman" w:cs="Times New Roman"/>
      <w:sz w:val="24"/>
      <w:szCs w:val="24"/>
      <w:lang w:eastAsia="ru-RU"/>
    </w:rPr>
  </w:style>
  <w:style w:type="character" w:styleId="apple-converted-space">
    <w:name w:val="apple-converted-space"/>
    <w:qFormat/>
    <w:rPr>
      <w:rFonts w:cs="Times New Roman"/>
    </w:rPr>
  </w:style>
  <w:style w:type="character" w:styleId="Style14">
    <w:name w:val="Верхний колонтитул Знак"/>
    <w:basedOn w:val="DefaultParagraphFont"/>
    <w:qFormat/>
    <w:rPr/>
  </w:style>
  <w:style w:type="character" w:styleId="Style15">
    <w:name w:val="Нижний колонтитул Знак"/>
    <w:basedOn w:val="DefaultParagraphFont"/>
    <w:qFormat/>
    <w:rPr/>
  </w:style>
  <w:style w:type="character" w:styleId="InternetLink1">
    <w:name w:val="Internet Link1"/>
    <w:qFormat/>
    <w:rPr>
      <w:color w:val="000080"/>
      <w:u w:val="single"/>
    </w:rPr>
  </w:style>
  <w:style w:type="character" w:styleId="Style16">
    <w:name w:val="Ссылка указателя"/>
    <w:qFormat/>
    <w:rPr/>
  </w:style>
  <w:style w:type="character" w:styleId="Style17">
    <w:name w:val="Маркеры"/>
    <w:qFormat/>
    <w:rPr>
      <w:rFonts w:ascii="OpenSymbol" w:hAnsi="OpenSymbol" w:eastAsia="OpenSymbol" w:cs="OpenSymbol"/>
    </w:rPr>
  </w:style>
  <w:style w:type="character" w:styleId="Style18">
    <w:name w:val="Символ нумерации"/>
    <w:qFormat/>
    <w:rPr/>
  </w:style>
  <w:style w:type="character" w:styleId="InternetLink2">
    <w:name w:val="Internet Link2"/>
    <w:qFormat/>
    <w:rPr>
      <w:color w:val="000080"/>
      <w:u w:val="single"/>
    </w:rPr>
  </w:style>
  <w:style w:type="character" w:styleId="InternetLink3">
    <w:name w:val="Internet Link3"/>
    <w:qFormat/>
    <w:rPr>
      <w:color w:val="000080"/>
      <w:u w:val="single"/>
    </w:rPr>
  </w:style>
  <w:style w:type="character" w:styleId="InternetLink4">
    <w:name w:val="Internet Link4"/>
    <w:qFormat/>
    <w:rPr>
      <w:color w:val="000080"/>
      <w:u w:val="single"/>
    </w:rPr>
  </w:style>
  <w:style w:type="character" w:styleId="InternetLink5">
    <w:name w:val="Internet Link5"/>
    <w:qFormat/>
    <w:rPr>
      <w:color w:val="000080"/>
      <w:u w:val="single"/>
    </w:rPr>
  </w:style>
  <w:style w:type="character" w:styleId="Hyperlink">
    <w:name w:val="Hyperlink"/>
    <w:rPr>
      <w:color w:val="000080"/>
      <w:u w:val="single"/>
    </w:rPr>
  </w:style>
  <w:style w:type="paragraph" w:styleId="Style19">
    <w:name w:val="Заголовок"/>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Style20">
    <w:name w:val="Указатель"/>
    <w:basedOn w:val="Normal"/>
    <w:qFormat/>
    <w:pPr>
      <w:suppressLineNumbers/>
    </w:pPr>
    <w:rPr>
      <w:rFonts w:cs="Arial"/>
    </w:rPr>
  </w:style>
  <w:style w:type="paragraph" w:styleId="ListParagraph">
    <w:name w:val="List Paragraph"/>
    <w:basedOn w:val="Normal"/>
    <w:link w:val="Style12"/>
    <w:qFormat/>
    <w:pPr>
      <w:spacing w:before="0" w:after="160"/>
      <w:ind w:left="720"/>
      <w:contextualSpacing/>
    </w:pPr>
    <w:rPr/>
  </w:style>
  <w:style w:type="paragraph" w:styleId="3">
    <w:name w:val="заголовок 3"/>
    <w:basedOn w:val="Normal"/>
    <w:next w:val="Normal"/>
    <w:qFormat/>
    <w:pPr>
      <w:keepNext w:val="true"/>
      <w:widowControl w:val="false"/>
      <w:spacing w:lineRule="auto" w:line="240" w:before="0" w:after="0"/>
      <w:ind w:firstLine="567"/>
      <w:jc w:val="center"/>
    </w:pPr>
    <w:rPr>
      <w:rFonts w:ascii="Times New Roman" w:hAnsi="Times New Roman" w:eastAsia="Times New Roman" w:cs="Times New Roman"/>
      <w:b/>
      <w:bCs/>
      <w:sz w:val="28"/>
      <w:szCs w:val="28"/>
      <w:lang w:eastAsia="ru-RU"/>
    </w:rPr>
  </w:style>
  <w:style w:type="paragraph" w:styleId="IndexHeading">
    <w:name w:val="Index Heading"/>
    <w:basedOn w:val="Style19"/>
    <w:pPr/>
    <w:rPr/>
  </w:style>
  <w:style w:type="paragraph" w:styleId="TOCHeading">
    <w:name w:val="TOC Heading"/>
    <w:basedOn w:val="Heading1"/>
    <w:next w:val="Normal"/>
    <w:qFormat/>
    <w:pPr>
      <w:spacing w:lineRule="auto" w:line="259" w:before="240" w:after="0"/>
      <w:jc w:val="center"/>
      <w:outlineLvl w:val="9"/>
    </w:pPr>
    <w:rPr>
      <w:rFonts w:ascii="Times New Roman" w:hAnsi="Times New Roman" w:cs="Tahoma"/>
      <w:b w:val="false"/>
      <w:bCs w:val="false"/>
      <w:color w:val="000000"/>
      <w:sz w:val="28"/>
      <w:szCs w:val="32"/>
      <w:lang w:eastAsia="ru-RU"/>
    </w:rPr>
  </w:style>
  <w:style w:type="paragraph" w:styleId="TOC1">
    <w:name w:val="TOC 1"/>
    <w:basedOn w:val="Normal"/>
    <w:next w:val="Normal"/>
    <w:autoRedefine/>
    <w:pPr>
      <w:spacing w:before="0" w:after="100"/>
    </w:pPr>
    <w:rPr/>
  </w:style>
  <w:style w:type="paragraph" w:styleId="TOC2">
    <w:name w:val="TOC 2"/>
    <w:basedOn w:val="Normal"/>
    <w:next w:val="Normal"/>
    <w:autoRedefine/>
    <w:pPr>
      <w:spacing w:before="0" w:after="100"/>
      <w:ind w:left="220"/>
    </w:pPr>
    <w:rPr/>
  </w:style>
  <w:style w:type="paragraph" w:styleId="NormalWeb">
    <w:name w:val="Normal (Web)"/>
    <w:basedOn w:val="Normal"/>
    <w:link w:val="Style13"/>
    <w:qFormat/>
    <w:pPr>
      <w:spacing w:lineRule="auto" w:line="240" w:before="280" w:after="280"/>
    </w:pPr>
    <w:rPr>
      <w:rFonts w:ascii="Times New Roman" w:hAnsi="Times New Roman" w:eastAsia="Times New Roman" w:cs="Times New Roman"/>
      <w:sz w:val="24"/>
      <w:szCs w:val="24"/>
      <w:lang w:eastAsia="ru-RU"/>
    </w:rPr>
  </w:style>
  <w:style w:type="paragraph" w:styleId="Style21">
    <w:name w:val="Колонтитул"/>
    <w:basedOn w:val="Normal"/>
    <w:qFormat/>
    <w:pPr/>
    <w:rPr/>
  </w:style>
  <w:style w:type="paragraph" w:styleId="Header">
    <w:name w:val="Header"/>
    <w:basedOn w:val="Normal"/>
    <w:link w:val="Style14"/>
    <w:pPr>
      <w:tabs>
        <w:tab w:val="clear" w:pos="708"/>
        <w:tab w:val="center" w:pos="4677" w:leader="none"/>
        <w:tab w:val="right" w:pos="9355" w:leader="none"/>
      </w:tabs>
      <w:spacing w:lineRule="auto" w:line="240" w:before="0" w:after="0"/>
    </w:pPr>
    <w:rPr/>
  </w:style>
  <w:style w:type="paragraph" w:styleId="Footer">
    <w:name w:val="Footer"/>
    <w:basedOn w:val="Normal"/>
    <w:link w:val="Style15"/>
    <w:pPr>
      <w:tabs>
        <w:tab w:val="clear" w:pos="708"/>
        <w:tab w:val="center" w:pos="4677" w:leader="none"/>
        <w:tab w:val="right" w:pos="9355" w:leader="none"/>
      </w:tabs>
      <w:spacing w:lineRule="auto" w:line="240" w:before="0" w:after="0"/>
    </w:pPr>
    <w:rPr/>
  </w:style>
  <w:style w:type="paragraph" w:styleId="Style22">
    <w:name w:val="Содержимое таблицы"/>
    <w:basedOn w:val="Normal"/>
    <w:qFormat/>
    <w:pPr>
      <w:widowControl w:val="false"/>
      <w:suppressLineNumbers/>
    </w:pPr>
    <w:rPr/>
  </w:style>
  <w:style w:type="paragraph" w:styleId="Style23">
    <w:name w:val="Объект без заливки"/>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Style24">
    <w:name w:val="Объект без заливки и линий"/>
    <w:basedOn w:val="Normal"/>
    <w:qFormat/>
    <w:pPr>
      <w:spacing w:lineRule="atLeast" w:line="0" w:before="0" w:after="0"/>
    </w:pPr>
    <w:rPr>
      <w:rFonts w:ascii="Arial" w:hAnsi="Arial"/>
      <w:b w:val="false"/>
      <w:i w:val="false"/>
      <w:caps w:val="false"/>
      <w:smallCaps w:val="false"/>
      <w:strike w:val="false"/>
      <w:dstrike w:val="false"/>
      <w:outline w:val="false"/>
      <w:shadow w:val="false"/>
      <w:color w:val="auto"/>
      <w:kern w:val="2"/>
      <w:sz w:val="36"/>
      <w:u w:val="none"/>
      <w:em w:val="none"/>
    </w:rPr>
  </w:style>
  <w:style w:type="paragraph" w:styleId="A4">
    <w:name w:val="A4"/>
    <w:basedOn w:val="Style25"/>
    <w:qFormat/>
    <w:pPr/>
    <w:rPr>
      <w:rFonts w:ascii="Noto Sans" w:hAnsi="Noto Sans"/>
      <w:sz w:val="36"/>
    </w:rPr>
  </w:style>
  <w:style w:type="paragraph" w:styleId="Style25">
    <w:name w:val="Текст"/>
    <w:basedOn w:val="Caption"/>
    <w:qFormat/>
    <w:pPr/>
    <w:rPr/>
  </w:style>
  <w:style w:type="paragraph" w:styleId="4">
    <w:name w:val="Заглавие А4"/>
    <w:basedOn w:val="A4"/>
    <w:qFormat/>
    <w:pPr/>
    <w:rPr>
      <w:rFonts w:ascii="Noto Sans" w:hAnsi="Noto Sans"/>
      <w:sz w:val="88"/>
    </w:rPr>
  </w:style>
  <w:style w:type="paragraph" w:styleId="41">
    <w:name w:val="Заголовок А4"/>
    <w:basedOn w:val="A4"/>
    <w:qFormat/>
    <w:pPr/>
    <w:rPr>
      <w:rFonts w:ascii="Noto Sans" w:hAnsi="Noto Sans"/>
      <w:sz w:val="48"/>
    </w:rPr>
  </w:style>
  <w:style w:type="paragraph" w:styleId="42">
    <w:name w:val="Текст А4"/>
    <w:basedOn w:val="A4"/>
    <w:qFormat/>
    <w:pPr/>
    <w:rPr>
      <w:rFonts w:ascii="Noto Sans" w:hAnsi="Noto Sans"/>
      <w:sz w:val="36"/>
    </w:rPr>
  </w:style>
  <w:style w:type="paragraph" w:styleId="A0">
    <w:name w:val="A0"/>
    <w:basedOn w:val="Style25"/>
    <w:qFormat/>
    <w:pPr/>
    <w:rPr>
      <w:rFonts w:ascii="Noto Sans" w:hAnsi="Noto Sans"/>
      <w:sz w:val="96"/>
    </w:rPr>
  </w:style>
  <w:style w:type="paragraph" w:styleId="0">
    <w:name w:val="Заглавие А0"/>
    <w:basedOn w:val="A0"/>
    <w:qFormat/>
    <w:pPr/>
    <w:rPr>
      <w:rFonts w:ascii="Noto Sans" w:hAnsi="Noto Sans"/>
      <w:sz w:val="192"/>
    </w:rPr>
  </w:style>
  <w:style w:type="paragraph" w:styleId="01">
    <w:name w:val="Заголовок А0"/>
    <w:basedOn w:val="A0"/>
    <w:qFormat/>
    <w:pPr/>
    <w:rPr>
      <w:rFonts w:ascii="Noto Sans" w:hAnsi="Noto Sans"/>
      <w:sz w:val="143"/>
    </w:rPr>
  </w:style>
  <w:style w:type="paragraph" w:styleId="02">
    <w:name w:val="Текст А0"/>
    <w:basedOn w:val="A0"/>
    <w:qFormat/>
    <w:pPr/>
    <w:rPr>
      <w:rFonts w:ascii="Noto Sans" w:hAnsi="Noto Sans"/>
      <w:sz w:val="96"/>
    </w:rPr>
  </w:style>
  <w:style w:type="paragraph" w:styleId="Style26">
    <w:name w:val="Графика"/>
    <w:qFormat/>
    <w:pPr>
      <w:widowControl w:val="false"/>
      <w:suppressAutoHyphens w:val="true"/>
      <w:overflowPunct w:val="true"/>
      <w:bidi w:val="0"/>
      <w:spacing w:before="0" w:after="0"/>
      <w:jc w:val="left"/>
    </w:pPr>
    <w:rPr>
      <w:rFonts w:ascii="Liberation Sans" w:hAnsi="Liberation Sans" w:eastAsia="Tahoma" w:cs="Calibri"/>
      <w:color w:val="auto"/>
      <w:kern w:val="0"/>
      <w:sz w:val="36"/>
      <w:szCs w:val="24"/>
      <w:lang w:val="ru-RU" w:eastAsia="en-US" w:bidi="ar-SA"/>
    </w:rPr>
  </w:style>
  <w:style w:type="paragraph" w:styleId="Style27">
    <w:name w:val="Фигуры"/>
    <w:basedOn w:val="Style26"/>
    <w:qFormat/>
    <w:pPr/>
    <w:rPr>
      <w:rFonts w:ascii="Liberation Sans" w:hAnsi="Liberation Sans"/>
      <w:b/>
      <w:sz w:val="28"/>
    </w:rPr>
  </w:style>
  <w:style w:type="paragraph" w:styleId="Style28">
    <w:name w:val="Заливка"/>
    <w:basedOn w:val="Style27"/>
    <w:qFormat/>
    <w:pPr/>
    <w:rPr>
      <w:rFonts w:ascii="Liberation Sans" w:hAnsi="Liberation Sans"/>
      <w:b/>
      <w:sz w:val="28"/>
    </w:rPr>
  </w:style>
  <w:style w:type="paragraph" w:styleId="Style29">
    <w:name w:val="Заливка синим"/>
    <w:basedOn w:val="Style28"/>
    <w:qFormat/>
    <w:pPr/>
    <w:rPr>
      <w:rFonts w:ascii="Liberation Sans" w:hAnsi="Liberation Sans"/>
      <w:b/>
      <w:color w:val="FFFFFF"/>
      <w:sz w:val="28"/>
    </w:rPr>
  </w:style>
  <w:style w:type="paragraph" w:styleId="Style30">
    <w:name w:val="Заливка зелёным"/>
    <w:basedOn w:val="Style28"/>
    <w:qFormat/>
    <w:pPr/>
    <w:rPr>
      <w:rFonts w:ascii="Liberation Sans" w:hAnsi="Liberation Sans"/>
      <w:b/>
      <w:color w:val="FFFFFF"/>
      <w:sz w:val="28"/>
    </w:rPr>
  </w:style>
  <w:style w:type="paragraph" w:styleId="Style31">
    <w:name w:val="Заливка красным"/>
    <w:basedOn w:val="Style28"/>
    <w:qFormat/>
    <w:pPr/>
    <w:rPr>
      <w:rFonts w:ascii="Liberation Sans" w:hAnsi="Liberation Sans"/>
      <w:b/>
      <w:color w:val="FFFFFF"/>
      <w:sz w:val="28"/>
    </w:rPr>
  </w:style>
  <w:style w:type="paragraph" w:styleId="Style32">
    <w:name w:val="Заливка жёлтым"/>
    <w:basedOn w:val="Style28"/>
    <w:qFormat/>
    <w:pPr/>
    <w:rPr>
      <w:rFonts w:ascii="Liberation Sans" w:hAnsi="Liberation Sans"/>
      <w:b/>
      <w:color w:val="FFFFFF"/>
      <w:sz w:val="28"/>
    </w:rPr>
  </w:style>
  <w:style w:type="paragraph" w:styleId="Style33">
    <w:name w:val="Контур"/>
    <w:basedOn w:val="Style27"/>
    <w:qFormat/>
    <w:pPr/>
    <w:rPr>
      <w:rFonts w:ascii="Liberation Sans" w:hAnsi="Liberation Sans"/>
      <w:b/>
      <w:sz w:val="28"/>
    </w:rPr>
  </w:style>
  <w:style w:type="paragraph" w:styleId="Style34">
    <w:name w:val="Контур синий"/>
    <w:basedOn w:val="Style33"/>
    <w:qFormat/>
    <w:pPr/>
    <w:rPr>
      <w:rFonts w:ascii="Liberation Sans" w:hAnsi="Liberation Sans"/>
      <w:b/>
      <w:color w:val="355269"/>
      <w:sz w:val="28"/>
    </w:rPr>
  </w:style>
  <w:style w:type="paragraph" w:styleId="Style35">
    <w:name w:val="Контур зелёный"/>
    <w:basedOn w:val="Style33"/>
    <w:qFormat/>
    <w:pPr/>
    <w:rPr>
      <w:rFonts w:ascii="Liberation Sans" w:hAnsi="Liberation Sans"/>
      <w:b/>
      <w:color w:val="127622"/>
      <w:sz w:val="28"/>
    </w:rPr>
  </w:style>
  <w:style w:type="paragraph" w:styleId="Style36">
    <w:name w:val="Контур красный"/>
    <w:basedOn w:val="Style33"/>
    <w:qFormat/>
    <w:pPr/>
    <w:rPr>
      <w:rFonts w:ascii="Liberation Sans" w:hAnsi="Liberation Sans"/>
      <w:b/>
      <w:color w:val="C9211E"/>
      <w:sz w:val="28"/>
    </w:rPr>
  </w:style>
  <w:style w:type="paragraph" w:styleId="Style37">
    <w:name w:val="Контур жёлтый"/>
    <w:basedOn w:val="Style33"/>
    <w:qFormat/>
    <w:pPr/>
    <w:rPr>
      <w:rFonts w:ascii="Liberation Sans" w:hAnsi="Liberation Sans"/>
      <w:b/>
      <w:color w:val="B47804"/>
      <w:sz w:val="28"/>
    </w:rPr>
  </w:style>
  <w:style w:type="paragraph" w:styleId="Style38">
    <w:name w:val="Линии"/>
    <w:basedOn w:val="Style26"/>
    <w:qFormat/>
    <w:pPr/>
    <w:rPr>
      <w:rFonts w:ascii="Liberation Sans" w:hAnsi="Liberation Sans"/>
      <w:sz w:val="36"/>
    </w:rPr>
  </w:style>
  <w:style w:type="paragraph" w:styleId="Style39">
    <w:name w:val="Стрелки"/>
    <w:basedOn w:val="Style38"/>
    <w:qFormat/>
    <w:pPr/>
    <w:rPr>
      <w:rFonts w:ascii="Liberation Sans" w:hAnsi="Liberation Sans"/>
      <w:sz w:val="36"/>
    </w:rPr>
  </w:style>
  <w:style w:type="paragraph" w:styleId="Style40">
    <w:name w:val="Штриховая линия"/>
    <w:basedOn w:val="Style38"/>
    <w:qFormat/>
    <w:pPr/>
    <w:rPr>
      <w:rFonts w:ascii="Liberation Sans" w:hAnsi="Liberation Sans"/>
      <w:sz w:val="36"/>
    </w:rPr>
  </w:style>
  <w:style w:type="paragraph" w:styleId="LTGliederung1">
    <w:name w:val="Титульный слайд~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
    <w:name w:val="Титульный слайд~LT~Gliederung 2"/>
    <w:basedOn w:val="LTGliederung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
    <w:name w:val="Титульный слайд~LT~Gliederung 3"/>
    <w:basedOn w:val="LTGliederung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
    <w:name w:val="Титульный слайд~LT~Gliederung 4"/>
    <w:basedOn w:val="LTGliederung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
    <w:name w:val="Титульный слайд~LT~Gliederung 5"/>
    <w:basedOn w:val="LTGliederung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
    <w:name w:val="Титульный слайд~LT~Gliederung 6"/>
    <w:basedOn w:val="LTGliederung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
    <w:name w:val="Титульный слайд~LT~Gliederung 7"/>
    <w:basedOn w:val="LTGliederung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
    <w:name w:val="Титульный слайд~LT~Gliederung 8"/>
    <w:basedOn w:val="LTGliederung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
    <w:name w:val="Титульный слайд~LT~Gliederung 9"/>
    <w:basedOn w:val="LTGliederung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
    <w:name w:val="Титульный слайд~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
    <w:name w:val="Титульный слайд~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
    <w:name w:val="Титульный слайд~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
    <w:name w:val="Титульный слайд~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
    <w:name w:val="Титульный слайд~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default">
    <w:name w:val="default"/>
    <w:qFormat/>
    <w:pPr>
      <w:widowControl w:val="false"/>
      <w:suppressAutoHyphens w:val="true"/>
      <w:overflowPunct w:val="true"/>
      <w:bidi w:val="0"/>
      <w:spacing w:before="0" w:after="0"/>
      <w:jc w:val="left"/>
    </w:pPr>
    <w:rPr>
      <w:rFonts w:ascii="Arial" w:hAnsi="Arial" w:eastAsia="Tahoma" w:cs="Calibri"/>
      <w:color w:val="auto"/>
      <w:kern w:val="2"/>
      <w:sz w:val="36"/>
      <w:szCs w:val="24"/>
      <w:lang w:val="ru-RU" w:eastAsia="en-US" w:bidi="ar-SA"/>
    </w:rPr>
  </w:style>
  <w:style w:type="paragraph" w:styleId="bg-none">
    <w:name w:val="bg-none"/>
    <w:basedOn w:val="default"/>
    <w:qFormat/>
    <w:pPr/>
    <w:rPr>
      <w:rFonts w:ascii="Arial" w:hAnsi="Arial"/>
      <w:color w:val="auto"/>
      <w:kern w:val="2"/>
      <w:sz w:val="36"/>
    </w:rPr>
  </w:style>
  <w:style w:type="paragraph" w:styleId="gray">
    <w:name w:val="gray"/>
    <w:basedOn w:val="default"/>
    <w:qFormat/>
    <w:pPr/>
    <w:rPr>
      <w:rFonts w:ascii="Arial" w:hAnsi="Arial"/>
      <w:color w:val="auto"/>
      <w:kern w:val="2"/>
      <w:sz w:val="36"/>
    </w:rPr>
  </w:style>
  <w:style w:type="paragraph" w:styleId="dark-gray">
    <w:name w:val="dark-gray"/>
    <w:basedOn w:val="default"/>
    <w:qFormat/>
    <w:pPr/>
    <w:rPr>
      <w:rFonts w:ascii="Arial" w:hAnsi="Arial"/>
      <w:color w:val="auto"/>
      <w:kern w:val="2"/>
      <w:sz w:val="36"/>
    </w:rPr>
  </w:style>
  <w:style w:type="paragraph" w:styleId="black">
    <w:name w:val="black"/>
    <w:basedOn w:val="default"/>
    <w:qFormat/>
    <w:pPr/>
    <w:rPr>
      <w:rFonts w:ascii="Arial" w:hAnsi="Arial"/>
      <w:color w:val="FFFFFF"/>
      <w:kern w:val="2"/>
      <w:sz w:val="36"/>
    </w:rPr>
  </w:style>
  <w:style w:type="paragraph" w:styleId="black-with-border">
    <w:name w:val="black-with-border"/>
    <w:basedOn w:val="default"/>
    <w:qFormat/>
    <w:pPr/>
    <w:rPr>
      <w:rFonts w:ascii="Arial" w:hAnsi="Arial"/>
      <w:color w:val="FFFFFF"/>
      <w:kern w:val="2"/>
      <w:sz w:val="36"/>
    </w:rPr>
  </w:style>
  <w:style w:type="paragraph" w:styleId="gray-with-border">
    <w:name w:val="gray-with-border"/>
    <w:basedOn w:val="default"/>
    <w:qFormat/>
    <w:pPr/>
    <w:rPr>
      <w:rFonts w:ascii="Arial" w:hAnsi="Arial"/>
      <w:color w:val="auto"/>
      <w:kern w:val="2"/>
      <w:sz w:val="36"/>
    </w:rPr>
  </w:style>
  <w:style w:type="paragraph" w:styleId="white">
    <w:name w:val="white"/>
    <w:basedOn w:val="default"/>
    <w:qFormat/>
    <w:pPr/>
    <w:rPr>
      <w:rFonts w:ascii="Arial" w:hAnsi="Arial"/>
      <w:color w:val="auto"/>
      <w:kern w:val="2"/>
      <w:sz w:val="36"/>
    </w:rPr>
  </w:style>
  <w:style w:type="paragraph" w:styleId="white-with-border">
    <w:name w:val="white-with-border"/>
    <w:basedOn w:val="default"/>
    <w:qFormat/>
    <w:pPr/>
    <w:rPr>
      <w:rFonts w:ascii="Arial" w:hAnsi="Arial"/>
      <w:color w:val="auto"/>
      <w:kern w:val="2"/>
      <w:sz w:val="36"/>
    </w:rPr>
  </w:style>
  <w:style w:type="paragraph" w:styleId="blue-title">
    <w:name w:val="blue-title"/>
    <w:basedOn w:val="default"/>
    <w:qFormat/>
    <w:pPr/>
    <w:rPr>
      <w:rFonts w:ascii="Arial" w:hAnsi="Arial"/>
      <w:color w:val="FFFFFF"/>
      <w:kern w:val="2"/>
      <w:sz w:val="36"/>
    </w:rPr>
  </w:style>
  <w:style w:type="paragraph" w:styleId="blue-title-with-border">
    <w:name w:val="blue-title-with-border"/>
    <w:basedOn w:val="default"/>
    <w:qFormat/>
    <w:pPr/>
    <w:rPr>
      <w:rFonts w:ascii="Arial" w:hAnsi="Arial"/>
      <w:color w:val="FFFFFF"/>
      <w:kern w:val="2"/>
      <w:sz w:val="36"/>
    </w:rPr>
  </w:style>
  <w:style w:type="paragraph" w:styleId="blue-banded">
    <w:name w:val="blue-banded"/>
    <w:basedOn w:val="default"/>
    <w:qFormat/>
    <w:pPr/>
    <w:rPr>
      <w:rFonts w:ascii="Arial" w:hAnsi="Arial"/>
      <w:color w:val="auto"/>
      <w:kern w:val="2"/>
      <w:sz w:val="36"/>
    </w:rPr>
  </w:style>
  <w:style w:type="paragraph" w:styleId="blue-normal">
    <w:name w:val="blue-normal"/>
    <w:basedOn w:val="default"/>
    <w:qFormat/>
    <w:pPr/>
    <w:rPr>
      <w:rFonts w:ascii="Arial" w:hAnsi="Arial"/>
      <w:color w:val="auto"/>
      <w:kern w:val="2"/>
      <w:sz w:val="36"/>
    </w:rPr>
  </w:style>
  <w:style w:type="paragraph" w:styleId="orange-title">
    <w:name w:val="orange-title"/>
    <w:basedOn w:val="default"/>
    <w:qFormat/>
    <w:pPr/>
    <w:rPr>
      <w:rFonts w:ascii="Arial" w:hAnsi="Arial"/>
      <w:color w:val="FFFFFF"/>
      <w:kern w:val="2"/>
      <w:sz w:val="36"/>
    </w:rPr>
  </w:style>
  <w:style w:type="paragraph" w:styleId="orange-title-with-border">
    <w:name w:val="orange-title-with-border"/>
    <w:basedOn w:val="default"/>
    <w:qFormat/>
    <w:pPr/>
    <w:rPr>
      <w:rFonts w:ascii="Arial" w:hAnsi="Arial"/>
      <w:color w:val="FFFFFF"/>
      <w:kern w:val="2"/>
      <w:sz w:val="36"/>
    </w:rPr>
  </w:style>
  <w:style w:type="paragraph" w:styleId="orange-banded">
    <w:name w:val="orange-banded"/>
    <w:basedOn w:val="default"/>
    <w:qFormat/>
    <w:pPr/>
    <w:rPr>
      <w:rFonts w:ascii="Arial" w:hAnsi="Arial"/>
      <w:color w:val="auto"/>
      <w:kern w:val="2"/>
      <w:sz w:val="36"/>
    </w:rPr>
  </w:style>
  <w:style w:type="paragraph" w:styleId="orange-normal">
    <w:name w:val="orange-normal"/>
    <w:basedOn w:val="default"/>
    <w:qFormat/>
    <w:pPr/>
    <w:rPr>
      <w:rFonts w:ascii="Arial" w:hAnsi="Arial"/>
      <w:color w:val="auto"/>
      <w:kern w:val="2"/>
      <w:sz w:val="36"/>
    </w:rPr>
  </w:style>
  <w:style w:type="paragraph" w:styleId="teal-title">
    <w:name w:val="teal-title"/>
    <w:basedOn w:val="default"/>
    <w:qFormat/>
    <w:pPr/>
    <w:rPr>
      <w:rFonts w:ascii="Arial" w:hAnsi="Arial"/>
      <w:color w:val="FFFFFF"/>
      <w:kern w:val="2"/>
      <w:sz w:val="36"/>
    </w:rPr>
  </w:style>
  <w:style w:type="paragraph" w:styleId="teal-title-with-border">
    <w:name w:val="teal-title-with-border"/>
    <w:basedOn w:val="default"/>
    <w:qFormat/>
    <w:pPr/>
    <w:rPr>
      <w:rFonts w:ascii="Arial" w:hAnsi="Arial"/>
      <w:color w:val="FFFFFF"/>
      <w:kern w:val="2"/>
      <w:sz w:val="36"/>
    </w:rPr>
  </w:style>
  <w:style w:type="paragraph" w:styleId="teal-banded">
    <w:name w:val="teal-banded"/>
    <w:basedOn w:val="default"/>
    <w:qFormat/>
    <w:pPr/>
    <w:rPr>
      <w:rFonts w:ascii="Arial" w:hAnsi="Arial"/>
      <w:color w:val="auto"/>
      <w:kern w:val="2"/>
      <w:sz w:val="36"/>
    </w:rPr>
  </w:style>
  <w:style w:type="paragraph" w:styleId="teal-normal">
    <w:name w:val="teal-normal"/>
    <w:basedOn w:val="default"/>
    <w:qFormat/>
    <w:pPr/>
    <w:rPr>
      <w:rFonts w:ascii="Arial" w:hAnsi="Arial"/>
      <w:color w:val="auto"/>
      <w:kern w:val="2"/>
      <w:sz w:val="36"/>
    </w:rPr>
  </w:style>
  <w:style w:type="paragraph" w:styleId="magenta-title">
    <w:name w:val="magenta-title"/>
    <w:basedOn w:val="default"/>
    <w:qFormat/>
    <w:pPr/>
    <w:rPr>
      <w:rFonts w:ascii="Arial" w:hAnsi="Arial"/>
      <w:color w:val="FFFFFF"/>
      <w:kern w:val="2"/>
      <w:sz w:val="36"/>
    </w:rPr>
  </w:style>
  <w:style w:type="paragraph" w:styleId="magenta-title-with-border">
    <w:name w:val="magenta-title-with-border"/>
    <w:basedOn w:val="default"/>
    <w:qFormat/>
    <w:pPr/>
    <w:rPr>
      <w:rFonts w:ascii="Arial" w:hAnsi="Arial"/>
      <w:color w:val="FFFFFF"/>
      <w:kern w:val="2"/>
      <w:sz w:val="36"/>
    </w:rPr>
  </w:style>
  <w:style w:type="paragraph" w:styleId="magenta-banded">
    <w:name w:val="magenta-banded"/>
    <w:basedOn w:val="default"/>
    <w:qFormat/>
    <w:pPr/>
    <w:rPr>
      <w:rFonts w:ascii="Arial" w:hAnsi="Arial"/>
      <w:color w:val="auto"/>
      <w:kern w:val="2"/>
      <w:sz w:val="36"/>
    </w:rPr>
  </w:style>
  <w:style w:type="paragraph" w:styleId="magenta-normal">
    <w:name w:val="magenta-normal"/>
    <w:basedOn w:val="default"/>
    <w:qFormat/>
    <w:pPr/>
    <w:rPr>
      <w:rFonts w:ascii="Arial" w:hAnsi="Arial"/>
      <w:color w:val="auto"/>
      <w:kern w:val="2"/>
      <w:sz w:val="36"/>
    </w:rPr>
  </w:style>
  <w:style w:type="paragraph" w:styleId="Style41">
    <w:name w:val="Объекты фона"/>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2">
    <w:name w:val="Фон"/>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Style43">
    <w:name w:val="Примечания"/>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11">
    <w:name w:val="Структура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21">
    <w:name w:val="Структура 2"/>
    <w:basedOn w:val="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31">
    <w:name w:val="Структура 3"/>
    <w:basedOn w:val="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43">
    <w:name w:val="Структура 4"/>
    <w:basedOn w:val="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5">
    <w:name w:val="Структура 5"/>
    <w:basedOn w:val="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6">
    <w:name w:val="Структура 6"/>
    <w:basedOn w:val="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7">
    <w:name w:val="Структура 7"/>
    <w:basedOn w:val="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8">
    <w:name w:val="Структура 8"/>
    <w:basedOn w:val="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9">
    <w:name w:val="Структура 9"/>
    <w:basedOn w:val="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Emphasis">
    <w:name w:val="Emphasis"/>
    <w:qFormat/>
    <w:pPr>
      <w:widowControl w:val="false"/>
      <w:suppressAutoHyphens w:val="true"/>
      <w:overflowPunct w:val="true"/>
      <w:bidi w:val="0"/>
      <w:spacing w:before="0" w:after="0"/>
      <w:jc w:val="left"/>
    </w:pPr>
    <w:rPr>
      <w:rFonts w:ascii="Liberation Serif" w:hAnsi="Liberation Serif" w:eastAsia="Tahoma" w:cs="Calibri"/>
      <w:i/>
      <w:color w:val="auto"/>
      <w:kern w:val="0"/>
      <w:sz w:val="24"/>
      <w:szCs w:val="24"/>
      <w:lang w:val="ru-RU" w:eastAsia="en-US" w:bidi="ar-SA"/>
    </w:rPr>
  </w:style>
  <w:style w:type="paragraph" w:styleId="DefaultParagraphFont1">
    <w:name w:val="Default Paragraph Font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41">
    <w:name w:val="Internet Link4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ListLabel2341">
    <w:name w:val="ListLabel 23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31">
    <w:name w:val="ListLabel 23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21">
    <w:name w:val="ListLabel 23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11">
    <w:name w:val="ListLabel 23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301">
    <w:name w:val="ListLabel 23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91">
    <w:name w:val="ListLabel 22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81">
    <w:name w:val="ListLabel 22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71">
    <w:name w:val="ListLabel 22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61">
    <w:name w:val="ListLabel 22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251">
    <w:name w:val="ListLabel 22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41">
    <w:name w:val="ListLabel 22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31">
    <w:name w:val="ListLabel 22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221">
    <w:name w:val="ListLabel 22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11">
    <w:name w:val="ListLabel 22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201">
    <w:name w:val="ListLabel 22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91">
    <w:name w:val="ListLabel 21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81">
    <w:name w:val="ListLabel 21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71">
    <w:name w:val="ListLabel 21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61">
    <w:name w:val="ListLabel 21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51">
    <w:name w:val="ListLabel 21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41">
    <w:name w:val="ListLabel 21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31">
    <w:name w:val="ListLabel 21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21">
    <w:name w:val="ListLabel 21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111">
    <w:name w:val="ListLabel 21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01">
    <w:name w:val="ListLabel 21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91">
    <w:name w:val="ListLabel 20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81">
    <w:name w:val="ListLabel 20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71">
    <w:name w:val="ListLabel 20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61">
    <w:name w:val="ListLabel 20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51">
    <w:name w:val="ListLabel 20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41">
    <w:name w:val="ListLabel 20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31">
    <w:name w:val="ListLabel 20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21">
    <w:name w:val="ListLabel 20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011">
    <w:name w:val="ListLabel 20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2001">
    <w:name w:val="ListLabel 20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91">
    <w:name w:val="ListLabel 19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81">
    <w:name w:val="ListLabel 19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71">
    <w:name w:val="ListLabel 19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61">
    <w:name w:val="ListLabel 19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51">
    <w:name w:val="ListLabel 19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41">
    <w:name w:val="ListLabel 19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31">
    <w:name w:val="ListLabel 19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921">
    <w:name w:val="ListLabel 19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11">
    <w:name w:val="ListLabel 19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901">
    <w:name w:val="ListLabel 19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91">
    <w:name w:val="ListLabel 18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81">
    <w:name w:val="ListLabel 18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71">
    <w:name w:val="ListLabel 18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61">
    <w:name w:val="ListLabel 18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51">
    <w:name w:val="ListLabel 18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41">
    <w:name w:val="ListLabel 18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31">
    <w:name w:val="ListLabel 18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21">
    <w:name w:val="ListLabel 18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811">
    <w:name w:val="ListLabel 18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01">
    <w:name w:val="ListLabel 18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91">
    <w:name w:val="ListLabel 17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81">
    <w:name w:val="ListLabel 17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71">
    <w:name w:val="ListLabel 17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61">
    <w:name w:val="ListLabel 17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51">
    <w:name w:val="ListLabel 17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41">
    <w:name w:val="ListLabel 17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31">
    <w:name w:val="ListLabel 17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21">
    <w:name w:val="ListLabel 17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711">
    <w:name w:val="ListLabel 17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701">
    <w:name w:val="ListLabel 17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91">
    <w:name w:val="ListLabel 16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81">
    <w:name w:val="ListLabel 16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71">
    <w:name w:val="ListLabel 16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61">
    <w:name w:val="ListLabel 16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51">
    <w:name w:val="ListLabel 16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41">
    <w:name w:val="ListLabel 16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31">
    <w:name w:val="ListLabel 16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621">
    <w:name w:val="ListLabel 16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11">
    <w:name w:val="ListLabel 16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601">
    <w:name w:val="ListLabel 16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91">
    <w:name w:val="ListLabel 15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81">
    <w:name w:val="ListLabel 15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71">
    <w:name w:val="ListLabel 15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61">
    <w:name w:val="ListLabel 15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51">
    <w:name w:val="ListLabel 15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41">
    <w:name w:val="ListLabel 15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31">
    <w:name w:val="ListLabel 15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21">
    <w:name w:val="ListLabel 15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511">
    <w:name w:val="ListLabel 15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01">
    <w:name w:val="ListLabel 15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91">
    <w:name w:val="ListLabel 14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81">
    <w:name w:val="ListLabel 14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71">
    <w:name w:val="ListLabel 14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61">
    <w:name w:val="ListLabel 14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51">
    <w:name w:val="ListLabel 14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41">
    <w:name w:val="ListLabel 14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31">
    <w:name w:val="ListLabel 14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21">
    <w:name w:val="ListLabel 14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411">
    <w:name w:val="ListLabel 14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401">
    <w:name w:val="ListLabel 14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91">
    <w:name w:val="ListLabel 13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81">
    <w:name w:val="ListLabel 13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71">
    <w:name w:val="ListLabel 13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61">
    <w:name w:val="ListLabel 136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51">
    <w:name w:val="ListLabel 13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41">
    <w:name w:val="ListLabel 13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31">
    <w:name w:val="ListLabel 13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321">
    <w:name w:val="ListLabel 13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11">
    <w:name w:val="ListLabel 13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301">
    <w:name w:val="ListLabel 13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91">
    <w:name w:val="ListLabel 12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81">
    <w:name w:val="ListLabel 128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71">
    <w:name w:val="ListLabel 12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61">
    <w:name w:val="ListLabel 12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51">
    <w:name w:val="ListLabel 125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41">
    <w:name w:val="ListLabel 12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31">
    <w:name w:val="ListLabel 12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21">
    <w:name w:val="ListLabel 122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211">
    <w:name w:val="ListLabel 12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01">
    <w:name w:val="ListLabel 12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91">
    <w:name w:val="ListLabel 119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81">
    <w:name w:val="ListLabel 118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71">
    <w:name w:val="ListLabel 117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61">
    <w:name w:val="ListLabel 116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51">
    <w:name w:val="ListLabel 11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41">
    <w:name w:val="ListLabel 114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31">
    <w:name w:val="ListLabel 113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21">
    <w:name w:val="ListLabel 112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111">
    <w:name w:val="ListLabel 111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101">
    <w:name w:val="ListLabel 110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ListLabel1091">
    <w:name w:val="ListLabel 109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081">
    <w:name w:val="ListLabel 10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71">
    <w:name w:val="ListLabel 10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61">
    <w:name w:val="ListLabel 10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51">
    <w:name w:val="ListLabel 10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41">
    <w:name w:val="ListLabel 10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31">
    <w:name w:val="ListLabel 10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21">
    <w:name w:val="ListLabel 10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11">
    <w:name w:val="ListLabel 10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1001">
    <w:name w:val="ListLabel 10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991">
    <w:name w:val="ListLabel 9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81">
    <w:name w:val="ListLabel 9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71">
    <w:name w:val="ListLabel 9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61">
    <w:name w:val="ListLabel 96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51">
    <w:name w:val="ListLabel 9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41">
    <w:name w:val="ListLabel 9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31">
    <w:name w:val="ListLabel 93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921">
    <w:name w:val="ListLabel 92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911">
    <w:name w:val="ListLabel 91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901">
    <w:name w:val="ListLabel 9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91">
    <w:name w:val="ListLabel 8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81">
    <w:name w:val="ListLabel 8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71">
    <w:name w:val="ListLabel 8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61">
    <w:name w:val="ListLabel 8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51">
    <w:name w:val="ListLabel 8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41">
    <w:name w:val="ListLabel 8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31">
    <w:name w:val="ListLabel 8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21">
    <w:name w:val="ListLabel 8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11">
    <w:name w:val="ListLabel 8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801">
    <w:name w:val="ListLabel 8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91">
    <w:name w:val="ListLabel 7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81">
    <w:name w:val="ListLabel 7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71">
    <w:name w:val="ListLabel 7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61">
    <w:name w:val="ListLabel 7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51">
    <w:name w:val="ListLabel 7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41">
    <w:name w:val="ListLabel 7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31">
    <w:name w:val="ListLabel 7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721">
    <w:name w:val="ListLabel 72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711">
    <w:name w:val="ListLabel 71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701">
    <w:name w:val="ListLabel 7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91">
    <w:name w:val="ListLabel 6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681">
    <w:name w:val="ListLabel 6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671">
    <w:name w:val="ListLabel 6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61">
    <w:name w:val="ListLabel 66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651">
    <w:name w:val="ListLabel 6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641">
    <w:name w:val="ListLabel 64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31">
    <w:name w:val="ListLabel 6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21">
    <w:name w:val="ListLabel 6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11">
    <w:name w:val="ListLabel 6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601">
    <w:name w:val="ListLabel 6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91">
    <w:name w:val="ListLabel 5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81">
    <w:name w:val="ListLabel 5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71">
    <w:name w:val="ListLabel 5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61">
    <w:name w:val="ListLabel 5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51">
    <w:name w:val="ListLabel 5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41">
    <w:name w:val="ListLabel 5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31">
    <w:name w:val="ListLabel 5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21">
    <w:name w:val="ListLabel 5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11">
    <w:name w:val="ListLabel 5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501">
    <w:name w:val="ListLabel 5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91">
    <w:name w:val="ListLabel 4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81">
    <w:name w:val="ListLabel 4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71">
    <w:name w:val="ListLabel 47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61">
    <w:name w:val="ListLabel 4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451">
    <w:name w:val="ListLabel 45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441">
    <w:name w:val="ListLabel 44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31">
    <w:name w:val="ListLabel 43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421">
    <w:name w:val="ListLabel 42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411">
    <w:name w:val="ListLabel 41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01">
    <w:name w:val="ListLabel 40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91">
    <w:name w:val="ListLabel 39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381">
    <w:name w:val="ListLabel 38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371">
    <w:name w:val="ListLabel 37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61">
    <w:name w:val="ListLabel 36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51">
    <w:name w:val="ListLabel 35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41">
    <w:name w:val="ListLabel 34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31">
    <w:name w:val="ListLabel 33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21">
    <w:name w:val="ListLabel 32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11">
    <w:name w:val="ListLabel 31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301">
    <w:name w:val="ListLabel 30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91">
    <w:name w:val="ListLabel 29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81">
    <w:name w:val="ListLabel 28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ListLabel271">
    <w:name w:val="ListLabel 27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61">
    <w:name w:val="ListLabel 26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251">
    <w:name w:val="ListLabel 251"/>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411">
    <w:name w:val="ListLabel 2411"/>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351">
    <w:name w:val="ListLabel 235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2210">
    <w:name w:val="ListLabel 22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2110">
    <w:name w:val="ListLabel 21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010">
    <w:name w:val="ListLabel 20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910">
    <w:name w:val="ListLabel 19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810">
    <w:name w:val="ListLabel 18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710">
    <w:name w:val="ListLabel 17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610">
    <w:name w:val="ListLabel 16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510">
    <w:name w:val="ListLabel 15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410">
    <w:name w:val="ListLabel 14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310">
    <w:name w:val="ListLabel 13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1210">
    <w:name w:val="ListLabel 12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1110">
    <w:name w:val="ListLabel 11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010">
    <w:name w:val="ListLabel 1010"/>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ListLabel910">
    <w:name w:val="ListLabel 9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810">
    <w:name w:val="ListLabel 8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710">
    <w:name w:val="ListLabel 7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610">
    <w:name w:val="ListLabel 6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510">
    <w:name w:val="ListLabel 510"/>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410">
    <w:name w:val="ListLabel 41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ListLabel310">
    <w:name w:val="ListLabel 310"/>
    <w:qFormat/>
    <w:pPr>
      <w:widowControl w:val="false"/>
      <w:suppressAutoHyphens w:val="true"/>
      <w:overflowPunct w:val="true"/>
      <w:bidi w:val="0"/>
      <w:spacing w:before="0" w:after="0"/>
      <w:jc w:val="left"/>
    </w:pPr>
    <w:rPr>
      <w:rFonts w:ascii="Wingdings" w:hAnsi="Wingdings" w:eastAsia="Tahoma" w:cs="Calibri"/>
      <w:color w:val="auto"/>
      <w:kern w:val="0"/>
      <w:sz w:val="24"/>
      <w:szCs w:val="24"/>
      <w:lang w:val="ru-RU" w:eastAsia="en-US" w:bidi="ar-SA"/>
    </w:rPr>
  </w:style>
  <w:style w:type="paragraph" w:styleId="ListLabel2361">
    <w:name w:val="ListLabel 2361"/>
    <w:qFormat/>
    <w:pPr>
      <w:widowControl w:val="false"/>
      <w:suppressAutoHyphens w:val="true"/>
      <w:overflowPunct w:val="true"/>
      <w:bidi w:val="0"/>
      <w:spacing w:before="0" w:after="0"/>
      <w:jc w:val="left"/>
    </w:pPr>
    <w:rPr>
      <w:rFonts w:ascii="Courier New" w:hAnsi="Courier New" w:eastAsia="Tahoma" w:cs="Calibri"/>
      <w:color w:val="auto"/>
      <w:kern w:val="0"/>
      <w:sz w:val="24"/>
      <w:szCs w:val="24"/>
      <w:lang w:val="ru-RU" w:eastAsia="en-US" w:bidi="ar-SA"/>
    </w:rPr>
  </w:style>
  <w:style w:type="paragraph" w:styleId="ListLabel1100">
    <w:name w:val="ListLabel 1100"/>
    <w:qFormat/>
    <w:pPr>
      <w:widowControl w:val="false"/>
      <w:suppressAutoHyphens w:val="true"/>
      <w:overflowPunct w:val="true"/>
      <w:bidi w:val="0"/>
      <w:spacing w:before="0" w:after="0"/>
      <w:jc w:val="left"/>
    </w:pPr>
    <w:rPr>
      <w:rFonts w:ascii="Symbol" w:hAnsi="Symbol" w:eastAsia="Tahoma" w:cs="Calibri"/>
      <w:color w:val="auto"/>
      <w:kern w:val="0"/>
      <w:sz w:val="24"/>
      <w:szCs w:val="24"/>
      <w:lang w:val="ru-RU" w:eastAsia="en-US" w:bidi="ar-SA"/>
    </w:rPr>
  </w:style>
  <w:style w:type="paragraph" w:styleId="InternetLink51">
    <w:name w:val="Internet Link5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InternetLink21">
    <w:name w:val="Internet Link2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2">
    <w:name w:val="Символ нумерации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3">
    <w:name w:val="Маркеры1"/>
    <w:qFormat/>
    <w:pPr>
      <w:widowControl w:val="false"/>
      <w:suppressAutoHyphens w:val="true"/>
      <w:overflowPunct w:val="true"/>
      <w:bidi w:val="0"/>
      <w:spacing w:before="0" w:after="0"/>
      <w:jc w:val="left"/>
    </w:pPr>
    <w:rPr>
      <w:rFonts w:ascii="OpenSymbol;Arial Unicode MS" w:hAnsi="OpenSymbol;Arial Unicode MS" w:eastAsia="Tahoma" w:cs="Calibri"/>
      <w:color w:val="auto"/>
      <w:kern w:val="0"/>
      <w:sz w:val="24"/>
      <w:szCs w:val="24"/>
      <w:lang w:val="ru-RU" w:eastAsia="en-US" w:bidi="ar-SA"/>
    </w:rPr>
  </w:style>
  <w:style w:type="paragraph" w:styleId="14">
    <w:name w:val="Ссылка указателя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InternetLink11">
    <w:name w:val="Internet Link11"/>
    <w:qFormat/>
    <w:pPr>
      <w:widowControl w:val="false"/>
      <w:suppressAutoHyphens w:val="true"/>
      <w:overflowPunct w:val="true"/>
      <w:bidi w:val="0"/>
      <w:spacing w:before="0" w:after="0"/>
      <w:jc w:val="left"/>
    </w:pPr>
    <w:rPr>
      <w:rFonts w:ascii="Liberation Serif" w:hAnsi="Liberation Serif" w:eastAsia="Tahoma" w:cs="Calibri"/>
      <w:color w:val="000080"/>
      <w:kern w:val="0"/>
      <w:sz w:val="24"/>
      <w:szCs w:val="24"/>
      <w:u w:val="single"/>
      <w:lang w:val="ru-RU" w:eastAsia="en-US" w:bidi="ar-SA"/>
    </w:rPr>
  </w:style>
  <w:style w:type="paragraph" w:styleId="15">
    <w:name w:val="Нижний колонтитул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6">
    <w:name w:val="Верхний колонтитул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apple-converted-space1">
    <w:name w:val="apple-converted-space1"/>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17">
    <w:name w:val="Обычный (Интернет) Знак1"/>
    <w:qFormat/>
    <w:pPr>
      <w:widowControl w:val="false"/>
      <w:suppressAutoHyphens w:val="true"/>
      <w:overflowPunct w:val="true"/>
      <w:bidi w:val="0"/>
      <w:spacing w:before="0" w:after="0"/>
      <w:jc w:val="left"/>
    </w:pPr>
    <w:rPr>
      <w:rFonts w:ascii="Times New Roman" w:hAnsi="Times New Roman" w:eastAsia="Tahoma" w:cs="Calibri"/>
      <w:color w:val="auto"/>
      <w:kern w:val="0"/>
      <w:sz w:val="24"/>
      <w:szCs w:val="24"/>
      <w:lang w:val="ru-RU" w:eastAsia="en-US" w:bidi="ar-SA"/>
    </w:rPr>
  </w:style>
  <w:style w:type="paragraph" w:styleId="211">
    <w:name w:val="Заголовок 2 Знак1"/>
    <w:qFormat/>
    <w:pPr>
      <w:widowControl w:val="false"/>
      <w:suppressAutoHyphens w:val="true"/>
      <w:overflowPunct w:val="true"/>
      <w:bidi w:val="0"/>
      <w:spacing w:before="0" w:after="0"/>
      <w:jc w:val="left"/>
    </w:pPr>
    <w:rPr>
      <w:rFonts w:ascii="Calibri Light" w:hAnsi="Calibri Light" w:eastAsia="Tahoma" w:cs="Calibri"/>
      <w:color w:val="2F5496"/>
      <w:kern w:val="0"/>
      <w:sz w:val="26"/>
      <w:szCs w:val="24"/>
      <w:lang w:val="ru-RU" w:eastAsia="en-US" w:bidi="ar-SA"/>
    </w:rPr>
  </w:style>
  <w:style w:type="paragraph" w:styleId="InternetLink31">
    <w:name w:val="Internet Link31"/>
    <w:qFormat/>
    <w:pPr>
      <w:widowControl w:val="false"/>
      <w:suppressAutoHyphens w:val="true"/>
      <w:overflowPunct w:val="true"/>
      <w:bidi w:val="0"/>
      <w:spacing w:before="0" w:after="0"/>
      <w:jc w:val="left"/>
    </w:pPr>
    <w:rPr>
      <w:rFonts w:ascii="Liberation Serif" w:hAnsi="Liberation Serif" w:eastAsia="Tahoma" w:cs="Calibri"/>
      <w:color w:val="0563C1"/>
      <w:kern w:val="0"/>
      <w:sz w:val="24"/>
      <w:szCs w:val="24"/>
      <w:u w:val="single"/>
      <w:lang w:val="ru-RU" w:eastAsia="en-US" w:bidi="ar-SA"/>
    </w:rPr>
  </w:style>
  <w:style w:type="paragraph" w:styleId="18">
    <w:name w:val="Абзац списка Знак1"/>
    <w:qFormat/>
    <w:pPr>
      <w:widowControl w:val="false"/>
      <w:suppressAutoHyphens w:val="true"/>
      <w:overflowPunct w:val="true"/>
      <w:bidi w:val="0"/>
      <w:spacing w:before="0" w:after="0"/>
      <w:jc w:val="left"/>
    </w:pPr>
    <w:rPr>
      <w:rFonts w:ascii="Liberation Serif" w:hAnsi="Liberation Serif" w:eastAsia="Tahoma" w:cs="Calibri"/>
      <w:color w:val="auto"/>
      <w:kern w:val="0"/>
      <w:sz w:val="24"/>
      <w:szCs w:val="24"/>
      <w:lang w:val="ru-RU" w:eastAsia="en-US" w:bidi="ar-SA"/>
    </w:rPr>
  </w:style>
  <w:style w:type="paragraph" w:styleId="111">
    <w:name w:val="Заголовок 1 Знак1"/>
    <w:qFormat/>
    <w:pPr>
      <w:widowControl w:val="false"/>
      <w:suppressAutoHyphens w:val="true"/>
      <w:overflowPunct w:val="true"/>
      <w:bidi w:val="0"/>
      <w:spacing w:before="0" w:after="0"/>
      <w:jc w:val="left"/>
    </w:pPr>
    <w:rPr>
      <w:rFonts w:ascii="Cambria" w:hAnsi="Cambria" w:eastAsia="Tahoma" w:cs="Calibri"/>
      <w:b/>
      <w:color w:val="365F91"/>
      <w:kern w:val="0"/>
      <w:sz w:val="28"/>
      <w:szCs w:val="24"/>
      <w:lang w:val="ru-RU" w:eastAsia="en-US" w:bidi="ar-SA"/>
    </w:rPr>
  </w:style>
  <w:style w:type="paragraph" w:styleId="LTGliederung11">
    <w:name w:val="Заголовок и вертикальный текс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
    <w:name w:val="Заголовок и вертикальный текст~LT~Gliederung 2"/>
    <w:basedOn w:val="LTGliederung11"/>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
    <w:name w:val="Заголовок и вертикальный текст~LT~Gliederung 3"/>
    <w:basedOn w:val="LTGliederung21"/>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
    <w:name w:val="Заголовок и вертикальный текст~LT~Gliederung 4"/>
    <w:basedOn w:val="LTGliederung31"/>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
    <w:name w:val="Заголовок и вертикальный текст~LT~Gliederung 5"/>
    <w:basedOn w:val="LTGliederung4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
    <w:name w:val="Заголовок и вертикальный текст~LT~Gliederung 6"/>
    <w:basedOn w:val="LTGliederung5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
    <w:name w:val="Заголовок и вертикальный текст~LT~Gliederung 7"/>
    <w:basedOn w:val="LTGliederung6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
    <w:name w:val="Заголовок и вертикальный текст~LT~Gliederung 8"/>
    <w:basedOn w:val="LTGliederung7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
    <w:name w:val="Заголовок и вертикальный текст~LT~Gliederung 9"/>
    <w:basedOn w:val="LTGliederung81"/>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
    <w:name w:val="Заголовок и вертикальный текс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
    <w:name w:val="Заголовок и вертикальный текс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
    <w:name w:val="Заголовок и вертикальный текс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
    <w:name w:val="Заголовок и вертикальный текс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
    <w:name w:val="Заголовок и вертикальный текс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2">
    <w:name w:val="Вертикальный заголовок и текс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2">
    <w:name w:val="Вертикальный заголовок и текст~LT~Gliederung 2"/>
    <w:basedOn w:val="LTGliederung12"/>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2">
    <w:name w:val="Вертикальный заголовок и текст~LT~Gliederung 3"/>
    <w:basedOn w:val="LTGliederung22"/>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2">
    <w:name w:val="Вертикальный заголовок и текст~LT~Gliederung 4"/>
    <w:basedOn w:val="LTGliederung32"/>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2">
    <w:name w:val="Вертикальный заголовок и текст~LT~Gliederung 5"/>
    <w:basedOn w:val="LTGliederung4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2">
    <w:name w:val="Вертикальный заголовок и текст~LT~Gliederung 6"/>
    <w:basedOn w:val="LTGliederung5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2">
    <w:name w:val="Вертикальный заголовок и текст~LT~Gliederung 7"/>
    <w:basedOn w:val="LTGliederung6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2">
    <w:name w:val="Вертикальный заголовок и текст~LT~Gliederung 8"/>
    <w:basedOn w:val="LTGliederung7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2">
    <w:name w:val="Вертикальный заголовок и текст~LT~Gliederung 9"/>
    <w:basedOn w:val="LTGliederung82"/>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2">
    <w:name w:val="Вертикальный заголовок и текс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2">
    <w:name w:val="Вертикальный заголовок и текс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2">
    <w:name w:val="Вертикальный заголовок и текс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2">
    <w:name w:val="Вертикальный заголовок и текс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2">
    <w:name w:val="Вертикальный заголовок и текс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3">
    <w:name w:val="Заголовок и объект~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3">
    <w:name w:val="Заголовок и объект~LT~Gliederung 2"/>
    <w:basedOn w:val="LTGliederung13"/>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3">
    <w:name w:val="Заголовок и объект~LT~Gliederung 3"/>
    <w:basedOn w:val="LTGliederung23"/>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3">
    <w:name w:val="Заголовок и объект~LT~Gliederung 4"/>
    <w:basedOn w:val="LTGliederung33"/>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3">
    <w:name w:val="Заголовок и объект~LT~Gliederung 5"/>
    <w:basedOn w:val="LTGliederung4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3">
    <w:name w:val="Заголовок и объект~LT~Gliederung 6"/>
    <w:basedOn w:val="LTGliederung5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3">
    <w:name w:val="Заголовок и объект~LT~Gliederung 7"/>
    <w:basedOn w:val="LTGliederung6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3">
    <w:name w:val="Заголовок и объект~LT~Gliederung 8"/>
    <w:basedOn w:val="LTGliederung7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3">
    <w:name w:val="Заголовок и объект~LT~Gliederung 9"/>
    <w:basedOn w:val="LTGliederung83"/>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3">
    <w:name w:val="Заголовок и объект~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3">
    <w:name w:val="Заголовок и объект~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3">
    <w:name w:val="Заголовок и объект~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3">
    <w:name w:val="Заголовок и объект~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3">
    <w:name w:val="Заголовок и объект~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4">
    <w:name w:val="Заголовок раздела~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4">
    <w:name w:val="Заголовок раздела~LT~Gliederung 2"/>
    <w:basedOn w:val="LTGliederung14"/>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4">
    <w:name w:val="Заголовок раздела~LT~Gliederung 3"/>
    <w:basedOn w:val="LTGliederung24"/>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4">
    <w:name w:val="Заголовок раздела~LT~Gliederung 4"/>
    <w:basedOn w:val="LTGliederung34"/>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4">
    <w:name w:val="Заголовок раздела~LT~Gliederung 5"/>
    <w:basedOn w:val="LTGliederung4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4">
    <w:name w:val="Заголовок раздела~LT~Gliederung 6"/>
    <w:basedOn w:val="LTGliederung5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4">
    <w:name w:val="Заголовок раздела~LT~Gliederung 7"/>
    <w:basedOn w:val="LTGliederung6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4">
    <w:name w:val="Заголовок раздела~LT~Gliederung 8"/>
    <w:basedOn w:val="LTGliederung7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4">
    <w:name w:val="Заголовок раздела~LT~Gliederung 9"/>
    <w:basedOn w:val="LTGliederung84"/>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4">
    <w:name w:val="Заголовок раздела~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4">
    <w:name w:val="Заголовок раздела~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4">
    <w:name w:val="Заголовок раздела~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4">
    <w:name w:val="Заголовок раздела~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4">
    <w:name w:val="Заголовок раздела~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5">
    <w:name w:val="Два объекта~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5">
    <w:name w:val="Два объекта~LT~Gliederung 2"/>
    <w:basedOn w:val="LTGliederung15"/>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5">
    <w:name w:val="Два объекта~LT~Gliederung 3"/>
    <w:basedOn w:val="LTGliederung25"/>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5">
    <w:name w:val="Два объекта~LT~Gliederung 4"/>
    <w:basedOn w:val="LTGliederung35"/>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5">
    <w:name w:val="Два объекта~LT~Gliederung 5"/>
    <w:basedOn w:val="LTGliederung4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5">
    <w:name w:val="Два объекта~LT~Gliederung 6"/>
    <w:basedOn w:val="LTGliederung5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5">
    <w:name w:val="Два объекта~LT~Gliederung 7"/>
    <w:basedOn w:val="LTGliederung6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5">
    <w:name w:val="Два объекта~LT~Gliederung 8"/>
    <w:basedOn w:val="LTGliederung7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5">
    <w:name w:val="Два объекта~LT~Gliederung 9"/>
    <w:basedOn w:val="LTGliederung85"/>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5">
    <w:name w:val="Два объекта~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5">
    <w:name w:val="Два объекта~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5">
    <w:name w:val="Два объекта~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5">
    <w:name w:val="Два объекта~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5">
    <w:name w:val="Два объекта~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6">
    <w:name w:val="Сравнение~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6">
    <w:name w:val="Сравнение~LT~Gliederung 2"/>
    <w:basedOn w:val="LTGliederung16"/>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6">
    <w:name w:val="Сравнение~LT~Gliederung 3"/>
    <w:basedOn w:val="LTGliederung26"/>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6">
    <w:name w:val="Сравнение~LT~Gliederung 4"/>
    <w:basedOn w:val="LTGliederung36"/>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6">
    <w:name w:val="Сравнение~LT~Gliederung 5"/>
    <w:basedOn w:val="LTGliederung4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6">
    <w:name w:val="Сравнение~LT~Gliederung 6"/>
    <w:basedOn w:val="LTGliederung5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6">
    <w:name w:val="Сравнение~LT~Gliederung 7"/>
    <w:basedOn w:val="LTGliederung6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6">
    <w:name w:val="Сравнение~LT~Gliederung 8"/>
    <w:basedOn w:val="LTGliederung7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6">
    <w:name w:val="Сравнение~LT~Gliederung 9"/>
    <w:basedOn w:val="LTGliederung86"/>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6">
    <w:name w:val="Сравнение~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6">
    <w:name w:val="Сравнение~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6">
    <w:name w:val="Сравнение~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6">
    <w:name w:val="Сравнение~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6">
    <w:name w:val="Сравнение~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7">
    <w:name w:val="Только заголовок~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7">
    <w:name w:val="Только заголовок~LT~Gliederung 2"/>
    <w:basedOn w:val="LTGliederung17"/>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7">
    <w:name w:val="Только заголовок~LT~Gliederung 3"/>
    <w:basedOn w:val="LTGliederung27"/>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7">
    <w:name w:val="Только заголовок~LT~Gliederung 4"/>
    <w:basedOn w:val="LTGliederung37"/>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7">
    <w:name w:val="Только заголовок~LT~Gliederung 5"/>
    <w:basedOn w:val="LTGliederung4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7">
    <w:name w:val="Только заголовок~LT~Gliederung 6"/>
    <w:basedOn w:val="LTGliederung5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7">
    <w:name w:val="Только заголовок~LT~Gliederung 7"/>
    <w:basedOn w:val="LTGliederung6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7">
    <w:name w:val="Только заголовок~LT~Gliederung 8"/>
    <w:basedOn w:val="LTGliederung7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7">
    <w:name w:val="Только заголовок~LT~Gliederung 9"/>
    <w:basedOn w:val="LTGliederung87"/>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7">
    <w:name w:val="Только заголовок~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7">
    <w:name w:val="Только заголовок~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7">
    <w:name w:val="Только заголовок~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7">
    <w:name w:val="Только заголовок~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7">
    <w:name w:val="Только заголовок~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8">
    <w:name w:val="Пустой слайд~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8">
    <w:name w:val="Пустой слайд~LT~Gliederung 2"/>
    <w:basedOn w:val="LTGliederung18"/>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8">
    <w:name w:val="Пустой слайд~LT~Gliederung 3"/>
    <w:basedOn w:val="LTGliederung28"/>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8">
    <w:name w:val="Пустой слайд~LT~Gliederung 4"/>
    <w:basedOn w:val="LTGliederung38"/>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8">
    <w:name w:val="Пустой слайд~LT~Gliederung 5"/>
    <w:basedOn w:val="LTGliederung4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8">
    <w:name w:val="Пустой слайд~LT~Gliederung 6"/>
    <w:basedOn w:val="LTGliederung5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8">
    <w:name w:val="Пустой слайд~LT~Gliederung 7"/>
    <w:basedOn w:val="LTGliederung6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8">
    <w:name w:val="Пустой слайд~LT~Gliederung 8"/>
    <w:basedOn w:val="LTGliederung7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8">
    <w:name w:val="Пустой слайд~LT~Gliederung 9"/>
    <w:basedOn w:val="LTGliederung88"/>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8">
    <w:name w:val="Пустой слайд~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8">
    <w:name w:val="Пустой слайд~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8">
    <w:name w:val="Пустой слайд~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8">
    <w:name w:val="Пустой слайд~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8">
    <w:name w:val="Пустой слайд~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9">
    <w:name w:val="Объект с подписью~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9">
    <w:name w:val="Объект с подписью~LT~Gliederung 2"/>
    <w:basedOn w:val="LTGliederung19"/>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9">
    <w:name w:val="Объект с подписью~LT~Gliederung 3"/>
    <w:basedOn w:val="LTGliederung29"/>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9">
    <w:name w:val="Объект с подписью~LT~Gliederung 4"/>
    <w:basedOn w:val="LTGliederung39"/>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9">
    <w:name w:val="Объект с подписью~LT~Gliederung 5"/>
    <w:basedOn w:val="LTGliederung4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9">
    <w:name w:val="Объект с подписью~LT~Gliederung 6"/>
    <w:basedOn w:val="LTGliederung5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9">
    <w:name w:val="Объект с подписью~LT~Gliederung 7"/>
    <w:basedOn w:val="LTGliederung6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9">
    <w:name w:val="Объект с подписью~LT~Gliederung 8"/>
    <w:basedOn w:val="LTGliederung7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9">
    <w:name w:val="Объект с подписью~LT~Gliederung 9"/>
    <w:basedOn w:val="LTGliederung89"/>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9">
    <w:name w:val="Объект с подписью~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9">
    <w:name w:val="Объект с подписью~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9">
    <w:name w:val="Объект с подписью~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9">
    <w:name w:val="Объект с подписью~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9">
    <w:name w:val="Объект с подписью~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Gliederung110">
    <w:name w:val="Рисунок с подписью~LT~Gliederung 1"/>
    <w:qFormat/>
    <w:pPr>
      <w:widowControl w:val="false"/>
      <w:suppressAutoHyphens w:val="true"/>
      <w:overflowPunct w:val="true"/>
      <w:bidi w:val="0"/>
      <w:spacing w:lineRule="auto" w:line="216" w:before="283"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56"/>
      <w:szCs w:val="24"/>
      <w:u w:val="none"/>
      <w:em w:val="none"/>
      <w:lang w:val="ru-RU" w:eastAsia="en-US" w:bidi="ar-SA"/>
    </w:rPr>
  </w:style>
  <w:style w:type="paragraph" w:styleId="LTGliederung210">
    <w:name w:val="Рисунок с подписью~LT~Gliederung 2"/>
    <w:basedOn w:val="LTGliederung110"/>
    <w:qFormat/>
    <w:pPr>
      <w:bidi w:val="0"/>
      <w:spacing w:lineRule="auto" w:line="216" w:before="22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310">
    <w:name w:val="Рисунок с подписью~LT~Gliederung 3"/>
    <w:basedOn w:val="LTGliederung210"/>
    <w:qFormat/>
    <w:pPr>
      <w:bidi w:val="0"/>
      <w:spacing w:lineRule="auto" w:line="216" w:before="170"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410">
    <w:name w:val="Рисунок с подписью~LT~Gliederung 4"/>
    <w:basedOn w:val="LTGliederung310"/>
    <w:qFormat/>
    <w:pPr>
      <w:bidi w:val="0"/>
      <w:spacing w:lineRule="auto" w:line="216" w:before="113" w:after="0"/>
      <w:jc w:val="left"/>
    </w:pPr>
    <w:rPr>
      <w:rFonts w:ascii="Arial" w:hAnsi="Arial"/>
      <w:b w:val="false"/>
      <w:i w:val="false"/>
      <w:caps w:val="false"/>
      <w:smallCaps w:val="false"/>
      <w:strike w:val="false"/>
      <w:dstrike w:val="false"/>
      <w:outline w:val="false"/>
      <w:shadow w:val="false"/>
      <w:color w:val="000000"/>
      <w:spacing w:val="0"/>
      <w:kern w:val="2"/>
      <w:sz w:val="36"/>
      <w:u w:val="none"/>
      <w:em w:val="none"/>
    </w:rPr>
  </w:style>
  <w:style w:type="paragraph" w:styleId="LTGliederung510">
    <w:name w:val="Рисунок с подписью~LT~Gliederung 5"/>
    <w:basedOn w:val="LTGliederung4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610">
    <w:name w:val="Рисунок с подписью~LT~Gliederung 6"/>
    <w:basedOn w:val="LTGliederung5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710">
    <w:name w:val="Рисунок с подписью~LT~Gliederung 7"/>
    <w:basedOn w:val="LTGliederung6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810">
    <w:name w:val="Рисунок с подписью~LT~Gliederung 8"/>
    <w:basedOn w:val="LTGliederung7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Gliederung910">
    <w:name w:val="Рисунок с подписью~LT~Gliederung 9"/>
    <w:basedOn w:val="LTGliederung810"/>
    <w:qFormat/>
    <w:pPr>
      <w:bidi w:val="0"/>
      <w:spacing w:lineRule="auto" w:line="216" w:before="57" w:after="0"/>
      <w:jc w:val="left"/>
    </w:pPr>
    <w:rPr>
      <w:rFonts w:ascii="Arial" w:hAnsi="Arial"/>
      <w:b w:val="false"/>
      <w:i w:val="false"/>
      <w:caps w:val="false"/>
      <w:smallCaps w:val="false"/>
      <w:strike w:val="false"/>
      <w:dstrike w:val="false"/>
      <w:outline w:val="false"/>
      <w:shadow w:val="false"/>
      <w:color w:val="000000"/>
      <w:spacing w:val="0"/>
      <w:kern w:val="2"/>
      <w:sz w:val="40"/>
      <w:u w:val="none"/>
      <w:em w:val="none"/>
    </w:rPr>
  </w:style>
  <w:style w:type="paragraph" w:styleId="LTTitel10">
    <w:name w:val="Рисунок с подписью~LT~Titel"/>
    <w:qFormat/>
    <w:pPr>
      <w:widowControl w:val="false"/>
      <w:suppressAutoHyphens w:val="true"/>
      <w:overflowPunct w:val="true"/>
      <w:bidi w:val="0"/>
      <w:spacing w:lineRule="atLeast" w:line="0" w:before="0" w:after="0"/>
      <w:jc w:val="left"/>
    </w:pPr>
    <w:rPr>
      <w:rFonts w:ascii="Arial" w:hAnsi="Arial" w:eastAsia="Tahoma" w:cs="Calibri"/>
      <w:b w:val="false"/>
      <w:i w:val="false"/>
      <w:caps w:val="false"/>
      <w:smallCaps w:val="false"/>
      <w:strike w:val="false"/>
      <w:dstrike w:val="false"/>
      <w:outline w:val="false"/>
      <w:shadow w:val="false"/>
      <w:color w:val="000000"/>
      <w:spacing w:val="0"/>
      <w:kern w:val="2"/>
      <w:sz w:val="36"/>
      <w:szCs w:val="24"/>
      <w:u w:val="none"/>
      <w:em w:val="none"/>
      <w:lang w:val="ru-RU" w:eastAsia="en-US" w:bidi="ar-SA"/>
    </w:rPr>
  </w:style>
  <w:style w:type="paragraph" w:styleId="LTUntertitel10">
    <w:name w:val="Рисунок с подписью~LT~Untertitel"/>
    <w:qFormat/>
    <w:pPr>
      <w:widowControl w:val="false"/>
      <w:suppressAutoHyphens w:val="true"/>
      <w:overflowPunct w:val="true"/>
      <w:bidi w:val="0"/>
      <w:spacing w:before="0" w:after="0"/>
      <w:jc w:val="center"/>
    </w:pPr>
    <w:rPr>
      <w:rFonts w:ascii="Arial" w:hAnsi="Arial" w:eastAsia="Tahoma" w:cs="Calibri"/>
      <w:b w:val="false"/>
      <w:i w:val="false"/>
      <w:caps w:val="false"/>
      <w:smallCaps w:val="false"/>
      <w:strike w:val="false"/>
      <w:dstrike w:val="false"/>
      <w:outline w:val="false"/>
      <w:shadow w:val="false"/>
      <w:color w:val="auto"/>
      <w:kern w:val="2"/>
      <w:sz w:val="64"/>
      <w:szCs w:val="24"/>
      <w:u w:val="none"/>
      <w:em w:val="none"/>
      <w:lang w:val="ru-RU" w:eastAsia="en-US" w:bidi="ar-SA"/>
    </w:rPr>
  </w:style>
  <w:style w:type="paragraph" w:styleId="LTNotizen10">
    <w:name w:val="Рисунок с подписью~LT~Notizen"/>
    <w:qFormat/>
    <w:pPr>
      <w:widowControl w:val="false"/>
      <w:suppressAutoHyphens w:val="true"/>
      <w:overflowPunct w:val="true"/>
      <w:bidi w:val="0"/>
      <w:spacing w:before="0" w:after="0"/>
      <w:ind w:hanging="340" w:left="340"/>
      <w:jc w:val="left"/>
    </w:pPr>
    <w:rPr>
      <w:rFonts w:ascii="Arial" w:hAnsi="Arial" w:eastAsia="Tahoma" w:cs="Calibri"/>
      <w:b w:val="false"/>
      <w:i w:val="false"/>
      <w:caps w:val="false"/>
      <w:smallCaps w:val="false"/>
      <w:strike w:val="false"/>
      <w:dstrike w:val="false"/>
      <w:outline w:val="false"/>
      <w:shadow w:val="false"/>
      <w:color w:val="auto"/>
      <w:kern w:val="2"/>
      <w:sz w:val="40"/>
      <w:szCs w:val="24"/>
      <w:u w:val="none"/>
      <w:em w:val="none"/>
      <w:lang w:val="ru-RU" w:eastAsia="en-US" w:bidi="ar-SA"/>
    </w:rPr>
  </w:style>
  <w:style w:type="paragraph" w:styleId="LTHintergrundobjekte10">
    <w:name w:val="Рисунок с подписью~LT~Hintergrundobjekte"/>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paragraph" w:styleId="LTHintergrund10">
    <w:name w:val="Рисунок с подписью~LT~Hintergrund"/>
    <w:qFormat/>
    <w:pPr>
      <w:widowControl w:val="false"/>
      <w:suppressAutoHyphens w:val="true"/>
      <w:overflowPunct w:val="true"/>
      <w:bidi w:val="0"/>
      <w:spacing w:before="0" w:after="0"/>
      <w:jc w:val="left"/>
    </w:pPr>
    <w:rPr>
      <w:rFonts w:ascii="Liberation Serif" w:hAnsi="Liberation Serif" w:eastAsia="Tahoma" w:cs="Calibri"/>
      <w:color w:val="auto"/>
      <w:kern w:val="2"/>
      <w:sz w:val="24"/>
      <w:szCs w:val="24"/>
      <w:lang w:val="ru-RU" w:eastAsia="en-US" w:bidi="ar-SA"/>
    </w:rPr>
  </w:style>
  <w:style w:type="numbering" w:styleId="Style44">
    <w:name w:val="Без списка"/>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jpe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footer" Target="footer1.xml"/><Relationship Id="rId29" Type="http://schemas.openxmlformats.org/officeDocument/2006/relationships/footer" Target="footer2.xml"/><Relationship Id="rId30" Type="http://schemas.openxmlformats.org/officeDocument/2006/relationships/footer" Target="footer3.xml"/><Relationship Id="rId31" Type="http://schemas.openxmlformats.org/officeDocument/2006/relationships/numbering" Target="numbering.xml"/><Relationship Id="rId32" Type="http://schemas.openxmlformats.org/officeDocument/2006/relationships/fontTable" Target="fontTable.xml"/><Relationship Id="rId33" Type="http://schemas.openxmlformats.org/officeDocument/2006/relationships/settings" Target="settings.xml"/><Relationship Id="rId3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353</TotalTime>
  <Application>LibreOffice/24.2.4.2$Windows_X86_64 LibreOffice_project/51a6219feb6075d9a4c46691dcfe0cd9c4fff3c2</Application>
  <AppVersion>15.0000</AppVersion>
  <Pages>63</Pages>
  <Words>8868</Words>
  <Characters>62657</Characters>
  <CharactersWithSpaces>71053</CharactersWithSpaces>
  <Paragraphs>679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2018-06-03T19:43:00Z</dcterms:created>
  <dc:creator>user</dc:creator>
  <dc:description/>
  <dc:language>ru-RU</dc:language>
  <cp:lastModifiedBy/>
  <cp:lastPrinted>2018-06-04T12:42:00Z</cp:lastPrinted>
  <dcterms:modified xsi:type="dcterms:W3CDTF">2026-03-01T12:01:58Z</dcterms:modified>
  <cp:revision>104</cp:revision>
  <dc:subject/>
  <dc:title/>
</cp:coreProperties>
</file>

<file path=docProps/custom.xml><?xml version="1.0" encoding="utf-8"?>
<Properties xmlns="http://schemas.openxmlformats.org/officeDocument/2006/custom-properties" xmlns:vt="http://schemas.openxmlformats.org/officeDocument/2006/docPropsVTypes"/>
</file>