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8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ორგანიზაციების უმეტესობა თავისი ბუნებით არის: </w:t>
      </w:r>
    </w:p>
    <w:p>
      <w:pPr>
        <w:pStyle w:val="ListParagraph"/>
        <w:numPr>
          <w:ilvl w:val="0"/>
          <w:numId w:val="0"/>
        </w:numPr>
        <w:ind w:hanging="0" w:left="780"/>
        <w:jc w:val="both"/>
        <w:rPr>
          <w:rFonts w:cstheme="minorHAnsi"/>
          <w:highlight w:val="none"/>
          <w:shd w:fill="FFFF00" w:val="clear"/>
        </w:rPr>
      </w:pPr>
      <w:r>
        <w:rPr>
          <w:rFonts w:cs="Calibri" w:cstheme="minorHAnsi"/>
          <w:sz w:val="24"/>
          <w:szCs w:val="24"/>
          <w:shd w:fill="FFFF00" w:val="clear"/>
          <w:lang w:val="ka-GE"/>
        </w:rPr>
        <w:t>ნაკლებად რისკიანი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სოციალური მეწარმეები არიან ადამიანები, რომლებიც თავიანთ თავზე იღებენ სამეწარმეო საქმიანობის გარკვეულ რისკს მათი ორგანიზაციების .....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ბენეფიციარების სასარგებლოდ.</w:t>
      </w:r>
      <w:r>
        <w:rPr>
          <w:rFonts w:cs="Calibri" w:cstheme="minorHAnsi"/>
          <w:sz w:val="24"/>
          <w:szCs w:val="24"/>
          <w:lang w:val="ka-GE"/>
        </w:rPr>
        <w:t xml:space="preserve">........ 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sz w:val="24"/>
          <w:szCs w:val="24"/>
          <w:lang w:val="ka-GE"/>
        </w:rPr>
        <w:t xml:space="preserve">მწვანე მეწარმეობის ფარგლებში, ვენჩერული ფონდის „ვოლანსის“ თანადამფუძნებელმა, ჯონ ელკინგტონმა პირველად გამოიყენა 3P მოდელი კომპანიების საქმიანობის შესაფასებლად. რას მოიცავს აღნიშნული მოდელი? </w:t>
      </w:r>
      <w:r>
        <w:rPr>
          <w:rFonts w:eastAsia="Times New Roman" w:cs="Calibri" w:cstheme="minorHAnsi"/>
          <w:sz w:val="24"/>
          <w:szCs w:val="24"/>
          <w:shd w:fill="FFFF00" w:val="clear"/>
          <w:lang w:val="ka-GE"/>
        </w:rPr>
        <w:t xml:space="preserve"> ადამიანები , პლანეტა და მოგება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sz w:val="24"/>
          <w:szCs w:val="24"/>
          <w:lang w:val="ka-GE"/>
        </w:rPr>
        <w:t xml:space="preserve">მწვანე მეწარმეობის ფარგლებში, ტრადიციული, ხაზოვანი ეკონომიკა გულისხმობს პროცესს: </w:t>
      </w:r>
      <w:r>
        <w:rPr>
          <w:rFonts w:eastAsia="Times New Roman" w:cs="Calibri" w:cstheme="minorHAnsi"/>
          <w:sz w:val="24"/>
          <w:szCs w:val="24"/>
          <w:shd w:fill="FFFF00" w:val="clear"/>
          <w:lang w:val="ka-GE"/>
        </w:rPr>
        <w:t>,, მოიპოვე,აწარმოე, მოიხმარე, გადააგდე“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sz w:val="24"/>
          <w:szCs w:val="24"/>
          <w:lang w:val="ka-GE"/>
        </w:rPr>
        <w:t xml:space="preserve">მწვანე მეწარმეობის ფარგლებში, ცირკულარული ეკონომიკა გულისხმობს: </w:t>
      </w:r>
      <w:r>
        <w:rPr>
          <w:rFonts w:eastAsia="Times New Roman" w:cs="Calibri" w:cstheme="minorHAnsi"/>
          <w:sz w:val="24"/>
          <w:szCs w:val="24"/>
          <w:shd w:fill="FFFF00" w:val="clear"/>
          <w:lang w:val="ka-GE"/>
        </w:rPr>
        <w:t>ნარჩენების მინიმუმამდე შემცირებას, პროდიქციისტვის სიცოცხლისუნარიანობის დაბრუნებას ახალი მნიშვნელობის შეძენით უფრო გამძლე და ინოვაციური პროდუქტის შექმნას.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9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ბიზნეს საქმიანობისას იკვეთება ის სამი ძირითადი მიზეზი, რომლის გამოც საწარმოებს ესაჭიროებათ თანხა საწყის ეტაპზე, ესენია: 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color w:val="FF0000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საწყისი კაპიტალი რომელიც კომპანიას თავდაპირველი წერტილიდან დაძრავს, პირველ ეტაპზე დამფუძნებლებიდან მოდის. ამ შემთხვევაში არსებობს 3 ძირითადი წყარო: 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საწარმოს ვალით დაფინანსებისას არსებობს სესხის ორი გავრცელებული ფორმა. 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იმ შესაძლებლობას, რომელიც კომპანიის მიერ მისაღები ფინანსური სახსრების მესამე პირებზე გაყიდვას გულისხმობს, არის: 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წერილობითი ხელშეკრულება, რომელშიც გარკვეული ნივთის მფლობელი უფლებას აძლევს მეორე ადამიანს, ან ბიზნესს გამოიყენონ მისი საკუთრება დროის გარკვეული პერიოდის განმავლობაში, გარკვეული საფასურის სანაცვლოდ, არის:</w:t>
      </w:r>
    </w:p>
    <w:p>
      <w:pPr>
        <w:pStyle w:val="Normal"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Normal"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 xml:space="preserve">10 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eastAsia="Times New Roman" w:cs="Calibri" w:cstheme="minorHAnsi"/>
          <w:bCs/>
          <w:sz w:val="24"/>
          <w:szCs w:val="24"/>
          <w:lang w:val="es-AR"/>
        </w:rPr>
        <w:t xml:space="preserve">დროის გარკვეულ მონაკვეთში ექსპორტის საერთო ღირებულებას გამოკლებული იმპორტის </w:t>
      </w:r>
      <w:r>
        <w:rPr>
          <w:rFonts w:eastAsia="Times New Roman" w:cs="Calibri" w:cstheme="minorHAnsi"/>
          <w:bCs/>
          <w:sz w:val="24"/>
          <w:szCs w:val="24"/>
          <w:lang w:val="ka-GE"/>
        </w:rPr>
        <w:t>საერთო</w:t>
      </w:r>
      <w:r>
        <w:rPr>
          <w:rFonts w:eastAsia="Times New Roman" w:cs="Calibri" w:cstheme="minorHAnsi"/>
          <w:bCs/>
          <w:sz w:val="24"/>
          <w:szCs w:val="24"/>
          <w:lang w:val="es-AR"/>
        </w:rPr>
        <w:t> ღირებულება</w:t>
      </w:r>
      <w:r>
        <w:rPr>
          <w:rFonts w:eastAsia="Times New Roman" w:cs="Calibri" w:cstheme="minorHAnsi"/>
          <w:bCs/>
          <w:sz w:val="24"/>
          <w:szCs w:val="24"/>
          <w:lang w:val="ka-GE"/>
        </w:rPr>
        <w:t> არის:</w:t>
      </w:r>
      <w:r>
        <w:rPr>
          <w:rFonts w:eastAsia="Times New Roman" w:cs="Calibri" w:cstheme="minorHAnsi"/>
          <w:bCs/>
          <w:sz w:val="24"/>
          <w:szCs w:val="24"/>
          <w:lang w:val="es-AR"/>
        </w:rPr>
        <w:t xml:space="preserve">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es-AR"/>
        </w:rPr>
        <w:t>სავაჭრო ბალანსი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eastAsia="Times New Roman" w:cs="Calibri" w:cstheme="minorHAnsi"/>
          <w:bCs/>
          <w:sz w:val="24"/>
          <w:szCs w:val="24"/>
          <w:lang w:val="es-AR"/>
        </w:rPr>
        <w:t>ქვეყანაში შემოსული ფულის საერთო მოცულობას გამოკლებული ფულის ის რაოდენობა, </w:t>
      </w: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     </w:t>
      </w:r>
      <w:r>
        <w:rPr>
          <w:rFonts w:eastAsia="Times New Roman" w:cs="Calibri" w:cstheme="minorHAnsi"/>
          <w:bCs/>
          <w:sz w:val="24"/>
          <w:szCs w:val="24"/>
          <w:lang w:val="es-AR"/>
        </w:rPr>
        <w:t>რომელიც გადის ქვეყნიდან</w:t>
      </w: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 არის: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es-AR"/>
        </w:rPr>
        <w:t>საგადამხდელო ბალანსი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საერთაშორისო ვაჭრობაში შეფარდებითი უპირატესობა ნიშნავს?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cs="Calibri" w:cstheme="minorHAnsi"/>
          <w:sz w:val="24"/>
          <w:szCs w:val="24"/>
          <w:lang w:val="ka-GE"/>
        </w:rPr>
        <w:t>ს</w:t>
      </w:r>
      <w:r>
        <w:rPr>
          <w:rFonts w:eastAsia="Times New Roman" w:cs="Calibri" w:cstheme="minorHAnsi"/>
          <w:bCs/>
          <w:sz w:val="24"/>
          <w:szCs w:val="24"/>
          <w:lang w:val="ka-GE"/>
        </w:rPr>
        <w:t>აერთაშორისო ვაჭრობაში აბსოლუტური უპირატესობა ნიშნავს?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სად წარმოიშვა პროტექციონიზმი ?</w:t>
      </w:r>
      <w:r>
        <w:rPr>
          <w:rFonts w:eastAsia="Times New Roman" w:cs="Calibri" w:cstheme="minorHAnsi"/>
          <w:bCs/>
          <w:sz w:val="24"/>
          <w:szCs w:val="24"/>
          <w:lang w:val="es-AR"/>
        </w:rPr>
        <w:t xml:space="preserve">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es-AR"/>
        </w:rPr>
        <w:t xml:space="preserve"> ევროპაში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cs="Calibri" w:cstheme="minorHAnsi"/>
          <w:sz w:val="24"/>
          <w:szCs w:val="24"/>
          <w:lang w:val="ka-GE"/>
        </w:rPr>
        <w:t>როდის წარმოიშვა პროტექციონიზმი?</w:t>
      </w:r>
      <w:r>
        <w:rPr>
          <w:rFonts w:eastAsia="Times New Roman" w:cs="Calibri" w:cstheme="minorHAnsi"/>
          <w:sz w:val="24"/>
          <w:szCs w:val="24"/>
          <w:lang w:val="es-AR"/>
        </w:rPr>
        <w:t xml:space="preserve">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es-AR"/>
        </w:rPr>
        <w:t xml:space="preserve">16-17 საუკუნეში 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cs="Calibri" w:cstheme="minorHAnsi"/>
          <w:sz w:val="24"/>
          <w:szCs w:val="24"/>
          <w:lang w:val="ka-GE"/>
        </w:rPr>
        <w:t xml:space="preserve">  </w:t>
      </w:r>
      <w:r>
        <w:rPr>
          <w:rFonts w:cs="Calibri" w:cstheme="minorHAnsi"/>
          <w:sz w:val="24"/>
          <w:szCs w:val="24"/>
          <w:lang w:val="ka-GE"/>
        </w:rPr>
        <w:t>სახელმწიფოს</w:t>
      </w:r>
      <w:r>
        <w:rPr>
          <w:rFonts w:cs="Calibri" w:cstheme="minorHAnsi"/>
          <w:sz w:val="24"/>
          <w:szCs w:val="24"/>
          <w:lang w:val="da-DK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მიერ</w:t>
      </w:r>
      <w:r>
        <w:rPr>
          <w:rFonts w:cs="Calibri" w:cstheme="minorHAnsi"/>
          <w:sz w:val="24"/>
          <w:szCs w:val="24"/>
          <w:lang w:val="da-DK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გატარებული</w:t>
      </w:r>
      <w:r>
        <w:rPr>
          <w:rFonts w:cs="Calibri" w:cstheme="minorHAnsi"/>
          <w:sz w:val="24"/>
          <w:szCs w:val="24"/>
          <w:lang w:val="da-DK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პროტექციონიზმის</w:t>
      </w:r>
      <w:r>
        <w:rPr>
          <w:rFonts w:cs="Calibri" w:cstheme="minorHAnsi"/>
          <w:sz w:val="24"/>
          <w:szCs w:val="24"/>
          <w:lang w:val="da-DK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ძირითად</w:t>
      </w:r>
      <w:r>
        <w:rPr>
          <w:rFonts w:cs="Calibri" w:cstheme="minorHAnsi"/>
          <w:sz w:val="24"/>
          <w:szCs w:val="24"/>
          <w:lang w:val="da-DK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სახეებს</w:t>
      </w:r>
      <w:r>
        <w:rPr>
          <w:rFonts w:cs="Calibri" w:cstheme="minorHAnsi"/>
          <w:sz w:val="24"/>
          <w:szCs w:val="24"/>
          <w:lang w:val="da-DK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მიეკუთვნება</w:t>
      </w:r>
      <w:r>
        <w:rPr>
          <w:rFonts w:cs="Calibri" w:cstheme="minorHAnsi"/>
          <w:sz w:val="24"/>
          <w:szCs w:val="24"/>
          <w:lang w:val="da-DK"/>
        </w:rPr>
        <w:t>:</w:t>
      </w:r>
      <w:r>
        <w:rPr>
          <w:rFonts w:eastAsia="Times New Roman" w:cs="Calibri" w:cstheme="minorHAnsi"/>
          <w:sz w:val="24"/>
          <w:szCs w:val="24"/>
          <w:lang w:val="es-AR"/>
        </w:rPr>
        <w:t xml:space="preserve"> </w:t>
      </w:r>
      <w:r>
        <w:rPr>
          <w:rFonts w:eastAsia="Times New Roman" w:cs="Calibri" w:cstheme="minorHAnsi"/>
          <w:sz w:val="24"/>
          <w:szCs w:val="24"/>
          <w:shd w:fill="FFFF00" w:val="clear"/>
          <w:lang w:val="es-AR"/>
        </w:rPr>
        <w:t>ტარიფები, კვოტები, სუფსიდიები, პროდუქციის შემზღუდველი სტანდარტიზაცია და დამსჯელი ღონისძიებანი.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cs="Calibri" w:cstheme="minorHAnsi"/>
          <w:sz w:val="24"/>
          <w:szCs w:val="24"/>
          <w:lang w:val="ka-GE"/>
        </w:rPr>
        <w:t>რას გულისხმობს პროტექციონისტული პოლიტიკა</w:t>
      </w:r>
      <w:r>
        <w:rPr>
          <w:rFonts w:eastAsia="Times New Roman" w:cs="Calibri" w:cstheme="minorHAnsi"/>
          <w:sz w:val="24"/>
          <w:szCs w:val="24"/>
          <w:lang w:val="es-AR"/>
        </w:rPr>
        <w:t xml:space="preserve">: </w:t>
      </w:r>
      <w:r>
        <w:rPr>
          <w:rFonts w:eastAsia="Times New Roman" w:cs="Calibri" w:cstheme="minorHAnsi"/>
          <w:sz w:val="24"/>
          <w:szCs w:val="24"/>
          <w:shd w:fill="FFFF00" w:val="clear"/>
          <w:lang w:val="es-AR"/>
        </w:rPr>
        <w:t>ეს არის სახელმწიფოს პოლიტიკა, რომელიც ორიენტირებულუა ადგილობრივი კომპანიების დაცვაზე.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cs="Calibri" w:cstheme="minorHAnsi"/>
          <w:sz w:val="24"/>
          <w:szCs w:val="24"/>
          <w:lang w:val="es-AR"/>
        </w:rPr>
        <w:t>საერთაშორისო ბიზნესს გააჩნია თავისი მოტივაცია. არსებობს ამ მოტივაციის სამი ძირითადი ასპექტი. ესენია:</w:t>
      </w:r>
      <w:r>
        <w:rPr>
          <w:rFonts w:eastAsia="Times New Roman" w:cs="Calibri" w:cstheme="minorHAnsi"/>
          <w:sz w:val="24"/>
          <w:szCs w:val="24"/>
          <w:lang w:val="es-AR"/>
        </w:rPr>
        <w:t xml:space="preserve"> </w:t>
      </w:r>
      <w:r>
        <w:rPr>
          <w:rFonts w:eastAsia="Times New Roman" w:cs="Calibri" w:cstheme="minorHAnsi"/>
          <w:sz w:val="24"/>
          <w:szCs w:val="24"/>
          <w:shd w:fill="FFFF00" w:val="clear"/>
          <w:lang w:val="es-AR"/>
        </w:rPr>
        <w:t>გასაღების გაფართოება, რესურსების შეძენა და მომარაგებისა და გასაღების წყაროების დივერსიფიკაცია.</w:t>
      </w:r>
    </w:p>
    <w:p>
      <w:pPr>
        <w:pStyle w:val="ListParagraph"/>
        <w:numPr>
          <w:ilvl w:val="0"/>
          <w:numId w:val="1"/>
        </w:numPr>
        <w:spacing w:before="0" w:after="240"/>
        <w:contextualSpacing/>
        <w:rPr>
          <w:rFonts w:eastAsia="Times New Roman" w:cs="Calibri" w:cstheme="minorHAnsi"/>
          <w:sz w:val="24"/>
          <w:szCs w:val="24"/>
          <w:lang w:val="es-AR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თანამედროვე კომპანიებში შეიძლება არსებობდეს საერთაშორისო საქმიანი ურთიერთობების შემდეგი ფორმები:</w:t>
      </w:r>
      <w:r>
        <w:rPr>
          <w:rFonts w:eastAsia="Times New Roman" w:cs="Calibri" w:cstheme="minorHAnsi"/>
          <w:bCs/>
          <w:sz w:val="24"/>
          <w:szCs w:val="24"/>
          <w:lang w:val="es-AR"/>
        </w:rPr>
        <w:t xml:space="preserve">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es-AR"/>
        </w:rPr>
        <w:t>იმპორტი და ექსპორტი,ლიცენზირება, ფრენშაიზინგი, ერთობლივი საწარმოების შექმნა და საზღვარგარეთის ფირმის შესყიდვა სრული საკუთრებით.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 xml:space="preserve">11 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სიტყვა ფრანჩაიზი წარმოდგება ფრანგული ენის ძველი დიალექტიდან და </w:t>
      </w:r>
      <w:r>
        <w:rPr>
          <w:rFonts w:cs="Calibri" w:cstheme="minorHAnsi"/>
          <w:sz w:val="24"/>
          <w:szCs w:val="24"/>
        </w:rPr>
        <w:t xml:space="preserve">რას </w:t>
      </w:r>
      <w:r>
        <w:rPr>
          <w:rFonts w:cs="Calibri" w:cstheme="minorHAnsi"/>
          <w:sz w:val="24"/>
          <w:szCs w:val="24"/>
          <w:lang w:val="ka-GE"/>
        </w:rPr>
        <w:t xml:space="preserve">ნიშნავს?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თავისუფლებას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ფრანჩაიზინგის რამდენი ძირითადი ფორმა არსებობს?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4 ფორმა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ფრანჩაიზერისთვის როიალტის გადასახდელი, ჩვეულებრივ მთლიანი შემოსავლების დაახლოებით რამდენ პროცენტს შეადგენს ხოლმე?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5-8%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ფრანჩაიზერებისთვის სარეკლამო გადასახდელები ჩვეულებრივ მთლიანი შემოსავლების რამდენ პროცენტს არ აღემატება?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2-3%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ფრანჩაიზინგით ბიზნესის დაწყება, ჩვეულებრივ ბიზნესთან შედარებით არის: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ნაკლებრისკიანი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 xml:space="preserve">12 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მარკეტოლოგების უმრავლესობა მარკეტინგულ კომბინაციას 4 შემადგენელად ყოფს: 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მარკეტოლოგების უმრავლესობა მარკეტინგულ კომბინაციას 4 შემადგენელად</w:t>
      </w:r>
      <w:r>
        <w:rPr>
          <w:rFonts w:cs="Calibri" w:cstheme="minorHAnsi"/>
          <w:sz w:val="24"/>
          <w:szCs w:val="24"/>
        </w:rPr>
        <w:t xml:space="preserve"> ნაწილად ყოფს, რომელიც ცნობილია შემდეგი სახელწოდებით:</w:t>
      </w:r>
      <w:r>
        <w:rPr>
          <w:rFonts w:cs="Calibri" w:cstheme="minorHAnsi"/>
          <w:sz w:val="24"/>
          <w:szCs w:val="24"/>
          <w:lang w:val="ka-GE"/>
        </w:rPr>
        <w:t xml:space="preserve">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4p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13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საფინანსო მაჩვენებლებზე მუშაობის პროცესში ბუღალტრები იყენებენ ორ ძირითად ფუნდამენტურ პრინციპს: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საბუღალტრო დაბალანსების და ორმაგი ჩაწერის პრინციპს.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ბუღალტრული აღრიცხვის ორმაგი ჩაწერა ვენეციელმა ვაჭრებმა შემოიღეს: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მე-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14 საუკუნეში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ბუღალტრულ აღრიცხვაში სასაქონლო- მატერიალურ ფასეულობათა აღრიცხვისას გამოიყენება: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LIFO და  FIFO მეთოდი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საფინანსო ანალიზისათვის ცნობილია რენტაბელობის შემდეგი ძირითადი კოეფიციენტები: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1. მოგების თანაფარდობა ინვესტიციებთან; 2.მოგების თანაფარდობა გაყიდვებთან; 3.მოგების თანაფარდობა აქციებთან;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კომპანიის ლიკვიდურობის ანალიზისათვის გამოიყენება: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საბრუნავი კაპიტალის ბრუნვადობის კოეფიციენტი.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 xml:space="preserve">საბრუნავი კაპიტალის ბრუნვადობის კოეფიციენტი წარმოადგენს: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მიმდინარე აქტივების, მოკლევადიან ვალდებულებებთან თანაფარდობას.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14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</w:rPr>
        <w:t>საქართველოს საგადასახადო კოდექსით მცირე მეწარმეებისათვის შემოღებულია სპეციალური დაბეგვრის რეჟიმები, რომელთა არჩევა მათ შეუძლიათ საშემოსავლო გადასახადით ჩვეულებრივი წესით დაბეგვრის ნაცვლად. ამჟამად არსებობს შემდეგი რეჟიმები:</w:t>
      </w:r>
      <w:r>
        <w:rPr>
          <w:rFonts w:cs="Calibri" w:cstheme="minorHAnsi"/>
          <w:sz w:val="24"/>
          <w:szCs w:val="24"/>
          <w:lang w:val="ka-GE"/>
        </w:rPr>
        <w:t xml:space="preserve">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მიკრო ბიზნესის სტატუსი,</w:t>
      </w:r>
      <w:r>
        <w:rPr>
          <w:sz w:val="24"/>
          <w:szCs w:val="24"/>
          <w:shd w:fill="FFFF00" w:val="clear"/>
        </w:rPr>
        <w:t>მცირე ბიზნესის სტატუსი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left="142"/>
        <w:contextualSpacing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</w:rPr>
        <w:t>მიკრო ბიზნესის სტატუსი შეიძლება მიენიჭოს ფიზიკურ პირს, რომელიც დამოუკიდებლად ეწევა ეკონომიკურ საქმიანობას, რომლიდანაც მისაღები ჯამური წლიური შემოსავალი არ აღემატება</w:t>
      </w:r>
      <w:r>
        <w:rPr>
          <w:rFonts w:cs="Calibri" w:cstheme="minorHAnsi"/>
          <w:sz w:val="24"/>
          <w:szCs w:val="24"/>
          <w:lang w:val="ka-GE"/>
        </w:rPr>
        <w:t>: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30 000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</w:rPr>
        <w:t xml:space="preserve">საერთო-სახელმწიფოებრივი გადასახადებია: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საშემოსავლო გადასახადი,მოგების გადასახადი, დღგ,აქციზი,საბაჟო გადასახადი.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საშემოსავლო გადასახადის განაკვეთი არის: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20%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მოგების გადასახადის განაკვეთი არის: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15%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და</w:t>
      </w: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მატებითი ღირებულების გადასახადის განაკვეთი არის: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18%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ქონების გადასახადის განაკვეთი არის მაქსიმუმ: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1%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დამატებითი ღირებულების გადასახადის გადამხდელია კომპანია , რომლის ბრუნვა არის უწყვეტ  12 კალენდარულ თვეში:</w:t>
      </w:r>
      <w:r>
        <w:rPr>
          <w:rFonts w:cs="Calibri" w:cstheme="minorHAnsi"/>
          <w:sz w:val="24"/>
          <w:szCs w:val="24"/>
          <w:lang w:val="ka-GE"/>
        </w:rPr>
        <w:t xml:space="preserve">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100 000ლარს აღემატება.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</w:rPr>
        <w:t>ადგილობრივი გადასახადია:</w:t>
      </w:r>
      <w:bookmarkStart w:id="0" w:name="_GoBack"/>
      <w:bookmarkEnd w:id="0"/>
      <w:r>
        <w:rPr>
          <w:rFonts w:cs="Calibri" w:cstheme="minorHAnsi"/>
          <w:sz w:val="24"/>
          <w:szCs w:val="24"/>
          <w:lang w:val="ka-GE"/>
        </w:rPr>
        <w:t xml:space="preserve"> </w:t>
      </w:r>
      <w:r>
        <w:rPr>
          <w:rFonts w:cs="Calibri" w:cstheme="minorHAnsi"/>
          <w:sz w:val="24"/>
          <w:szCs w:val="24"/>
          <w:shd w:fill="FFFF00" w:val="clear"/>
          <w:lang w:val="ka-GE"/>
        </w:rPr>
        <w:t>ქონების გადასახადი.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  <w:t>თავი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  <w:lang w:val="ka-GE"/>
        </w:rPr>
        <w:t>15</w:t>
      </w:r>
    </w:p>
    <w:p>
      <w:pPr>
        <w:pStyle w:val="Normal"/>
        <w:spacing w:lineRule="auto" w:line="259" w:before="0" w:after="160"/>
        <w:contextualSpacing/>
        <w:jc w:val="center"/>
        <w:rPr>
          <w:rFonts w:cs="Calibri" w:cstheme="minorHAnsi"/>
          <w:sz w:val="24"/>
          <w:szCs w:val="24"/>
          <w:lang w:val="ka-GE"/>
        </w:rPr>
      </w:pPr>
      <w:r>
        <w:rPr>
          <w:rFonts w:cs="Calibri" w:cstheme="minorHAnsi"/>
          <w:sz w:val="24"/>
          <w:szCs w:val="24"/>
          <w:lang w:val="ka-GE"/>
        </w:rPr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გამოკვლევები გვიჩვენებს, რომ ბიზნესის უსაფრთხოების უზრუნველყოფასთან დაკავშირებული ხარჯები დასავლეთის ფირმებში შეადგენს მოგების: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3-5%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საუკეთესო საწარმოების გამოცდილების, სტრატეგიის, გადაწყვეტილების, საქმიანი პრაქტიკის შესწავლა იმ მიზნით, რომ ამ გამოცდილებათა საფუძველზე მოხდეს ბიზნეს-საქმიანობის ადაპტირება და შესაბამისად, მუშაობის ხარისხის გაუმჯობესება არის: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ბენჩმარკინგი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ერთი საწარმოს მიერ მეორის შთანთქმა მისი მესაკუთრის, ან ხელმძღანელის სურვილის გაუთვალისწინებლად არის: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 xml:space="preserve"> რეიდერობა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 xml:space="preserve">კორპორაციულ შანტაჟს ეწოდება: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გრინმეილი</w:t>
      </w:r>
    </w:p>
    <w:p>
      <w:pPr>
        <w:pStyle w:val="Normal"/>
        <w:numPr>
          <w:ilvl w:val="0"/>
          <w:numId w:val="1"/>
        </w:numPr>
        <w:spacing w:lineRule="auto" w:line="259" w:before="0" w:after="160"/>
        <w:ind w:hanging="360" w:left="142"/>
        <w:contextualSpacing/>
        <w:jc w:val="both"/>
        <w:rPr>
          <w:rFonts w:cs="Calibri" w:cstheme="minorHAnsi"/>
          <w:sz w:val="24"/>
          <w:szCs w:val="24"/>
          <w:lang w:val="ka-GE"/>
        </w:rPr>
      </w:pPr>
      <w:r>
        <w:rPr>
          <w:rFonts w:eastAsia="Times New Roman" w:cs="Calibri" w:cstheme="minorHAnsi"/>
          <w:bCs/>
          <w:sz w:val="24"/>
          <w:szCs w:val="24"/>
          <w:lang w:val="ka-GE"/>
        </w:rPr>
        <w:t>კანონების დაცვის კუთხით რეიდერობა შეიძლება დაიყოს: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 xml:space="preserve"> </w:t>
      </w:r>
      <w:r>
        <w:rPr>
          <w:rFonts w:eastAsia="Times New Roman" w:cs="Calibri" w:cstheme="minorHAnsi"/>
          <w:bCs/>
          <w:sz w:val="24"/>
          <w:szCs w:val="24"/>
          <w:shd w:fill="FFFF00" w:val="clear"/>
          <w:lang w:val="ka-GE"/>
        </w:rPr>
        <w:t>სამ ჯგუფად (შავი,თეთრი,რუხი)</w:t>
      </w:r>
    </w:p>
    <w:p>
      <w:pPr>
        <w:pStyle w:val="Normal"/>
        <w:spacing w:lineRule="auto" w:line="259" w:before="0" w:after="160"/>
        <w:contextualSpacing/>
        <w:jc w:val="both"/>
        <w:rPr>
          <w:rFonts w:cs="Calibri" w:cstheme="minorHAnsi"/>
          <w:sz w:val="24"/>
          <w:szCs w:val="24"/>
          <w:highlight w:val="none"/>
          <w:shd w:fill="FFFF00" w:val="clear"/>
          <w:lang w:val="ka-GE"/>
        </w:rPr>
      </w:pPr>
      <w:r>
        <w:rPr>
          <w:rFonts w:cs="Calibri" w:cstheme="minorHAnsi"/>
          <w:sz w:val="24"/>
          <w:szCs w:val="24"/>
          <w:shd w:fill="FFFF00" w:val="clear"/>
          <w:lang w:val="ka-GE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sectPr>
      <w:type w:val="nextPage"/>
      <w:pgSz w:w="12240" w:h="15840"/>
      <w:pgMar w:left="1134" w:right="900" w:gutter="0" w:header="0" w:top="1134" w:footer="0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link w:val="ListParagraph"/>
    <w:uiPriority w:val="34"/>
    <w:qFormat/>
    <w:rsid w:val="0011660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16609"/>
    <w:rPr>
      <w:rFonts w:eastAsia="" w:eastAsiaTheme="minorEastAsia"/>
      <w:lang w:val="ru-RU"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ListParagraphChar"/>
    <w:uiPriority w:val="34"/>
    <w:qFormat/>
    <w:rsid w:val="00116609"/>
    <w:pPr>
      <w:spacing w:lineRule="auto" w:line="259"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16609"/>
    <w:pPr>
      <w:tabs>
        <w:tab w:val="clear" w:pos="720"/>
        <w:tab w:val="center" w:pos="4677" w:leader="none"/>
        <w:tab w:val="right" w:pos="9355" w:leader="none"/>
      </w:tabs>
    </w:pPr>
    <w:rPr>
      <w:rFonts w:eastAsia="" w:eastAsiaTheme="minorEastAsia"/>
      <w:lang w:val="ru-RU" w:eastAsia="ru-RU"/>
    </w:rPr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1"/>
    <w:uiPriority w:val="99"/>
    <w:semiHidden/>
    <w:unhideWhenUsed/>
    <w:qFormat/>
    <w:rsid w:val="00116609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FE1D33C0C983D4496B4F79F6896BD20" ma:contentTypeVersion="3" ma:contentTypeDescription="Создание документа." ma:contentTypeScope="" ma:versionID="4bd3432732c9296b0c7a9f58c2dcd5d1">
  <xsd:schema xmlns:xsd="http://www.w3.org/2001/XMLSchema" xmlns:xs="http://www.w3.org/2001/XMLSchema" xmlns:p="http://schemas.microsoft.com/office/2006/metadata/properties" xmlns:ns2="b70144d1-cfcf-46c1-b508-bac6ef0cc306" targetNamespace="http://schemas.microsoft.com/office/2006/metadata/properties" ma:root="true" ma:fieldsID="b1b1d16d79b2582457e2d07a9034e1ba" ns2:_="">
    <xsd:import namespace="b70144d1-cfcf-46c1-b508-bac6ef0cc3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144d1-cfcf-46c1-b508-bac6ef0cc3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FD49AE-8DB0-41C6-B80E-CB8DE084CFAA}"/>
</file>

<file path=customXml/itemProps2.xml><?xml version="1.0" encoding="utf-8"?>
<ds:datastoreItem xmlns:ds="http://schemas.openxmlformats.org/officeDocument/2006/customXml" ds:itemID="{397CF73B-F5C5-4E20-B7C5-9C4DAF9CD2FD}"/>
</file>

<file path=customXml/itemProps3.xml><?xml version="1.0" encoding="utf-8"?>
<ds:datastoreItem xmlns:ds="http://schemas.openxmlformats.org/officeDocument/2006/customXml" ds:itemID="{81FB3E8C-18EF-4349-B753-3176AB8DCB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LibreOffice/24.2.7.2$Linux_X86_64 LibreOffice_project/420$Build-2</Application>
  <AppVersion>15.0000</AppVersion>
  <Pages>4</Pages>
  <Words>639</Words>
  <Characters>5098</Characters>
  <CharactersWithSpaces>5656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2026-01-08T11:28:00Z</dcterms:created>
  <dc:creator>Ineza Tsereteli</dc:creator>
  <dc:description/>
  <dc:language>en-US</dc:language>
  <cp:lastModifiedBy/>
  <dcterms:modified xsi:type="dcterms:W3CDTF">2026-01-16T13:39:53Z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0x0101002FE1D33C0C983D4496B4F79F6896BD20</vt:lpwstr>
  </property>
</Properties>
</file>